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Recette de test — Kablix</w:t>
      </w:r>
    </w:p>
    <w:p>
      <w:r>
        <w:rPr>
          <w:i/>
        </w:rPr>
        <w:t xml:space="preserve">Tester chaque composant et le programme, en version AVR (Arduino) puis RP2040 (Raspberry Pi Pico). Cocher le commentaire après chaque test.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00"/>
        <w:gridCol w:w="3200"/>
        <w:gridCol w:w="2500"/>
        <w:gridCol w:w="1700"/>
      </w:tblGrid>
      <w:tr>
        <w:tc>
          <w:tcPr>
            <w:tcW w:w="2300" w:type="dxa"/>
            <w:shd w:val="clear" w:color="auto" w:fill="BDD7EE"/>
          </w:tcPr>
          <w:p>
            <w:r>
              <w:rPr>
                <w:b/>
              </w:rPr>
              <w:t xml:space="preserve">Élément en test</w:t>
            </w:r>
          </w:p>
        </w:tc>
        <w:tc>
          <w:tcPr>
            <w:tcW w:w="3200" w:type="dxa"/>
            <w:shd w:val="clear" w:color="auto" w:fill="BDD7EE"/>
          </w:tcPr>
          <w:p>
            <w:r>
              <w:rPr>
                <w:b/>
              </w:rPr>
              <w:t xml:space="preserve">Action à mener</w:t>
            </w:r>
          </w:p>
        </w:tc>
        <w:tc>
          <w:tcPr>
            <w:tcW w:w="2500" w:type="dxa"/>
            <w:shd w:val="clear" w:color="auto" w:fill="BDD7EE"/>
          </w:tcPr>
          <w:p>
            <w:r>
              <w:rPr>
                <w:b/>
              </w:rPr>
              <w:t xml:space="preserve">Observable pour valider</w:t>
            </w:r>
          </w:p>
        </w:tc>
        <w:tc>
          <w:tcPr>
            <w:tcW w:w="1700" w:type="dxa"/>
            <w:shd w:val="clear" w:color="auto" w:fill="BDD7EE"/>
          </w:tcPr>
          <w:p>
            <w:r>
              <w:rPr>
                <w:b/>
              </w:rPr>
              <w:t xml:space="preserve">Commentaire</w:t>
            </w:r>
          </w:p>
        </w:tc>
      </w:tr>
      <w:tr>
        <w:tc>
          <w:tcPr>
            <w:tcW w:w="2300" w:type="dxa"/>
            <w:shd w:val="clear" w:color="auto" w:fill="D9E2F3"/>
          </w:tcPr>
          <w:p>
            <w:r>
              <w:rPr>
                <w:b/>
              </w:rPr>
              <w:t xml:space="preserve">Préparation (commune)</w:t>
            </w:r>
          </w:p>
        </w:tc>
        <w:tc>
          <w:tcPr>
            <w:tcW w:w="3200" w:type="dxa"/>
            <w:shd w:val="clear" w:color="auto" w:fill="D9E2F3"/>
          </w:tcPr>
          <w:p>
            <w:r>
              <w:rPr>
                <w:b/>
              </w:rPr>
              <w:t xml:space="preserve"/>
            </w:r>
          </w:p>
        </w:tc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 xml:space="preserve"/>
            </w:r>
          </w:p>
        </w:tc>
        <w:tc>
          <w:tcPr>
            <w:tcW w:w="1700" w:type="dxa"/>
            <w:shd w:val="clear" w:color="auto" w:fill="D9E2F3"/>
          </w:tcPr>
          <w:p>
            <w:r>
              <w:rPr>
                <w:b/>
              </w:rP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Lancer le simulateur</w:t>
            </w:r>
          </w:p>
        </w:tc>
        <w:tc>
          <w:tcPr>
            <w:tcW w:w="3200" w:type="dxa"/>
          </w:tcPr>
          <w:p>
            <w:r>
              <w:t xml:space="preserve">Icône Kablix (barre d’activité) ou palette → « Kablix : Ouvrir le simulateur »</w:t>
            </w:r>
          </w:p>
        </w:tc>
        <w:tc>
          <w:tcPr>
            <w:tcW w:w="2500" w:type="dxa"/>
          </w:tcPr>
          <w:p>
            <w:r>
              <w:t xml:space="preserve">L’atelier s’ouvre dans un nouvel onglet (palette, canvas, moniteur série)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Aide</w:t>
            </w:r>
          </w:p>
        </w:tc>
        <w:tc>
          <w:tcPr>
            <w:tcW w:w="3200" w:type="dxa"/>
          </w:tcPr>
          <w:p>
            <w:r>
              <w:t xml:space="preserve">Bouton ❔ Aide de la barre d’outils</w:t>
            </w:r>
          </w:p>
        </w:tc>
        <w:tc>
          <w:tcPr>
            <w:tcW w:w="2500" w:type="dxa"/>
          </w:tcPr>
          <w:p>
            <w:r>
              <w:t xml:space="preserve">La page d’aide s’ouvre (FR si VS Code en français, sinon EN)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Aide — rubrique IA</w:t>
            </w:r>
          </w:p>
        </w:tc>
        <w:tc>
          <w:tcPr>
            <w:tcW w:w="3200" w:type="dxa"/>
          </w:tcPr>
          <w:p>
            <w:r>
              <w:t xml:space="preserve">Sommaire → « Créer un composant avec une IA »</w:t>
            </w:r>
          </w:p>
        </w:tc>
        <w:tc>
          <w:tcPr>
            <w:tcW w:w="2500" w:type="dxa"/>
          </w:tcPr>
          <w:p>
            <w:r>
              <w:t xml:space="preserve">Tuto + prompt copiable affichés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Toolchains</w:t>
            </w:r>
          </w:p>
        </w:tc>
        <w:tc>
          <w:tcPr>
            <w:tcW w:w="3200" w:type="dxa"/>
          </w:tcPr>
          <w:p>
            <w:r>
              <w:t xml:space="preserve">Vérifier arduino-cli / avr-gcc (AVR) et un firmware .uf2 MicroPython (RP2040)</w:t>
            </w:r>
          </w:p>
        </w:tc>
        <w:tc>
          <w:tcPr>
            <w:tcW w:w="2500" w:type="dxa"/>
          </w:tcPr>
          <w:p>
            <w:r>
              <w:t xml:space="preserve">Compilation possible ; sinon message clair + réglages kablix.*</w:t>
            </w:r>
          </w:p>
        </w:tc>
        <w:tc>
          <w:tcPr>
            <w:tcW w:w="1700" w:type="dxa"/>
          </w:tcPr>
          <w:p>
            <w:r>
              <w:t xml:space="preserve">Pico : téléchargement assisté au 1er lancement</w:t>
            </w:r>
          </w:p>
        </w:tc>
      </w:tr>
      <w:tr>
        <w:tc>
          <w:tcPr>
            <w:tcW w:w="2300" w:type="dxa"/>
            <w:shd w:val="clear" w:color="auto" w:fill="D9E2F3"/>
          </w:tcPr>
          <w:p>
            <w:r>
              <w:rPr>
                <w:b/>
              </w:rPr>
              <w:t xml:space="preserve">Atelier (indépendant de la carte)</w:t>
            </w:r>
          </w:p>
        </w:tc>
        <w:tc>
          <w:tcPr>
            <w:tcW w:w="3200" w:type="dxa"/>
            <w:shd w:val="clear" w:color="auto" w:fill="D9E2F3"/>
          </w:tcPr>
          <w:p>
            <w:r>
              <w:rPr>
                <w:b/>
              </w:rPr>
              <w:t xml:space="preserve"/>
            </w:r>
          </w:p>
        </w:tc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 xml:space="preserve"/>
            </w:r>
          </w:p>
        </w:tc>
        <w:tc>
          <w:tcPr>
            <w:tcW w:w="1700" w:type="dxa"/>
            <w:shd w:val="clear" w:color="auto" w:fill="D9E2F3"/>
          </w:tcPr>
          <w:p>
            <w:r>
              <w:rPr>
                <w:b/>
              </w:rP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Poser un composant</w:t>
            </w:r>
          </w:p>
        </w:tc>
        <w:tc>
          <w:tcPr>
            <w:tcW w:w="3200" w:type="dxa"/>
          </w:tcPr>
          <w:p>
            <w:r>
              <w:t xml:space="preserve">Clic sur une LED dans la palette</w:t>
            </w:r>
          </w:p>
        </w:tc>
        <w:tc>
          <w:tcPr>
            <w:tcW w:w="2500" w:type="dxa"/>
          </w:tcPr>
          <w:p>
            <w:r>
              <w:t xml:space="preserve">LED posée au centre du canvas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Glisser-déposer</w:t>
            </w:r>
          </w:p>
        </w:tc>
        <w:tc>
          <w:tcPr>
            <w:tcW w:w="3200" w:type="dxa"/>
          </w:tcPr>
          <w:p>
            <w:r>
              <w:t xml:space="preserve">Glisser une résistance de la palette vers le canvas</w:t>
            </w:r>
          </w:p>
        </w:tc>
        <w:tc>
          <w:tcPr>
            <w:tcW w:w="2500" w:type="dxa"/>
          </w:tcPr>
          <w:p>
            <w:r>
              <w:t xml:space="preserve">Déposée à l’endroit du lâcher (la miniature suit le curseur)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Déplacer (interactif)</w:t>
            </w:r>
          </w:p>
        </w:tc>
        <w:tc>
          <w:tcPr>
            <w:tcW w:w="3200" w:type="dxa"/>
          </w:tcPr>
          <w:p>
            <w:r>
              <w:t xml:space="preserve">Clic droit glissé sur un bouton</w:t>
            </w:r>
          </w:p>
        </w:tc>
        <w:tc>
          <w:tcPr>
            <w:tcW w:w="2500" w:type="dxa"/>
          </w:tcPr>
          <w:p>
            <w:r>
              <w:t xml:space="preserve">Le bouton se déplace (le clic gauche l’actionne)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Rotation / miroir</w:t>
            </w:r>
          </w:p>
        </w:tc>
        <w:tc>
          <w:tcPr>
            <w:tcW w:w="3200" w:type="dxa"/>
          </w:tcPr>
          <w:p>
            <w:r>
              <w:t xml:space="preserve">Sélectionner → barre Orientation ↺ ↻ ⇆ ⇅ (ou touches +/-)</w:t>
            </w:r>
          </w:p>
        </w:tc>
        <w:tc>
          <w:tcPr>
            <w:tcW w:w="2500" w:type="dxa"/>
          </w:tcPr>
          <w:p>
            <w:r>
              <w:t xml:space="preserve">Le composant pivote / se retourne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Câblage</w:t>
            </w:r>
          </w:p>
        </w:tc>
        <w:tc>
          <w:tcPr>
            <w:tcW w:w="3200" w:type="dxa"/>
          </w:tcPr>
          <w:p>
            <w:r>
              <w:t xml:space="preserve">Cliquer une broche dorée puis une autre broche</w:t>
            </w:r>
          </w:p>
        </w:tc>
        <w:tc>
          <w:tcPr>
            <w:tcW w:w="2500" w:type="dxa"/>
          </w:tcPr>
          <w:p>
            <w:r>
              <w:t xml:space="preserve">Un fil relie les deux ; clic sur le fond = coude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Couleur de fil auto</w:t>
            </w:r>
          </w:p>
        </w:tc>
        <w:tc>
          <w:tcPr>
            <w:tcW w:w="3200" w:type="dxa"/>
          </w:tcPr>
          <w:p>
            <w:r>
              <w:t xml:space="preserve">Câbler vers GND puis vers 5V/3V3</w:t>
            </w:r>
          </w:p>
        </w:tc>
        <w:tc>
          <w:tcPr>
            <w:tcW w:w="2500" w:type="dxa"/>
          </w:tcPr>
          <w:p>
            <w:r>
              <w:t xml:space="preserve">Fil noir (GND) / rouge (alimentation) automatiquement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Retouche de fil</w:t>
            </w:r>
          </w:p>
        </w:tc>
        <w:tc>
          <w:tcPr>
            <w:tcW w:w="3200" w:type="dxa"/>
          </w:tcPr>
          <w:p>
            <w:r>
              <w:t xml:space="preserve">Sélectionner un fil ; glisser un coude ; double-clic = insérer ; Suppr sur un coude</w:t>
            </w:r>
          </w:p>
        </w:tc>
        <w:tc>
          <w:tcPr>
            <w:tcW w:w="2500" w:type="dxa"/>
          </w:tcPr>
          <w:p>
            <w:r>
              <w:t xml:space="preserve">Tracé modifié / coude supprimé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Sélection au rectangle</w:t>
            </w:r>
          </w:p>
        </w:tc>
        <w:tc>
          <w:tcPr>
            <w:tcW w:w="3200" w:type="dxa"/>
          </w:tcPr>
          <w:p>
            <w:r>
              <w:t xml:space="preserve">Tracer un cadre englobant 2 composants et leurs fils</w:t>
            </w:r>
          </w:p>
        </w:tc>
        <w:tc>
          <w:tcPr>
            <w:tcW w:w="2500" w:type="dxa"/>
          </w:tcPr>
          <w:p>
            <w:r>
              <w:t xml:space="preserve">Seuls les éléments ENTIÈREMENT encadrés sont sélectionnés</w:t>
            </w:r>
          </w:p>
        </w:tc>
        <w:tc>
          <w:tcPr>
            <w:tcW w:w="1700" w:type="dxa"/>
          </w:tcPr>
          <w:p>
            <w:r>
              <w:t xml:space="preserve">comportement corrigé</w:t>
            </w:r>
          </w:p>
        </w:tc>
      </w:tr>
      <w:tr>
        <w:tc>
          <w:tcPr>
            <w:tcW w:w="2300" w:type="dxa"/>
          </w:tcPr>
          <w:p>
            <w:r>
              <w:t xml:space="preserve">Déplacement de bloc</w:t>
            </w:r>
          </w:p>
        </w:tc>
        <w:tc>
          <w:tcPr>
            <w:tcW w:w="3200" w:type="dxa"/>
          </w:tcPr>
          <w:p>
            <w:r>
              <w:t xml:space="preserve">Déplacer une sélection multiple</w:t>
            </w:r>
          </w:p>
        </w:tc>
        <w:tc>
          <w:tcPr>
            <w:tcW w:w="2500" w:type="dxa"/>
          </w:tcPr>
          <w:p>
            <w:r>
              <w:t xml:space="preserve">Composants ET coudes des fils internes suivent (tracé non déformé)</w:t>
            </w:r>
          </w:p>
        </w:tc>
        <w:tc>
          <w:tcPr>
            <w:tcW w:w="1700" w:type="dxa"/>
          </w:tcPr>
          <w:p>
            <w:r>
              <w:t xml:space="preserve">comportement corrigé</w:t>
            </w:r>
          </w:p>
        </w:tc>
      </w:tr>
      <w:tr>
        <w:tc>
          <w:tcPr>
            <w:tcW w:w="2300" w:type="dxa"/>
          </w:tcPr>
          <w:p>
            <w:r>
              <w:t xml:space="preserve">Zoom</w:t>
            </w:r>
          </w:p>
        </w:tc>
        <w:tc>
          <w:tcPr>
            <w:tcW w:w="3200" w:type="dxa"/>
          </w:tcPr>
          <w:p>
            <w:r>
              <w:t xml:space="preserve">Ctrl + molette sur le canvas</w:t>
            </w:r>
          </w:p>
        </w:tc>
        <w:tc>
          <w:tcPr>
            <w:tcW w:w="2500" w:type="dxa"/>
          </w:tcPr>
          <w:p>
            <w:r>
              <w:t xml:space="preserve">Zoom centré sur le curseur ; badge ⟳ % réinitialise la vue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Platine d’essai</w:t>
            </w:r>
          </w:p>
        </w:tc>
        <w:tc>
          <w:tcPr>
            <w:tcW w:w="3200" w:type="dxa"/>
          </w:tcPr>
          <w:p>
            <w:r>
              <w:t xml:space="preserve">Poser une breadboard, y enficher une LED</w:t>
            </w:r>
          </w:p>
        </w:tc>
        <w:tc>
          <w:tcPr>
            <w:tcW w:w="2500" w:type="dxa"/>
          </w:tcPr>
          <w:p>
            <w:r>
              <w:t xml:space="preserve">Bandes en surbrillance jaune au survol ; enfichage sans fil visible</w:t>
            </w:r>
          </w:p>
        </w:tc>
        <w:tc>
          <w:tcPr>
            <w:tcW w:w="1700" w:type="dxa"/>
          </w:tcPr>
          <w:p>
            <w:r>
              <w:t xml:space="preserve">Mini / Moyenne / Grande</w:t>
            </w:r>
          </w:p>
        </w:tc>
      </w:tr>
      <w:tr>
        <w:tc>
          <w:tcPr>
            <w:tcW w:w="2300" w:type="dxa"/>
          </w:tcPr>
          <w:p>
            <w:r>
              <w:t xml:space="preserve">Effacer / annuler</w:t>
            </w:r>
          </w:p>
        </w:tc>
        <w:tc>
          <w:tcPr>
            <w:tcW w:w="3200" w:type="dxa"/>
          </w:tcPr>
          <w:p>
            <w:r>
              <w:t xml:space="preserve">🗑 (canvas), touche Suppr, Ctrl+Z / Ctrl+Y</w:t>
            </w:r>
          </w:p>
        </w:tc>
        <w:tc>
          <w:tcPr>
            <w:tcW w:w="2500" w:type="dxa"/>
          </w:tcPr>
          <w:p>
            <w:r>
              <w:t xml:space="preserve">Suppression / annulation / rétablissement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Export SVG</w:t>
            </w:r>
          </w:p>
        </w:tc>
        <w:tc>
          <w:tcPr>
            <w:tcW w:w="3200" w:type="dxa"/>
          </w:tcPr>
          <w:p>
            <w:r>
              <w:t xml:space="preserve">Bouton ⬇ SVG</w:t>
            </w:r>
          </w:p>
        </w:tc>
        <w:tc>
          <w:tcPr>
            <w:tcW w:w="2500" w:type="dxa"/>
          </w:tcPr>
          <w:p>
            <w:r>
              <w:t xml:space="preserve">Fichier .svg du schéma enregistré (composants + fils)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Projet .projix</w:t>
            </w:r>
          </w:p>
        </w:tc>
        <w:tc>
          <w:tcPr>
            <w:tcW w:w="3200" w:type="dxa"/>
          </w:tcPr>
          <w:p>
            <w:r>
              <w:t xml:space="preserve">💾 Enregistrer puis 📂 Ouvrir le .projix</w:t>
            </w:r>
          </w:p>
        </w:tc>
        <w:tc>
          <w:tcPr>
            <w:tcW w:w="2500" w:type="dxa"/>
          </w:tcPr>
          <w:p>
            <w:r>
              <w:t xml:space="preserve">Schéma rechargé à l’identique (carte + composants perso)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Noms</w:t>
            </w:r>
          </w:p>
        </w:tc>
        <w:tc>
          <w:tcPr>
            <w:tcW w:w="3200" w:type="dxa"/>
          </w:tcPr>
          <w:p>
            <w:r>
              <w:t xml:space="preserve">Bouton 🏷 Noms</w:t>
            </w:r>
          </w:p>
        </w:tc>
        <w:tc>
          <w:tcPr>
            <w:tcW w:w="2500" w:type="dxa"/>
          </w:tcPr>
          <w:p>
            <w:r>
              <w:t xml:space="preserve">Affiche / masque les noms au-dessus des composants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Composant perso</w:t>
            </w:r>
          </w:p>
        </w:tc>
        <w:tc>
          <w:tcPr>
            <w:tcW w:w="3200" w:type="dxa"/>
          </w:tcPr>
          <w:p>
            <w:r>
              <w:t xml:space="preserve">« + Créer un composant » : nom, modèle, SVG, points de connexion</w:t>
            </w:r>
          </w:p>
        </w:tc>
        <w:tc>
          <w:tcPr>
            <w:tcW w:w="2500" w:type="dxa"/>
          </w:tcPr>
          <w:p>
            <w:r>
              <w:t xml:space="preserve">Composant ★ créé, persistant entre les sessions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Import composant</w:t>
            </w:r>
          </w:p>
        </w:tc>
        <w:tc>
          <w:tcPr>
            <w:tcW w:w="3200" w:type="dxa"/>
          </w:tcPr>
          <w:p>
            <w:r>
              <w:t xml:space="preserve">Palette → ⇪ Importer (.json) → parts/hc-sr04.kablix-part.json</w:t>
            </w:r>
          </w:p>
        </w:tc>
        <w:tc>
          <w:tcPr>
            <w:tcW w:w="2500" w:type="dxa"/>
          </w:tcPr>
          <w:p>
            <w:r>
              <w:t xml:space="preserve">Le composant ★ apparaît dans la palette</w:t>
            </w:r>
          </w:p>
        </w:tc>
        <w:tc>
          <w:tcPr>
            <w:tcW w:w="1700" w:type="dxa"/>
          </w:tcPr>
          <w:p>
            <w:r>
              <w:t xml:space="preserve">dossier parts/</w:t>
            </w:r>
          </w:p>
        </w:tc>
      </w:tr>
      <w:tr>
        <w:tc>
          <w:tcPr>
            <w:tcW w:w="2300" w:type="dxa"/>
          </w:tcPr>
          <w:p>
            <w:r>
              <w:t xml:space="preserve">Import / export Wokwi</w:t>
            </w:r>
          </w:p>
        </w:tc>
        <w:tc>
          <w:tcPr>
            <w:tcW w:w="3200" w:type="dxa"/>
          </w:tcPr>
          <w:p>
            <w:r>
              <w:t xml:space="preserve">Commandes Kablix d’import/export diagram.json</w:t>
            </w:r>
          </w:p>
        </w:tc>
        <w:tc>
          <w:tcPr>
            <w:tcW w:w="2500" w:type="dxa"/>
          </w:tcPr>
          <w:p>
            <w:r>
              <w:t xml:space="preserve">Schéma converti ; types inconnus ignorés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  <w:shd w:val="clear" w:color="auto" w:fill="C6EFCE"/>
          </w:tcPr>
          <w:p>
            <w:r>
              <w:t xml:space="preserve">Fils par-dessus les composants</w:t>
            </w:r>
          </w:p>
        </w:tc>
        <w:tc>
          <w:tcPr>
            <w:tcW w:w="3200" w:type="dxa"/>
            <w:shd w:val="clear" w:color="auto" w:fill="C6EFCE"/>
          </w:tcPr>
          <w:p>
            <w:r>
              <w:t xml:space="preserve">Câbler par-dessus une carte ou un composant</w:t>
            </w:r>
          </w:p>
        </w:tc>
        <w:tc>
          <w:tcPr>
            <w:tcW w:w="2500" w:type="dxa"/>
            <w:shd w:val="clear" w:color="auto" w:fill="C6EFCE"/>
          </w:tcPr>
          <w:p>
            <w:r>
              <w:t xml:space="preserve">Le fil passe TOUJOURS au-dessus (jamais masqué) ; les broches restent cliquables</w:t>
            </w:r>
          </w:p>
        </w:tc>
        <w:tc>
          <w:tcPr>
            <w:tcW w:w="1700" w:type="dxa"/>
            <w:shd w:val="clear" w:color="auto" w:fill="C6EFCE"/>
          </w:tcPr>
          <w:p>
            <w:r>
              <w:t xml:space="preserve"/>
            </w:r>
          </w:p>
        </w:tc>
      </w:tr>
      <w:tr>
        <w:tc>
          <w:tcPr>
            <w:tcW w:w="2300" w:type="dxa"/>
            <w:shd w:val="clear" w:color="auto" w:fill="C6EFCE"/>
          </w:tcPr>
          <w:p>
            <w:r>
              <w:t xml:space="preserve">Déplacer l’extrémité d’un fil</w:t>
            </w:r>
          </w:p>
        </w:tc>
        <w:tc>
          <w:tcPr>
            <w:tcW w:w="3200" w:type="dxa"/>
            <w:shd w:val="clear" w:color="auto" w:fill="C6EFCE"/>
          </w:tcPr>
          <w:p>
            <w:r>
              <w:t xml:space="preserve">Sélectionner un fil → glisser une poignée losange d’extrémité sur une autre broche</w:t>
            </w:r>
          </w:p>
        </w:tc>
        <w:tc>
          <w:tcPr>
            <w:tcW w:w="2500" w:type="dxa"/>
            <w:shd w:val="clear" w:color="auto" w:fill="C6EFCE"/>
          </w:tcPr>
          <w:p>
            <w:r>
              <w:t xml:space="preserve">Le fil se reconnecte à la nouvelle broche</w:t>
            </w:r>
          </w:p>
        </w:tc>
        <w:tc>
          <w:tcPr>
            <w:tcW w:w="1700" w:type="dxa"/>
            <w:shd w:val="clear" w:color="auto" w:fill="C6EFCE"/>
          </w:tcPr>
          <w:p>
            <w:r>
              <w:t xml:space="preserve"/>
            </w:r>
          </w:p>
        </w:tc>
      </w:tr>
      <w:tr>
        <w:tc>
          <w:tcPr>
            <w:tcW w:w="2300" w:type="dxa"/>
            <w:shd w:val="clear" w:color="auto" w:fill="C6EFCE"/>
          </w:tcPr>
          <w:p>
            <w:r>
              <w:t xml:space="preserve">Autoroutage des fils</w:t>
            </w:r>
          </w:p>
        </w:tc>
        <w:tc>
          <w:tcPr>
            <w:tcW w:w="3200" w:type="dxa"/>
            <w:shd w:val="clear" w:color="auto" w:fill="C6EFCE"/>
          </w:tcPr>
          <w:p>
            <w:r>
              <w:t xml:space="preserve">Bouton ∟ (barre droite) — sélection, ou rien = tout le schéma</w:t>
            </w:r>
          </w:p>
        </w:tc>
        <w:tc>
          <w:tcPr>
            <w:tcW w:w="2500" w:type="dxa"/>
            <w:shd w:val="clear" w:color="auto" w:fill="C6EFCE"/>
          </w:tcPr>
          <w:p>
            <w:r>
              <w:t xml:space="preserve">Les fils deviennent strictement horizontaux/verticaux (angles droits)</w:t>
            </w:r>
          </w:p>
        </w:tc>
        <w:tc>
          <w:tcPr>
            <w:tcW w:w="1700" w:type="dxa"/>
            <w:shd w:val="clear" w:color="auto" w:fill="C6EFCE"/>
          </w:tcPr>
          <w:p>
            <w:r>
              <w:t xml:space="preserve"/>
            </w:r>
          </w:p>
        </w:tc>
      </w:tr>
      <w:tr>
        <w:tc>
          <w:tcPr>
            <w:tcW w:w="2300" w:type="dxa"/>
            <w:shd w:val="clear" w:color="auto" w:fill="C6EFCE"/>
          </w:tcPr>
          <w:p>
            <w:r>
              <w:t xml:space="preserve">Export SVG éditable</w:t>
            </w:r>
          </w:p>
        </w:tc>
        <w:tc>
          <w:tcPr>
            <w:tcW w:w="3200" w:type="dxa"/>
            <w:shd w:val="clear" w:color="auto" w:fill="C6EFCE"/>
          </w:tcPr>
          <w:p>
            <w:r>
              <w:t xml:space="preserve">Exporter ⬇ SVG puis ouvrir dans Inkscape</w:t>
            </w:r>
          </w:p>
        </w:tc>
        <w:tc>
          <w:tcPr>
            <w:tcW w:w="2500" w:type="dxa"/>
            <w:shd w:val="clear" w:color="auto" w:fill="C6EFCE"/>
          </w:tcPr>
          <w:p>
            <w:r>
              <w:t xml:space="preserve">Chaque composant est un groupe &lt;g&gt; éditable (plus de &lt;svg&gt; imbriqué)</w:t>
            </w:r>
          </w:p>
        </w:tc>
        <w:tc>
          <w:tcPr>
            <w:tcW w:w="1700" w:type="dxa"/>
            <w:shd w:val="clear" w:color="auto" w:fill="C6EFCE"/>
          </w:tcPr>
          <w:p>
            <w:r>
              <w:t xml:space="preserve"/>
            </w:r>
          </w:p>
        </w:tc>
      </w:tr>
      <w:tr>
        <w:tc>
          <w:tcPr>
            <w:tcW w:w="2300" w:type="dxa"/>
            <w:shd w:val="clear" w:color="auto" w:fill="C6EFCE"/>
          </w:tcPr>
          <w:p>
            <w:r>
              <w:t xml:space="preserve">Sélection auto de la carte</w:t>
            </w:r>
          </w:p>
        </w:tc>
        <w:tc>
          <w:tcPr>
            <w:tcW w:w="3200" w:type="dxa"/>
            <w:shd w:val="clear" w:color="auto" w:fill="C6EFCE"/>
          </w:tcPr>
          <w:p>
            <w:r>
              <w:t xml:space="preserve">Déposer un Arduino Uno puis un Raspberry Pi Pico sur le canvas</w:t>
            </w:r>
          </w:p>
        </w:tc>
        <w:tc>
          <w:tcPr>
            <w:tcW w:w="2500" w:type="dxa"/>
            <w:shd w:val="clear" w:color="auto" w:fill="C6EFCE"/>
          </w:tcPr>
          <w:p>
            <w:r>
              <w:t xml:space="preserve">La carte de simulation devient celle déposée (plus de menu déroulant dans la barre)</w:t>
            </w:r>
          </w:p>
        </w:tc>
        <w:tc>
          <w:tcPr>
            <w:tcW w:w="1700" w:type="dxa"/>
            <w:shd w:val="clear" w:color="auto" w:fill="C6EFCE"/>
          </w:tcPr>
          <w:p>
            <w:r>
              <w:t xml:space="preserve"/>
            </w:r>
          </w:p>
        </w:tc>
      </w:tr>
      <w:tr>
        <w:tc>
          <w:tcPr>
            <w:tcW w:w="2300" w:type="dxa"/>
            <w:shd w:val="clear" w:color="auto" w:fill="C6EFCE"/>
          </w:tcPr>
          <w:p>
            <w:r>
              <w:t xml:space="preserve">Composant perso — aperçu zoomable</w:t>
            </w:r>
          </w:p>
        </w:tc>
        <w:tc>
          <w:tcPr>
            <w:tcW w:w="3200" w:type="dxa"/>
            <w:shd w:val="clear" w:color="auto" w:fill="C6EFCE"/>
          </w:tcPr>
          <w:p>
            <w:r>
              <w:t xml:space="preserve">Créateur : boutons −/+ de zoom ; modifier X/Y d’une broche dans le tableau</w:t>
            </w:r>
          </w:p>
        </w:tc>
        <w:tc>
          <w:tcPr>
            <w:tcW w:w="2500" w:type="dxa"/>
            <w:shd w:val="clear" w:color="auto" w:fill="C6EFCE"/>
          </w:tcPr>
          <w:p>
            <w:r>
              <w:t xml:space="preserve">L’aperçu zoome ; la pastille suit les coordonnées saisies</w:t>
            </w:r>
          </w:p>
        </w:tc>
        <w:tc>
          <w:tcPr>
            <w:tcW w:w="1700" w:type="dxa"/>
            <w:shd w:val="clear" w:color="auto" w:fill="C6EFCE"/>
          </w:tcPr>
          <w:p>
            <w:r>
              <w:t xml:space="preserve"/>
            </w:r>
          </w:p>
        </w:tc>
      </w:tr>
      <w:tr>
        <w:tc>
          <w:tcPr>
            <w:tcW w:w="2300" w:type="dxa"/>
            <w:shd w:val="clear" w:color="auto" w:fill="D9E2F3"/>
          </w:tcPr>
          <w:p>
            <w:r>
              <w:rPr>
                <w:b/>
              </w:rPr>
              <w:t xml:space="preserve">Débogage (commun)</w:t>
            </w:r>
          </w:p>
        </w:tc>
        <w:tc>
          <w:tcPr>
            <w:tcW w:w="3200" w:type="dxa"/>
            <w:shd w:val="clear" w:color="auto" w:fill="D9E2F3"/>
          </w:tcPr>
          <w:p>
            <w:r>
              <w:rPr>
                <w:b/>
              </w:rPr>
              <w:t xml:space="preserve"/>
            </w:r>
          </w:p>
        </w:tc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 xml:space="preserve"/>
            </w:r>
          </w:p>
        </w:tc>
        <w:tc>
          <w:tcPr>
            <w:tcW w:w="1700" w:type="dxa"/>
            <w:shd w:val="clear" w:color="auto" w:fill="D9E2F3"/>
          </w:tcPr>
          <w:p>
            <w:r>
              <w:rPr>
                <w:b/>
              </w:rP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Compiler &amp; exécuter</w:t>
            </w:r>
          </w:p>
        </w:tc>
        <w:tc>
          <w:tcPr>
            <w:tcW w:w="3200" w:type="dxa"/>
          </w:tcPr>
          <w:p>
            <w:r>
              <w:t xml:space="preserve">Choisir le fichier (pastille 📄) puis ▶ Démarrer</w:t>
            </w:r>
          </w:p>
        </w:tc>
        <w:tc>
          <w:tcPr>
            <w:tcW w:w="2500" w:type="dxa"/>
          </w:tcPr>
          <w:p>
            <w:r>
              <w:t xml:space="preserve">Compilation puis exécution ; statut « Running… »</w:t>
            </w:r>
          </w:p>
        </w:tc>
        <w:tc>
          <w:tcPr>
            <w:tcW w:w="1700" w:type="dxa"/>
          </w:tcPr>
          <w:p>
            <w:r>
              <w:t xml:space="preserve">▶ recompile si le source a changé</w:t>
            </w:r>
          </w:p>
        </w:tc>
      </w:tr>
      <w:tr>
        <w:tc>
          <w:tcPr>
            <w:tcW w:w="2300" w:type="dxa"/>
          </w:tcPr>
          <w:p>
            <w:r>
              <w:t xml:space="preserve">Pause / reprise</w:t>
            </w:r>
          </w:p>
        </w:tc>
        <w:tc>
          <w:tcPr>
            <w:tcW w:w="3200" w:type="dxa"/>
          </w:tcPr>
          <w:p>
            <w:r>
              <w:t xml:space="preserve">⏸ puis ▶</w:t>
            </w:r>
          </w:p>
        </w:tc>
        <w:tc>
          <w:tcPr>
            <w:tcW w:w="2500" w:type="dxa"/>
          </w:tcPr>
          <w:p>
            <w:r>
              <w:t xml:space="preserve">La simulation se fige puis reprend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Pas à pas</w:t>
            </w:r>
          </w:p>
        </w:tc>
        <w:tc>
          <w:tcPr>
            <w:tcW w:w="3200" w:type="dxa"/>
          </w:tcPr>
          <w:p>
            <w:r>
              <w:t xml:space="preserve">⏭ Pas</w:t>
            </w:r>
          </w:p>
        </w:tc>
        <w:tc>
          <w:tcPr>
            <w:tcW w:w="2500" w:type="dxa"/>
          </w:tcPr>
          <w:p>
            <w:r>
              <w:t xml:space="preserve">Avance d’une ligne ; ligne surlignée dans l’éditeur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Panneau Variables</w:t>
            </w:r>
          </w:p>
        </w:tc>
        <w:tc>
          <w:tcPr>
            <w:tcW w:w="3200" w:type="dxa"/>
          </w:tcPr>
          <w:p>
            <w:r>
              <w:t xml:space="preserve">Pendant une pause, observer le panneau Variables</w:t>
            </w:r>
          </w:p>
        </w:tc>
        <w:tc>
          <w:tcPr>
            <w:tcW w:w="2500" w:type="dxa"/>
          </w:tcPr>
          <w:p>
            <w:r>
              <w:t xml:space="preserve">Variables globales listées (nom : valeur)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  <w:shd w:val="clear" w:color="auto" w:fill="C6EFCE"/>
          </w:tcPr>
          <w:p>
            <w:r>
              <w:t xml:space="preserve">Variables — aide globales (C)</w:t>
            </w:r>
          </w:p>
        </w:tc>
        <w:tc>
          <w:tcPr>
            <w:tcW w:w="3200" w:type="dxa"/>
            <w:shd w:val="clear" w:color="auto" w:fill="C6EFCE"/>
          </w:tcPr>
          <w:p>
            <w:r>
              <w:t xml:space="preserve">En C/Arduino, pendant une pause</w:t>
            </w:r>
          </w:p>
        </w:tc>
        <w:tc>
          <w:tcPr>
            <w:tcW w:w="2500" w:type="dxa"/>
            <w:shd w:val="clear" w:color="auto" w:fill="C6EFCE"/>
          </w:tcPr>
          <w:p>
            <w:r>
              <w:t xml:space="preserve">En-tête permanent « variables globales uniquement » (clic = aide) ; absent en MicroPython</w:t>
            </w:r>
          </w:p>
        </w:tc>
        <w:tc>
          <w:tcPr>
            <w:tcW w:w="1700" w:type="dxa"/>
            <w:shd w:val="clear" w:color="auto" w:fill="C6EFCE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Variables en rouge</w:t>
            </w:r>
          </w:p>
        </w:tc>
        <w:tc>
          <w:tcPr>
            <w:tcW w:w="3200" w:type="dxa"/>
          </w:tcPr>
          <w:p>
            <w:r>
              <w:t xml:space="preserve">Avancer d’un pas pendant qu’une variable change</w:t>
            </w:r>
          </w:p>
        </w:tc>
        <w:tc>
          <w:tcPr>
            <w:tcW w:w="2500" w:type="dxa"/>
          </w:tcPr>
          <w:p>
            <w:r>
              <w:t xml:space="preserve">Valeur changée en rouge ; au pas suivant elle repasse en noir si inchangée</w:t>
            </w:r>
          </w:p>
        </w:tc>
        <w:tc>
          <w:tcPr>
            <w:tcW w:w="1700" w:type="dxa"/>
          </w:tcPr>
          <w:p>
            <w:r>
              <w:t xml:space="preserve">comportement corrigé</w:t>
            </w:r>
          </w:p>
        </w:tc>
      </w:tr>
      <w:tr>
        <w:tc>
          <w:tcPr>
            <w:tcW w:w="2300" w:type="dxa"/>
          </w:tcPr>
          <w:p>
            <w:r>
              <w:t xml:space="preserve">Point d’arrêt</w:t>
            </w:r>
          </w:p>
        </w:tc>
        <w:tc>
          <w:tcPr>
            <w:tcW w:w="3200" w:type="dxa"/>
          </w:tcPr>
          <w:p>
            <w:r>
              <w:t xml:space="preserve">Cliquer dans la gouttière de l’éditeur</w:t>
            </w:r>
          </w:p>
        </w:tc>
        <w:tc>
          <w:tcPr>
            <w:tcW w:w="2500" w:type="dxa"/>
          </w:tcPr>
          <w:p>
            <w:r>
              <w:t xml:space="preserve">La simulation s’arrête à la ligne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Point d’arrêt conditionnel</w:t>
            </w:r>
          </w:p>
        </w:tc>
        <w:tc>
          <w:tcPr>
            <w:tcW w:w="3200" w:type="dxa"/>
          </w:tcPr>
          <w:p>
            <w:r>
              <w:t xml:space="preserve">Clic droit gouttière → condition (ex. compteur &gt; 100)</w:t>
            </w:r>
          </w:p>
        </w:tc>
        <w:tc>
          <w:tcPr>
            <w:tcW w:w="2500" w:type="dxa"/>
          </w:tcPr>
          <w:p>
            <w:r>
              <w:t xml:space="preserve">Arrêt seulement quand la condition est vraie (MicroPython)</w:t>
            </w:r>
          </w:p>
        </w:tc>
        <w:tc>
          <w:tcPr>
            <w:tcW w:w="1700" w:type="dxa"/>
          </w:tcPr>
          <w:p>
            <w:r>
              <w:t xml:space="preserve">C/AVR : arrêt inconditionnel</w:t>
            </w:r>
          </w:p>
        </w:tc>
      </w:tr>
      <w:tr>
        <w:tc>
          <w:tcPr>
            <w:tcW w:w="2300" w:type="dxa"/>
          </w:tcPr>
          <w:p>
            <w:r>
              <w:t xml:space="preserve">Vitesse</w:t>
            </w:r>
          </w:p>
        </w:tc>
        <w:tc>
          <w:tcPr>
            <w:tcW w:w="3200" w:type="dxa"/>
          </w:tcPr>
          <w:p>
            <w:r>
              <w:t xml:space="preserve">Sélecteur 🐇 / 🐢 / 🐌</w:t>
            </w:r>
          </w:p>
        </w:tc>
        <w:tc>
          <w:tcPr>
            <w:tcW w:w="2500" w:type="dxa"/>
          </w:tcPr>
          <w:p>
            <w:r>
              <w:t xml:space="preserve">Ralentit l’exécution (Uno)</w:t>
            </w:r>
          </w:p>
        </w:tc>
        <w:tc>
          <w:tcPr>
            <w:tcW w:w="1700" w:type="dxa"/>
          </w:tcPr>
          <w:p>
            <w:r>
              <w:t xml:space="preserve">RP2040 : non réglable</w:t>
            </w:r>
          </w:p>
        </w:tc>
      </w:tr>
      <w:tr>
        <w:tc>
          <w:tcPr>
            <w:tcW w:w="2300" w:type="dxa"/>
          </w:tcPr>
          <w:p>
            <w:r>
              <w:t xml:space="preserve">Réinitialiser</w:t>
            </w:r>
          </w:p>
        </w:tc>
        <w:tc>
          <w:tcPr>
            <w:tcW w:w="3200" w:type="dxa"/>
          </w:tcPr>
          <w:p>
            <w:r>
              <w:t xml:space="preserve">Bouton ⟲</w:t>
            </w:r>
          </w:p>
        </w:tc>
        <w:tc>
          <w:tcPr>
            <w:tcW w:w="2500" w:type="dxa"/>
          </w:tcPr>
          <w:p>
            <w:r>
              <w:t xml:space="preserve">Composants remis à leur état initial sans toucher au câblage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  <w:shd w:val="clear" w:color="auto" w:fill="D9E2F3"/>
          </w:tcPr>
          <w:p>
            <w:r>
              <w:rPr>
                <w:b/>
              </w:rPr>
              <w:t xml:space="preserve">Partie 1 — AVR : Arduino Uno</w:t>
            </w:r>
          </w:p>
        </w:tc>
        <w:tc>
          <w:tcPr>
            <w:tcW w:w="3200" w:type="dxa"/>
            <w:shd w:val="clear" w:color="auto" w:fill="D9E2F3"/>
          </w:tcPr>
          <w:p>
            <w:r>
              <w:rPr>
                <w:b/>
              </w:rPr>
              <w:t xml:space="preserve"/>
            </w:r>
          </w:p>
        </w:tc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 xml:space="preserve"/>
            </w:r>
          </w:p>
        </w:tc>
        <w:tc>
          <w:tcPr>
            <w:tcW w:w="1700" w:type="dxa"/>
            <w:shd w:val="clear" w:color="auto" w:fill="D9E2F3"/>
          </w:tcPr>
          <w:p>
            <w:r>
              <w:rPr>
                <w:b/>
              </w:rP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Carte Uno</w:t>
            </w:r>
          </w:p>
        </w:tc>
        <w:tc>
          <w:tcPr>
            <w:tcW w:w="3200" w:type="dxa"/>
          </w:tcPr>
          <w:p>
            <w:r>
              <w:t xml:space="preserve">Sélecteur → Arduino Uno ; ▶ avec un blink sur D13</w:t>
            </w:r>
          </w:p>
        </w:tc>
        <w:tc>
          <w:tcPr>
            <w:tcW w:w="2500" w:type="dxa"/>
          </w:tcPr>
          <w:p>
            <w:r>
              <w:t xml:space="preserve">La LED sur D13 clignote (~1 Hz)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LED</w:t>
            </w:r>
          </w:p>
        </w:tc>
        <w:tc>
          <w:tcPr>
            <w:tcW w:w="3200" w:type="dxa"/>
          </w:tcPr>
          <w:p>
            <w:r>
              <w:t xml:space="preserve">A → D13 (via résistance 220 Ω), K → GND ; digitalWrite(13, HIGH/LOW)</w:t>
            </w:r>
          </w:p>
        </w:tc>
        <w:tc>
          <w:tcPr>
            <w:tcW w:w="2500" w:type="dxa"/>
          </w:tcPr>
          <w:p>
            <w:r>
              <w:t xml:space="preserve">La LED s’allume / s’éteint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  <w:shd w:val="clear" w:color="auto" w:fill="C6EFCE"/>
          </w:tcPr>
          <w:p>
            <w:r>
              <w:t xml:space="preserve">LED / diodes — cathode K</w:t>
            </w:r>
          </w:p>
        </w:tc>
        <w:tc>
          <w:tcPr>
            <w:tcW w:w="3200" w:type="dxa"/>
            <w:shd w:val="clear" w:color="auto" w:fill="C6EFCE"/>
          </w:tcPr>
          <w:p>
            <w:r>
              <w:t xml:space="preserve">Survoler les broches d’une LED puis d’une barre de LED</w:t>
            </w:r>
          </w:p>
        </w:tc>
        <w:tc>
          <w:tcPr>
            <w:tcW w:w="2500" w:type="dxa"/>
            <w:shd w:val="clear" w:color="auto" w:fill="C6EFCE"/>
          </w:tcPr>
          <w:p>
            <w:r>
              <w:t xml:space="preserve">La cathode est notée « K » (et K1..K10 sur la barre)</w:t>
            </w:r>
          </w:p>
        </w:tc>
        <w:tc>
          <w:tcPr>
            <w:tcW w:w="1700" w:type="dxa"/>
            <w:shd w:val="clear" w:color="auto" w:fill="C6EFCE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RGB LED</w:t>
            </w:r>
          </w:p>
        </w:tc>
        <w:tc>
          <w:tcPr>
            <w:tcW w:w="3200" w:type="dxa"/>
          </w:tcPr>
          <w:p>
            <w:r>
              <w:t xml:space="preserve">R/V/B → 3 broches PWM ; analogWrite</w:t>
            </w:r>
          </w:p>
        </w:tc>
        <w:tc>
          <w:tcPr>
            <w:tcW w:w="2500" w:type="dxa"/>
          </w:tcPr>
          <w:p>
            <w:r>
              <w:t xml:space="preserve">La couleur résultante s’affiche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Bouton poussoir</w:t>
            </w:r>
          </w:p>
        </w:tc>
        <w:tc>
          <w:tcPr>
            <w:tcW w:w="3200" w:type="dxa"/>
          </w:tcPr>
          <w:p>
            <w:r>
              <w:t xml:space="preserve">Bouton → D2 (autre patte GND) ; INPUT_PULLUP</w:t>
            </w:r>
          </w:p>
        </w:tc>
        <w:tc>
          <w:tcPr>
            <w:tcW w:w="2500" w:type="dxa"/>
          </w:tcPr>
          <w:p>
            <w:r>
              <w:t xml:space="preserve">digitalRead(2) = LOW à l’appui ; LED pilotée suit</w:t>
            </w:r>
          </w:p>
        </w:tc>
        <w:tc>
          <w:tcPr>
            <w:tcW w:w="1700" w:type="dxa"/>
          </w:tcPr>
          <w:p>
            <w:r>
              <w:t xml:space="preserve">clic = transitoire, Ctrl+clic = maintenu</w:t>
            </w:r>
          </w:p>
        </w:tc>
      </w:tr>
      <w:tr>
        <w:tc>
          <w:tcPr>
            <w:tcW w:w="2300" w:type="dxa"/>
          </w:tcPr>
          <w:p>
            <w:r>
              <w:t xml:space="preserve">Bouton 6 mm</w:t>
            </w:r>
          </w:p>
        </w:tc>
        <w:tc>
          <w:tcPr>
            <w:tcW w:w="3200" w:type="dxa"/>
          </w:tcPr>
          <w:p>
            <w:r>
              <w:t xml:space="preserve">Idem bouton poussoir</w:t>
            </w:r>
          </w:p>
        </w:tc>
        <w:tc>
          <w:tcPr>
            <w:tcW w:w="2500" w:type="dxa"/>
          </w:tcPr>
          <w:p>
            <w:r>
              <w:t xml:space="preserve">Idem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Résistance</w:t>
            </w:r>
          </w:p>
        </w:tc>
        <w:tc>
          <w:tcPr>
            <w:tcW w:w="3200" w:type="dxa"/>
          </w:tcPr>
          <w:p>
            <w:r>
              <w:t xml:space="preserve">En série avec une LED</w:t>
            </w:r>
          </w:p>
        </w:tc>
        <w:tc>
          <w:tcPr>
            <w:tcW w:w="2500" w:type="dxa"/>
          </w:tcPr>
          <w:p>
            <w:r>
              <w:t xml:space="preserve">La LED s’allume (continuité)</w:t>
            </w:r>
          </w:p>
        </w:tc>
        <w:tc>
          <w:tcPr>
            <w:tcW w:w="1700" w:type="dxa"/>
          </w:tcPr>
          <w:p>
            <w:r>
              <w:t xml:space="preserve">valeur non simulée</w:t>
            </w:r>
          </w:p>
        </w:tc>
      </w:tr>
      <w:tr>
        <w:tc>
          <w:tcPr>
            <w:tcW w:w="2300" w:type="dxa"/>
          </w:tcPr>
          <w:p>
            <w:r>
              <w:t xml:space="preserve">Buzzer</w:t>
            </w:r>
          </w:p>
        </w:tc>
        <w:tc>
          <w:tcPr>
            <w:tcW w:w="3200" w:type="dxa"/>
          </w:tcPr>
          <w:p>
            <w:r>
              <w:t xml:space="preserve">Broche → buzzer ; niveau haut / tone()</w:t>
            </w:r>
          </w:p>
        </w:tc>
        <w:tc>
          <w:tcPr>
            <w:tcW w:w="2500" w:type="dxa"/>
          </w:tcPr>
          <w:p>
            <w:r>
              <w:t xml:space="preserve">Halo « actif » sur le buzzer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Potentiomètre</w:t>
            </w:r>
          </w:p>
        </w:tc>
        <w:tc>
          <w:tcPr>
            <w:tcW w:w="3200" w:type="dxa"/>
          </w:tcPr>
          <w:p>
            <w:r>
              <w:t xml:space="preserve">Curseur → A0 ; analogRead(A0)</w:t>
            </w:r>
          </w:p>
        </w:tc>
        <w:tc>
          <w:tcPr>
            <w:tcW w:w="2500" w:type="dxa"/>
          </w:tcPr>
          <w:p>
            <w:r>
              <w:t xml:space="preserve">Valeur 0–1023 varie avec le curseur de l’inspecteur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Potentiomètre à glissière</w:t>
            </w:r>
          </w:p>
        </w:tc>
        <w:tc>
          <w:tcPr>
            <w:tcW w:w="3200" w:type="dxa"/>
          </w:tcPr>
          <w:p>
            <w:r>
              <w:t xml:space="preserve">Curseur → A0</w:t>
            </w:r>
          </w:p>
        </w:tc>
        <w:tc>
          <w:tcPr>
            <w:tcW w:w="2500" w:type="dxa"/>
          </w:tcPr>
          <w:p>
            <w:r>
              <w:t xml:space="preserve">Idem potentiomètre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  <w:shd w:val="clear" w:color="auto" w:fill="C6EFCE"/>
          </w:tcPr>
          <w:p>
            <w:r>
              <w:t xml:space="preserve">Potentiomètre — câblage inversé</w:t>
            </w:r>
          </w:p>
        </w:tc>
        <w:tc>
          <w:tcPr>
            <w:tcW w:w="3200" w:type="dxa"/>
            <w:shd w:val="clear" w:color="auto" w:fill="C6EFCE"/>
          </w:tcPr>
          <w:p>
            <w:r>
              <w:t xml:space="preserve">Permuter VCC et GND sur les extrémités du rail (broches 1 et 2)</w:t>
            </w:r>
          </w:p>
        </w:tc>
        <w:tc>
          <w:tcPr>
            <w:tcW w:w="2500" w:type="dxa"/>
            <w:shd w:val="clear" w:color="auto" w:fill="C6EFCE"/>
          </w:tcPr>
          <w:p>
            <w:r>
              <w:t xml:space="preserve">La lecture analogique varie en sens INVERSE du curseur</w:t>
            </w:r>
          </w:p>
        </w:tc>
        <w:tc>
          <w:tcPr>
            <w:tcW w:w="1700" w:type="dxa"/>
            <w:shd w:val="clear" w:color="auto" w:fill="C6EFCE"/>
          </w:tcPr>
          <w:p>
            <w:r>
              <w:t xml:space="preserve">détection automatique</w:t>
            </w:r>
          </w:p>
        </w:tc>
      </w:tr>
      <w:tr>
        <w:tc>
          <w:tcPr>
            <w:tcW w:w="2300" w:type="dxa"/>
            <w:shd w:val="clear" w:color="auto" w:fill="C6EFCE"/>
          </w:tcPr>
          <w:p>
            <w:r>
              <w:t xml:space="preserve">Afficheur 7 segments</w:t>
            </w:r>
          </w:p>
        </w:tc>
        <w:tc>
          <w:tcPr>
            <w:tcW w:w="3200" w:type="dxa"/>
            <w:shd w:val="clear" w:color="auto" w:fill="C6EFCE"/>
          </w:tcPr>
          <w:p>
            <w:r>
              <w:t xml:space="preserve">Segments → broches ; COM.1/COM.2 → GND (cathode) ou 5V (anode) ; choisir « Broche commune » dans l’inspecteur</w:t>
            </w:r>
          </w:p>
        </w:tc>
        <w:tc>
          <w:tcPr>
            <w:tcW w:w="2500" w:type="dxa"/>
            <w:shd w:val="clear" w:color="auto" w:fill="C6EFCE"/>
          </w:tcPr>
          <w:p>
            <w:r>
              <w:t xml:space="preserve">Le bon segment s’allume (logique cathode OU anode commune)</w:t>
            </w:r>
          </w:p>
        </w:tc>
        <w:tc>
          <w:tcPr>
            <w:tcW w:w="1700" w:type="dxa"/>
            <w:shd w:val="clear" w:color="auto" w:fill="C6EFCE"/>
          </w:tcPr>
          <w:p>
            <w:r>
              <w:t xml:space="preserve">broche commune corrigée (COM, plus DIG1)</w:t>
            </w:r>
          </w:p>
        </w:tc>
      </w:tr>
      <w:tr>
        <w:tc>
          <w:tcPr>
            <w:tcW w:w="2300" w:type="dxa"/>
            <w:shd w:val="clear" w:color="auto" w:fill="C6EFCE"/>
          </w:tcPr>
          <w:p>
            <w:r>
              <w:t xml:space="preserve">7 segments — schéma interne</w:t>
            </w:r>
          </w:p>
        </w:tc>
        <w:tc>
          <w:tcPr>
            <w:tcW w:w="3200" w:type="dxa"/>
            <w:shd w:val="clear" w:color="auto" w:fill="C6EFCE"/>
          </w:tcPr>
          <w:p>
            <w:r>
              <w:t xml:space="preserve">Sélectionner l’afficheur → bouton ☢</w:t>
            </w:r>
          </w:p>
        </w:tc>
        <w:tc>
          <w:tcPr>
            <w:tcW w:w="2500" w:type="dxa"/>
            <w:shd w:val="clear" w:color="auto" w:fill="C6EFCE"/>
          </w:tcPr>
          <w:p>
            <w:r>
              <w:t xml:space="preserve">Étoile de 8 diodes vers le commun (sens selon cathode/anode)</w:t>
            </w:r>
          </w:p>
        </w:tc>
        <w:tc>
          <w:tcPr>
            <w:tcW w:w="1700" w:type="dxa"/>
            <w:shd w:val="clear" w:color="auto" w:fill="C6EFCE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Barre de LED</w:t>
            </w:r>
          </w:p>
        </w:tc>
        <w:tc>
          <w:tcPr>
            <w:tcW w:w="3200" w:type="dxa"/>
          </w:tcPr>
          <w:p>
            <w:r>
              <w:t xml:space="preserve">Broches → barre ; allumer N segments</w:t>
            </w:r>
          </w:p>
        </w:tc>
        <w:tc>
          <w:tcPr>
            <w:tcW w:w="2500" w:type="dxa"/>
          </w:tcPr>
          <w:p>
            <w:r>
              <w:t xml:space="preserve">N segments allumés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  <w:shd w:val="clear" w:color="auto" w:fill="C6EFCE"/>
          </w:tcPr>
          <w:p>
            <w:r>
              <w:t xml:space="preserve">Barre de LED — schéma interne</w:t>
            </w:r>
          </w:p>
        </w:tc>
        <w:tc>
          <w:tcPr>
            <w:tcW w:w="3200" w:type="dxa"/>
            <w:shd w:val="clear" w:color="auto" w:fill="C6EFCE"/>
          </w:tcPr>
          <w:p>
            <w:r>
              <w:t xml:space="preserve">Sélectionner la barre → bouton ☢</w:t>
            </w:r>
          </w:p>
        </w:tc>
        <w:tc>
          <w:tcPr>
            <w:tcW w:w="2500" w:type="dxa"/>
            <w:shd w:val="clear" w:color="auto" w:fill="C6EFCE"/>
          </w:tcPr>
          <w:p>
            <w:r>
              <w:t xml:space="preserve">10 diodes A→K dessinées en surimpression</w:t>
            </w:r>
          </w:p>
        </w:tc>
        <w:tc>
          <w:tcPr>
            <w:tcW w:w="1700" w:type="dxa"/>
            <w:shd w:val="clear" w:color="auto" w:fill="C6EFCE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Interrupteur à glissière</w:t>
            </w:r>
          </w:p>
        </w:tc>
        <w:tc>
          <w:tcPr>
            <w:tcW w:w="3200" w:type="dxa"/>
          </w:tcPr>
          <w:p>
            <w:r>
              <w:t xml:space="preserve">Position → broche</w:t>
            </w:r>
          </w:p>
        </w:tc>
        <w:tc>
          <w:tcPr>
            <w:tcW w:w="2500" w:type="dxa"/>
          </w:tcPr>
          <w:p>
            <w:r>
              <w:t xml:space="preserve">digitalRead suit la position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DIP switch ×8</w:t>
            </w:r>
          </w:p>
        </w:tc>
        <w:tc>
          <w:tcPr>
            <w:tcW w:w="3200" w:type="dxa"/>
          </w:tcPr>
          <w:p>
            <w:r>
              <w:t xml:space="preserve">Canaux → broches</w:t>
            </w:r>
          </w:p>
        </w:tc>
        <w:tc>
          <w:tcPr>
            <w:tcW w:w="2500" w:type="dxa"/>
          </w:tcPr>
          <w:p>
            <w:r>
              <w:t xml:space="preserve">Chaque canal fermé tire sa broche à LOW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Joystick analogique</w:t>
            </w:r>
          </w:p>
        </w:tc>
        <w:tc>
          <w:tcPr>
            <w:tcW w:w="3200" w:type="dxa"/>
          </w:tcPr>
          <w:p>
            <w:r>
              <w:t xml:space="preserve">VRx → A0, VRy → A1, SW → D2</w:t>
            </w:r>
          </w:p>
        </w:tc>
        <w:tc>
          <w:tcPr>
            <w:tcW w:w="2500" w:type="dxa"/>
          </w:tcPr>
          <w:p>
            <w:r>
              <w:t xml:space="preserve">analogRead X/Y varient ; SW = bouton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Photorésistance (LDR)</w:t>
            </w:r>
          </w:p>
        </w:tc>
        <w:tc>
          <w:tcPr>
            <w:tcW w:w="3200" w:type="dxa"/>
          </w:tcPr>
          <w:p>
            <w:r>
              <w:t xml:space="preserve">OUT → A0 ; régler « luminosité » dans l’inspecteur</w:t>
            </w:r>
          </w:p>
        </w:tc>
        <w:tc>
          <w:tcPr>
            <w:tcW w:w="2500" w:type="dxa"/>
          </w:tcPr>
          <w:p>
            <w:r>
              <w:t xml:space="preserve">analogRead(A0) varie avec le réglage</w:t>
            </w:r>
          </w:p>
        </w:tc>
        <w:tc>
          <w:tcPr>
            <w:tcW w:w="1700" w:type="dxa"/>
          </w:tcPr>
          <w:p>
            <w:r>
              <w:t xml:space="preserve">source analogique</w:t>
            </w:r>
          </w:p>
        </w:tc>
      </w:tr>
      <w:tr>
        <w:tc>
          <w:tcPr>
            <w:tcW w:w="2300" w:type="dxa"/>
          </w:tcPr>
          <w:p>
            <w:r>
              <w:t xml:space="preserve">Capteurs NTC / gaz / pouls</w:t>
            </w:r>
          </w:p>
        </w:tc>
        <w:tc>
          <w:tcPr>
            <w:tcW w:w="3200" w:type="dxa"/>
          </w:tcPr>
          <w:p>
            <w:r>
              <w:t xml:space="preserve">Sortie → entrée analogique ; régler la valeur</w:t>
            </w:r>
          </w:p>
        </w:tc>
        <w:tc>
          <w:tcPr>
            <w:tcW w:w="2500" w:type="dxa"/>
          </w:tcPr>
          <w:p>
            <w:r>
              <w:t xml:space="preserve">analogRead varie</w:t>
            </w:r>
          </w:p>
        </w:tc>
        <w:tc>
          <w:tcPr>
            <w:tcW w:w="1700" w:type="dxa"/>
          </w:tcPr>
          <w:p>
            <w:r>
              <w:t xml:space="preserve">sources analogiques</w:t>
            </w:r>
          </w:p>
        </w:tc>
      </w:tr>
      <w:tr>
        <w:tc>
          <w:tcPr>
            <w:tcW w:w="2300" w:type="dxa"/>
          </w:tcPr>
          <w:p>
            <w:r>
              <w:t xml:space="preserve">Capteurs PIR / inclinaison / flamme / son</w:t>
            </w:r>
          </w:p>
        </w:tc>
        <w:tc>
          <w:tcPr>
            <w:tcW w:w="3200" w:type="dxa"/>
          </w:tcPr>
          <w:p>
            <w:r>
              <w:t xml:space="preserve">Sortie → entrée ; basculer l’état dans l’inspecteur</w:t>
            </w:r>
          </w:p>
        </w:tc>
        <w:tc>
          <w:tcPr>
            <w:tcW w:w="2500" w:type="dxa"/>
          </w:tcPr>
          <w:p>
            <w:r>
              <w:t xml:space="preserve">digitalRead suit l’état (0/1)</w:t>
            </w:r>
          </w:p>
        </w:tc>
        <w:tc>
          <w:tcPr>
            <w:tcW w:w="1700" w:type="dxa"/>
          </w:tcPr>
          <w:p>
            <w:r>
              <w:t xml:space="preserve">sources numériques</w:t>
            </w:r>
          </w:p>
        </w:tc>
      </w:tr>
      <w:tr>
        <w:tc>
          <w:tcPr>
            <w:tcW w:w="2300" w:type="dxa"/>
          </w:tcPr>
          <w:p>
            <w:r>
              <w:t xml:space="preserve">Servomoteur</w:t>
            </w:r>
          </w:p>
        </w:tc>
        <w:tc>
          <w:tcPr>
            <w:tcW w:w="3200" w:type="dxa"/>
          </w:tcPr>
          <w:p>
            <w:r>
              <w:t xml:space="preserve">Signal → D9 ; Servo.write(0 / 90 / 180)</w:t>
            </w:r>
          </w:p>
        </w:tc>
        <w:tc>
          <w:tcPr>
            <w:tcW w:w="2500" w:type="dxa"/>
          </w:tcPr>
          <w:p>
            <w:r>
              <w:t xml:space="preserve">Le bras se positionne à l’angle RÉEL (largeur d’impulsion)</w:t>
            </w:r>
          </w:p>
        </w:tc>
        <w:tc>
          <w:tcPr>
            <w:tcW w:w="1700" w:type="dxa"/>
          </w:tcPr>
          <w:p>
            <w:r>
              <w:t xml:space="preserve">angle réel mesuré</w:t>
            </w:r>
          </w:p>
        </w:tc>
      </w:tr>
      <w:tr>
        <w:tc>
          <w:tcPr>
            <w:tcW w:w="2300" w:type="dxa"/>
          </w:tcPr>
          <w:p>
            <w:r>
              <w:t xml:space="preserve">HC-SR04 (ultrason)</w:t>
            </w:r>
          </w:p>
        </w:tc>
        <w:tc>
          <w:tcPr>
            <w:tcW w:w="3200" w:type="dxa"/>
          </w:tcPr>
          <w:p>
            <w:r>
              <w:t xml:space="preserve">Trig → D2, Echo → D3 ; impulsion + pulseIn(Echo) ; curseurs distance ET température</w:t>
            </w:r>
          </w:p>
        </w:tc>
        <w:tc>
          <w:tcPr>
            <w:tcW w:w="2500" w:type="dxa"/>
          </w:tcPr>
          <w:p>
            <w:r>
              <w:t xml:space="preserve">Distance mesurée ≈ valeur réglée à 20 °C ; refroidir l’air ALLONGE l’écho (obstacle vu plus loin)</w:t>
            </w:r>
          </w:p>
        </w:tc>
        <w:tc>
          <w:tcPr>
            <w:tcW w:w="1700" w:type="dxa"/>
          </w:tcPr>
          <w:p>
            <w:r>
              <w:t xml:space="preserve">58 µs/cm à 20 °C seulement</w:t>
            </w:r>
          </w:p>
        </w:tc>
      </w:tr>
      <w:tr>
        <w:tc>
          <w:tcPr>
            <w:tcW w:w="2300" w:type="dxa"/>
          </w:tcPr>
          <w:p>
            <w:r>
              <w:t xml:space="preserve">LCD 16×2 I²C</w:t>
            </w:r>
          </w:p>
        </w:tc>
        <w:tc>
          <w:tcPr>
            <w:tcW w:w="3200" w:type="dxa"/>
          </w:tcPr>
          <w:p>
            <w:r>
              <w:t xml:space="preserve">SDA → A4, SCL → A5 ; LiquidCrystal_I2C ; lcd.print("…")</w:t>
            </w:r>
          </w:p>
        </w:tc>
        <w:tc>
          <w:tcPr>
            <w:tcW w:w="2500" w:type="dxa"/>
          </w:tcPr>
          <w:p>
            <w:r>
              <w:t xml:space="preserve">Le texte s’affiche superposé sur l’écran</w:t>
            </w:r>
          </w:p>
        </w:tc>
        <w:tc>
          <w:tcPr>
            <w:tcW w:w="1700" w:type="dxa"/>
          </w:tcPr>
          <w:p>
            <w:r>
              <w:t xml:space="preserve">adresse 0x27</w:t>
            </w:r>
          </w:p>
        </w:tc>
      </w:tr>
      <w:tr>
        <w:tc>
          <w:tcPr>
            <w:tcW w:w="2300" w:type="dxa"/>
          </w:tcPr>
          <w:p>
            <w:r>
              <w:t xml:space="preserve">PCA9685 (16 PWM)</w:t>
            </w:r>
          </w:p>
        </w:tc>
        <w:tc>
          <w:tcPr>
            <w:tcW w:w="3200" w:type="dxa"/>
          </w:tcPr>
          <w:p>
            <w:r>
              <w:t xml:space="preserve">SDA → A4, SCL → A5 ; régler un canal ; servo/LED relié à PWMn</w:t>
            </w:r>
          </w:p>
        </w:tc>
        <w:tc>
          <w:tcPr>
            <w:tcW w:w="2500" w:type="dxa"/>
          </w:tcPr>
          <w:p>
            <w:r>
              <w:t xml:space="preserve">Le servo/LED suit le rapport cyclique du canal</w:t>
            </w:r>
          </w:p>
        </w:tc>
        <w:tc>
          <w:tcPr>
            <w:tcW w:w="1700" w:type="dxa"/>
          </w:tcPr>
          <w:p>
            <w:r>
              <w:t xml:space="preserve">I²C 0x40</w:t>
            </w:r>
          </w:p>
        </w:tc>
      </w:tr>
      <w:tr>
        <w:tc>
          <w:tcPr>
            <w:tcW w:w="2300" w:type="dxa"/>
          </w:tcPr>
          <w:p>
            <w:r>
              <w:t xml:space="preserve">OLED SSD1306 (SPI)</w:t>
            </w:r>
          </w:p>
        </w:tc>
        <w:tc>
          <w:tcPr>
            <w:tcW w:w="3200" w:type="dxa"/>
          </w:tcPr>
          <w:p>
            <w:r>
              <w:t xml:space="preserve">DATA → D11, CLK → D13, DC → D9, CS → D10 ; Adafruit_SSD1306 dessine</w:t>
            </w:r>
          </w:p>
        </w:tc>
        <w:tc>
          <w:tcPr>
            <w:tcW w:w="2500" w:type="dxa"/>
          </w:tcPr>
          <w:p>
            <w:r>
              <w:t xml:space="preserve">Le dessin s’affiche (blanc sur noir)</w:t>
            </w:r>
          </w:p>
        </w:tc>
        <w:tc>
          <w:tcPr>
            <w:tcW w:w="1700" w:type="dxa"/>
          </w:tcPr>
          <w:p>
            <w:r>
              <w:t xml:space="preserve">SPI 4 fils</w:t>
            </w:r>
          </w:p>
        </w:tc>
      </w:tr>
      <w:tr>
        <w:tc>
          <w:tcPr>
            <w:tcW w:w="2300" w:type="dxa"/>
          </w:tcPr>
          <w:p>
            <w:r>
              <w:t xml:space="preserve">Écran TFT ILI9341 (SPI)</w:t>
            </w:r>
          </w:p>
        </w:tc>
        <w:tc>
          <w:tcPr>
            <w:tcW w:w="3200" w:type="dxa"/>
          </w:tcPr>
          <w:p>
            <w:r>
              <w:t xml:space="preserve">MOSI → D11, SCK → D13, D/C → D9, CS → D10 ; remplir / dessiner</w:t>
            </w:r>
          </w:p>
        </w:tc>
        <w:tc>
          <w:tcPr>
            <w:tcW w:w="2500" w:type="dxa"/>
          </w:tcPr>
          <w:p>
            <w:r>
              <w:t xml:space="preserve">L’image couleur s’affiche (240×320)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Carte microSD (SPI)</w:t>
            </w:r>
          </w:p>
        </w:tc>
        <w:tc>
          <w:tcPr>
            <w:tcW w:w="3200" w:type="dxa"/>
          </w:tcPr>
          <w:p>
            <w:r>
              <w:t xml:space="preserve">DI → D11, DO → D12, SCK → D13, CS → D4 ; SD.begin(CS)</w:t>
            </w:r>
          </w:p>
        </w:tc>
        <w:tc>
          <w:tcPr>
            <w:tcW w:w="2500" w:type="dxa"/>
          </w:tcPr>
          <w:p>
            <w:r>
              <w:t xml:space="preserve">SD.begin réussit (carte détectée)</w:t>
            </w:r>
          </w:p>
        </w:tc>
        <w:tc>
          <w:tcPr>
            <w:tcW w:w="1700" w:type="dxa"/>
          </w:tcPr>
          <w:p>
            <w:r>
              <w:t xml:space="preserve">pas de FAT préchargé → open() de fichier échoue</w:t>
            </w:r>
          </w:p>
        </w:tc>
      </w:tr>
      <w:tr>
        <w:tc>
          <w:tcPr>
            <w:tcW w:w="2300" w:type="dxa"/>
          </w:tcPr>
          <w:p>
            <w:r>
              <w:t xml:space="preserve">NeoPixel / matrice / anneau</w:t>
            </w:r>
          </w:p>
        </w:tc>
        <w:tc>
          <w:tcPr>
            <w:tcW w:w="3200" w:type="dxa"/>
          </w:tcPr>
          <w:p>
            <w:r>
              <w:t xml:space="preserve">DIN → D6 ; Adafruit_NeoPixel setPixelColor + show()</w:t>
            </w:r>
          </w:p>
        </w:tc>
        <w:tc>
          <w:tcPr>
            <w:tcW w:w="2500" w:type="dxa"/>
          </w:tcPr>
          <w:p>
            <w:r>
              <w:t xml:space="preserve">Les LED prennent les couleurs définies</w:t>
            </w:r>
          </w:p>
        </w:tc>
        <w:tc>
          <w:tcPr>
            <w:tcW w:w="1700" w:type="dxa"/>
          </w:tcPr>
          <w:p>
            <w:r>
              <w:t xml:space="preserve">WS2812</w:t>
            </w:r>
          </w:p>
        </w:tc>
      </w:tr>
      <w:tr>
        <w:tc>
          <w:tcPr>
            <w:tcW w:w="2300" w:type="dxa"/>
          </w:tcPr>
          <w:p>
            <w:r>
              <w:t xml:space="preserve">Moniteur série</w:t>
            </w:r>
          </w:p>
        </w:tc>
        <w:tc>
          <w:tcPr>
            <w:tcW w:w="3200" w:type="dxa"/>
          </w:tcPr>
          <w:p>
            <w:r>
              <w:t xml:space="preserve">Serial.begin/print ; envoyer du texte dans le champ</w:t>
            </w:r>
          </w:p>
        </w:tc>
        <w:tc>
          <w:tcPr>
            <w:tcW w:w="2500" w:type="dxa"/>
          </w:tcPr>
          <w:p>
            <w:r>
              <w:t xml:space="preserve">Sortie affichée ; texte reçu côté µC</w:t>
            </w:r>
          </w:p>
        </w:tc>
        <w:tc>
          <w:tcPr>
            <w:tcW w:w="1700" w:type="dxa"/>
          </w:tcPr>
          <w:p>
            <w:r>
              <w:t xml:space="preserve">accents OK (UTF-8)</w:t>
            </w:r>
          </w:p>
        </w:tc>
      </w:tr>
      <w:tr>
        <w:tc>
          <w:tcPr>
            <w:tcW w:w="2300" w:type="dxa"/>
            <w:shd w:val="clear" w:color="auto" w:fill="D9E2F3"/>
          </w:tcPr>
          <w:p>
            <w:r>
              <w:rPr>
                <w:b/>
              </w:rPr>
              <w:t xml:space="preserve">Partie 1 — AVR : variantes</w:t>
            </w:r>
          </w:p>
        </w:tc>
        <w:tc>
          <w:tcPr>
            <w:tcW w:w="3200" w:type="dxa"/>
            <w:shd w:val="clear" w:color="auto" w:fill="D9E2F3"/>
          </w:tcPr>
          <w:p>
            <w:r>
              <w:rPr>
                <w:b/>
              </w:rPr>
              <w:t xml:space="preserve"/>
            </w:r>
          </w:p>
        </w:tc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 xml:space="preserve"/>
            </w:r>
          </w:p>
        </w:tc>
        <w:tc>
          <w:tcPr>
            <w:tcW w:w="1700" w:type="dxa"/>
            <w:shd w:val="clear" w:color="auto" w:fill="D9E2F3"/>
          </w:tcPr>
          <w:p>
            <w:r>
              <w:rPr>
                <w:b/>
              </w:rP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Arduino Nano</w:t>
            </w:r>
          </w:p>
        </w:tc>
        <w:tc>
          <w:tcPr>
            <w:tcW w:w="3200" w:type="dxa"/>
          </w:tcPr>
          <w:p>
            <w:r>
              <w:t xml:space="preserve">Sélecteur → Arduino Nano ; ▶ blink</w:t>
            </w:r>
          </w:p>
        </w:tc>
        <w:tc>
          <w:tcPr>
            <w:tcW w:w="2500" w:type="dxa"/>
          </w:tcPr>
          <w:p>
            <w:r>
              <w:t xml:space="preserve">Fonctionne comme l’Uno (ATmega328P)</w:t>
            </w:r>
          </w:p>
        </w:tc>
        <w:tc>
          <w:tcPr>
            <w:tcW w:w="1700" w:type="dxa"/>
          </w:tcPr>
          <w:p>
            <w:r>
              <w:t xml:space="preserve">broches D0–13, A0–A7</w:t>
            </w:r>
          </w:p>
        </w:tc>
      </w:tr>
      <w:tr>
        <w:tc>
          <w:tcPr>
            <w:tcW w:w="2300" w:type="dxa"/>
          </w:tcPr>
          <w:p>
            <w:r>
              <w:t xml:space="preserve">Arduino Mega 2560</w:t>
            </w:r>
          </w:p>
        </w:tc>
        <w:tc>
          <w:tcPr>
            <w:tcW w:w="3200" w:type="dxa"/>
          </w:tcPr>
          <w:p>
            <w:r>
              <w:t xml:space="preserve">Sélecteur → Mega ; blink D13 + analogRead(A0)</w:t>
            </w:r>
          </w:p>
        </w:tc>
        <w:tc>
          <w:tcPr>
            <w:tcW w:w="2500" w:type="dxa"/>
          </w:tcPr>
          <w:p>
            <w:r>
              <w:t xml:space="preserve">LED 13 clignote ; lecture A0 OK ; broches 0–53</w:t>
            </w:r>
          </w:p>
        </w:tc>
        <w:tc>
          <w:tcPr>
            <w:tcW w:w="1700" w:type="dxa"/>
          </w:tcPr>
          <w:p>
            <w:r>
              <w:t xml:space="preserve">timers 3-5 / USART1-3 / ADC A8-15 non simulés</w:t>
            </w:r>
          </w:p>
        </w:tc>
      </w:tr>
      <w:tr>
        <w:tc>
          <w:tcPr>
            <w:tcW w:w="2300" w:type="dxa"/>
            <w:shd w:val="clear" w:color="auto" w:fill="D9E2F3"/>
          </w:tcPr>
          <w:p>
            <w:r>
              <w:rPr>
                <w:b/>
              </w:rPr>
              <w:t xml:space="preserve">Partie 2 — RP2040 : Raspberry Pi Pico (MicroPython)</w:t>
            </w:r>
          </w:p>
        </w:tc>
        <w:tc>
          <w:tcPr>
            <w:tcW w:w="3200" w:type="dxa"/>
            <w:shd w:val="clear" w:color="auto" w:fill="D9E2F3"/>
          </w:tcPr>
          <w:p>
            <w:r>
              <w:rPr>
                <w:b/>
              </w:rPr>
              <w:t xml:space="preserve"/>
            </w:r>
          </w:p>
        </w:tc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 xml:space="preserve"/>
            </w:r>
          </w:p>
        </w:tc>
        <w:tc>
          <w:tcPr>
            <w:tcW w:w="1700" w:type="dxa"/>
            <w:shd w:val="clear" w:color="auto" w:fill="D9E2F3"/>
          </w:tcPr>
          <w:p>
            <w:r>
              <w:rPr>
                <w:b/>
              </w:rP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Carte Pico</w:t>
            </w:r>
          </w:p>
        </w:tc>
        <w:tc>
          <w:tcPr>
            <w:tcW w:w="3200" w:type="dxa"/>
          </w:tcPr>
          <w:p>
            <w:r>
              <w:t xml:space="preserve">Sélecteur → Raspberry Pi Pico ; ▶ avec un .py (machine.Pin(25))</w:t>
            </w:r>
          </w:p>
        </w:tc>
        <w:tc>
          <w:tcPr>
            <w:tcW w:w="2500" w:type="dxa"/>
          </w:tcPr>
          <w:p>
            <w:r>
              <w:t xml:space="preserve">LED embarquée GP25 clignote</w:t>
            </w:r>
          </w:p>
        </w:tc>
        <w:tc>
          <w:tcPr>
            <w:tcW w:w="1700" w:type="dxa"/>
          </w:tcPr>
          <w:p>
            <w:r>
              <w:t xml:space="preserve">firmware MicroPython requis</w:t>
            </w:r>
          </w:p>
        </w:tc>
      </w:tr>
      <w:tr>
        <w:tc>
          <w:tcPr>
            <w:tcW w:w="2300" w:type="dxa"/>
          </w:tcPr>
          <w:p>
            <w:r>
              <w:t xml:space="preserve">LED</w:t>
            </w:r>
          </w:p>
        </w:tc>
        <w:tc>
          <w:tcPr>
            <w:tcW w:w="3200" w:type="dxa"/>
          </w:tcPr>
          <w:p>
            <w:r>
              <w:t xml:space="preserve">A → GP15 (via résistance), K → GND ; Pin(15).value(1/0)</w:t>
            </w:r>
          </w:p>
        </w:tc>
        <w:tc>
          <w:tcPr>
            <w:tcW w:w="2500" w:type="dxa"/>
          </w:tcPr>
          <w:p>
            <w:r>
              <w:t xml:space="preserve">La LED s’allume / s’éteint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Bouton</w:t>
            </w:r>
          </w:p>
        </w:tc>
        <w:tc>
          <w:tcPr>
            <w:tcW w:w="3200" w:type="dxa"/>
          </w:tcPr>
          <w:p>
            <w:r>
              <w:t xml:space="preserve">Bouton → GP14 ; Pin(14, Pin.IN, Pin.PULL_UP)</w:t>
            </w:r>
          </w:p>
        </w:tc>
        <w:tc>
          <w:tcPr>
            <w:tcW w:w="2500" w:type="dxa"/>
          </w:tcPr>
          <w:p>
            <w:r>
              <w:t xml:space="preserve">value() = 0 à l’appui</w:t>
            </w:r>
          </w:p>
        </w:tc>
        <w:tc>
          <w:tcPr>
            <w:tcW w:w="1700" w:type="dxa"/>
          </w:tcPr>
          <w:p>
            <w:r>
              <w:t xml:space="preserve">actif bas</w:t>
            </w:r>
          </w:p>
        </w:tc>
      </w:tr>
      <w:tr>
        <w:tc>
          <w:tcPr>
            <w:tcW w:w="2300" w:type="dxa"/>
          </w:tcPr>
          <w:p>
            <w:r>
              <w:t xml:space="preserve">Potentiomètre</w:t>
            </w:r>
          </w:p>
        </w:tc>
        <w:tc>
          <w:tcPr>
            <w:tcW w:w="3200" w:type="dxa"/>
          </w:tcPr>
          <w:p>
            <w:r>
              <w:t xml:space="preserve">Curseur → GP26 (ADC0) ; machine.ADC(26).read_u16()</w:t>
            </w:r>
          </w:p>
        </w:tc>
        <w:tc>
          <w:tcPr>
            <w:tcW w:w="2500" w:type="dxa"/>
          </w:tcPr>
          <w:p>
            <w:r>
              <w:t xml:space="preserve">Valeur varie avec le curseur</w:t>
            </w:r>
          </w:p>
        </w:tc>
        <w:tc>
          <w:tcPr>
            <w:tcW w:w="1700" w:type="dxa"/>
          </w:tcPr>
          <w:p>
            <w:r>
              <w:t xml:space="preserve">GP26–28 = ADC</w:t>
            </w:r>
          </w:p>
        </w:tc>
      </w:tr>
      <w:tr>
        <w:tc>
          <w:tcPr>
            <w:tcW w:w="2300" w:type="dxa"/>
          </w:tcPr>
          <w:p>
            <w:r>
              <w:t xml:space="preserve">Servomoteur</w:t>
            </w:r>
          </w:p>
        </w:tc>
        <w:tc>
          <w:tcPr>
            <w:tcW w:w="3200" w:type="dxa"/>
          </w:tcPr>
          <w:p>
            <w:r>
              <w:t xml:space="preserve">PWM 50 Hz sur GP15 ; machine.PWM(...).duty_u16(...)</w:t>
            </w:r>
          </w:p>
        </w:tc>
        <w:tc>
          <w:tcPr>
            <w:tcW w:w="2500" w:type="dxa"/>
          </w:tcPr>
          <w:p>
            <w:r>
              <w:t xml:space="preserve">Le bras se positionne à l’angle réel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Capteurs / sources</w:t>
            </w:r>
          </w:p>
        </w:tc>
        <w:tc>
          <w:tcPr>
            <w:tcW w:w="3200" w:type="dxa"/>
          </w:tcPr>
          <w:p>
            <w:r>
              <w:t xml:space="preserve">Sources analogiques → GP26-28 ; sources numériques → GPx</w:t>
            </w:r>
          </w:p>
        </w:tc>
        <w:tc>
          <w:tcPr>
            <w:tcW w:w="2500" w:type="dxa"/>
          </w:tcPr>
          <w:p>
            <w:r>
              <w:t xml:space="preserve">read_u16 / value() suivent les réglages de l’inspecteur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LCD I²C</w:t>
            </w:r>
          </w:p>
        </w:tc>
        <w:tc>
          <w:tcPr>
            <w:tcW w:w="3200" w:type="dxa"/>
          </w:tcPr>
          <w:p>
            <w:r>
              <w:t xml:space="preserve">SDA → GP0, SCL → GP1 ; machine.I2C + pilote LCD</w:t>
            </w:r>
          </w:p>
        </w:tc>
        <w:tc>
          <w:tcPr>
            <w:tcW w:w="2500" w:type="dxa"/>
          </w:tcPr>
          <w:p>
            <w:r>
              <w:t xml:space="preserve">Le texte s’affiche</w:t>
            </w:r>
          </w:p>
        </w:tc>
        <w:tc>
          <w:tcPr>
            <w:tcW w:w="1700" w:type="dxa"/>
          </w:tcPr>
          <w:p>
            <w:r>
              <w:t xml:space="preserve">I²C matériel</w:t>
            </w:r>
          </w:p>
        </w:tc>
      </w:tr>
      <w:tr>
        <w:tc>
          <w:tcPr>
            <w:tcW w:w="2300" w:type="dxa"/>
          </w:tcPr>
          <w:p>
            <w:r>
              <w:t xml:space="preserve">PCA9685</w:t>
            </w:r>
          </w:p>
        </w:tc>
        <w:tc>
          <w:tcPr>
            <w:tcW w:w="3200" w:type="dxa"/>
          </w:tcPr>
          <w:p>
            <w:r>
              <w:t xml:space="preserve">machine.I2C ; régler un canal ; servo relié</w:t>
            </w:r>
          </w:p>
        </w:tc>
        <w:tc>
          <w:tcPr>
            <w:tcW w:w="2500" w:type="dxa"/>
          </w:tcPr>
          <w:p>
            <w:r>
              <w:t xml:space="preserve">Le servo est piloté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OLED SSD1306 (SPI)</w:t>
            </w:r>
          </w:p>
        </w:tc>
        <w:tc>
          <w:tcPr>
            <w:tcW w:w="3200" w:type="dxa"/>
          </w:tcPr>
          <w:p>
            <w:r>
              <w:t xml:space="preserve">machine.SPI + DC/CS ; framebuf + show()</w:t>
            </w:r>
          </w:p>
        </w:tc>
        <w:tc>
          <w:tcPr>
            <w:tcW w:w="2500" w:type="dxa"/>
          </w:tcPr>
          <w:p>
            <w:r>
              <w:t xml:space="preserve">Le dessin s’affiche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Écran TFT ILI9341 (SPI)</w:t>
            </w:r>
          </w:p>
        </w:tc>
        <w:tc>
          <w:tcPr>
            <w:tcW w:w="3200" w:type="dxa"/>
          </w:tcPr>
          <w:p>
            <w:r>
              <w:t xml:space="preserve">machine.SPI + D/C + CS ; remplir</w:t>
            </w:r>
          </w:p>
        </w:tc>
        <w:tc>
          <w:tcPr>
            <w:tcW w:w="2500" w:type="dxa"/>
          </w:tcPr>
          <w:p>
            <w:r>
              <w:t xml:space="preserve">L’image couleur s’affiche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Carte microSD (SPI)</w:t>
            </w:r>
          </w:p>
        </w:tc>
        <w:tc>
          <w:tcPr>
            <w:tcW w:w="3200" w:type="dxa"/>
          </w:tcPr>
          <w:p>
            <w:r>
              <w:t xml:space="preserve">machine.SPI ; pilote sdcard + uos.mount</w:t>
            </w:r>
          </w:p>
        </w:tc>
        <w:tc>
          <w:tcPr>
            <w:tcW w:w="2500" w:type="dxa"/>
          </w:tcPr>
          <w:p>
            <w:r>
              <w:t xml:space="preserve">La carte est détectée (init OK)</w:t>
            </w:r>
          </w:p>
        </w:tc>
        <w:tc>
          <w:tcPr>
            <w:tcW w:w="1700" w:type="dxa"/>
          </w:tcPr>
          <w:p>
            <w:r>
              <w:t xml:space="preserve">FAT non préchargé</w:t>
            </w:r>
          </w:p>
        </w:tc>
      </w:tr>
      <w:tr>
        <w:tc>
          <w:tcPr>
            <w:tcW w:w="2300" w:type="dxa"/>
          </w:tcPr>
          <w:p>
            <w:r>
              <w:t xml:space="preserve">NeoPixel</w:t>
            </w:r>
          </w:p>
        </w:tc>
        <w:tc>
          <w:tcPr>
            <w:tcW w:w="3200" w:type="dxa"/>
          </w:tcPr>
          <w:p>
            <w:r>
              <w:t xml:space="preserve">neopixel.NeoPixel(machine.Pin(0), n) ; np[i]=(r,g,b) ; np.write()</w:t>
            </w:r>
          </w:p>
        </w:tc>
        <w:tc>
          <w:tcPr>
            <w:tcW w:w="2500" w:type="dxa"/>
          </w:tcPr>
          <w:p>
            <w:r>
              <w:t xml:space="preserve">Les LED prennent les couleurs définies</w:t>
            </w:r>
          </w:p>
        </w:tc>
        <w:tc>
          <w:tcPr>
            <w:tcW w:w="1700" w:type="dxa"/>
          </w:tcPr>
          <w:p>
            <w:r>
              <w:t xml:space="preserve">validé sur Pico réel</w:t>
            </w:r>
          </w:p>
        </w:tc>
      </w:tr>
      <w:tr>
        <w:tc>
          <w:tcPr>
            <w:tcW w:w="2300" w:type="dxa"/>
          </w:tcPr>
          <w:p>
            <w:r>
              <w:t xml:space="preserve">HC-SR04 (ultrason)</w:t>
            </w:r>
          </w:p>
        </w:tc>
        <w:tc>
          <w:tcPr>
            <w:tcW w:w="3200" w:type="dxa"/>
          </w:tcPr>
          <w:p>
            <w:r>
              <w:t xml:space="preserve">Trig → GP15, Echo → GP14 ; impulsion + time_pulse_us(echo, 1)</w:t>
            </w:r>
          </w:p>
        </w:tc>
        <w:tc>
          <w:tcPr>
            <w:tcW w:w="2500" w:type="dxa"/>
          </w:tcPr>
          <w:p>
            <w:r>
              <w:t xml:space="preserve">Durée ≈ distance × 58 µs à 20 °C ; le curseur de température l’allonge (froid) ou la raccourcit (chaud)</w:t>
            </w:r>
          </w:p>
        </w:tc>
        <w:tc>
          <w:tcPr>
            <w:tcW w:w="1700" w:type="dxa"/>
          </w:tcPr>
          <w:p>
            <w:r>
              <w:t xml:space="preserve">vérifié par verify:ultrasonic sur le vrai moteur</w:t>
            </w:r>
          </w:p>
        </w:tc>
      </w:tr>
      <w:tr>
        <w:tc>
          <w:tcPr>
            <w:tcW w:w="2300" w:type="dxa"/>
          </w:tcPr>
          <w:p>
            <w:r>
              <w:t xml:space="preserve">Moniteur série</w:t>
            </w:r>
          </w:p>
        </w:tc>
        <w:tc>
          <w:tcPr>
            <w:tcW w:w="3200" w:type="dxa"/>
          </w:tcPr>
          <w:p>
            <w:r>
              <w:t xml:space="preserve">print() ; saisie dans le champ → REPL</w:t>
            </w:r>
          </w:p>
        </w:tc>
        <w:tc>
          <w:tcPr>
            <w:tcW w:w="2500" w:type="dxa"/>
          </w:tcPr>
          <w:p>
            <w:r>
              <w:t xml:space="preserve">Sortie affichée ; REPL interactif après le script</w:t>
            </w:r>
          </w:p>
        </w:tc>
        <w:tc>
          <w:tcPr>
            <w:tcW w:w="1700" w:type="dxa"/>
          </w:tcPr>
          <w:p>
            <w:r>
              <w:t xml:space="preserve">USB-CDC</w:t>
            </w:r>
          </w:p>
        </w:tc>
      </w:tr>
      <w:tr>
        <w:tc>
          <w:tcPr>
            <w:tcW w:w="2300" w:type="dxa"/>
            <w:shd w:val="clear" w:color="auto" w:fill="D9E2F3"/>
          </w:tcPr>
          <w:p>
            <w:r>
              <w:rPr>
                <w:b/>
              </w:rPr>
              <w:t xml:space="preserve">Partie 2 — RP2040 : Pico W (Wi-Fi)</w:t>
            </w:r>
          </w:p>
        </w:tc>
        <w:tc>
          <w:tcPr>
            <w:tcW w:w="3200" w:type="dxa"/>
            <w:shd w:val="clear" w:color="auto" w:fill="D9E2F3"/>
          </w:tcPr>
          <w:p>
            <w:r>
              <w:rPr>
                <w:b/>
              </w:rPr>
              <w:t xml:space="preserve"/>
            </w:r>
          </w:p>
        </w:tc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 xml:space="preserve"/>
            </w:r>
          </w:p>
        </w:tc>
        <w:tc>
          <w:tcPr>
            <w:tcW w:w="1700" w:type="dxa"/>
            <w:shd w:val="clear" w:color="auto" w:fill="D9E2F3"/>
          </w:tcPr>
          <w:p>
            <w:r>
              <w:rPr>
                <w:b/>
              </w:rPr>
              <w:t xml:space="preserve"/>
            </w:r>
          </w:p>
        </w:tc>
      </w:tr>
      <w:tr>
        <w:tc>
          <w:tcPr>
            <w:tcW w:w="2300" w:type="dxa"/>
          </w:tcPr>
          <w:p>
            <w:r>
              <w:t xml:space="preserve">Carte Pico W</w:t>
            </w:r>
          </w:p>
        </w:tc>
        <w:tc>
          <w:tcPr>
            <w:tcW w:w="3200" w:type="dxa"/>
          </w:tcPr>
          <w:p>
            <w:r>
              <w:t xml:space="preserve">Sélecteur → Raspberry Pi Pico W ; ▶ un .py réseau</w:t>
            </w:r>
          </w:p>
        </w:tc>
        <w:tc>
          <w:tcPr>
            <w:tcW w:w="2500" w:type="dxa"/>
          </w:tcPr>
          <w:p>
            <w:r>
              <w:t xml:space="preserve">Démarre comme le Pico ; firmware RPI_PICO_W</w:t>
            </w:r>
          </w:p>
        </w:tc>
        <w:tc>
          <w:tcPr>
            <w:tcW w:w="1700" w:type="dxa"/>
          </w:tcPr>
          <w:p>
            <w:r>
              <w:t xml:space="preserve">même brochage</w:t>
            </w:r>
          </w:p>
        </w:tc>
      </w:tr>
      <w:tr>
        <w:tc>
          <w:tcPr>
            <w:tcW w:w="2300" w:type="dxa"/>
          </w:tcPr>
          <w:p>
            <w:r>
              <w:t xml:space="preserve">Wi-Fi — connexion</w:t>
            </w:r>
          </w:p>
        </w:tc>
        <w:tc>
          <w:tcPr>
            <w:tcW w:w="3200" w:type="dxa"/>
          </w:tcPr>
          <w:p>
            <w:r>
              <w:t xml:space="preserve">network.WLAN(STA_IF) ; wlan.connect(...) ; wlan.isconnected()</w:t>
            </w:r>
          </w:p>
        </w:tc>
        <w:tc>
          <w:tcPr>
            <w:tcW w:w="2500" w:type="dxa"/>
          </w:tcPr>
          <w:p>
            <w:r>
              <w:t xml:space="preserve">isconnected() = True ; ifconfig() = 192.168.1.50</w:t>
            </w:r>
          </w:p>
        </w:tc>
        <w:tc>
          <w:tcPr>
            <w:tcW w:w="1700" w:type="dxa"/>
          </w:tcPr>
          <w:p>
            <w:r>
              <w:t xml:space="preserve">WLAN factice</w:t>
            </w:r>
          </w:p>
        </w:tc>
      </w:tr>
      <w:tr>
        <w:tc>
          <w:tcPr>
            <w:tcW w:w="2300" w:type="dxa"/>
          </w:tcPr>
          <w:p>
            <w:r>
              <w:t xml:space="preserve">Wi-Fi — requête réelle</w:t>
            </w:r>
          </w:p>
        </w:tc>
        <w:tc>
          <w:tcPr>
            <w:tcW w:w="3200" w:type="dxa"/>
          </w:tcPr>
          <w:p>
            <w:r>
              <w:t xml:space="preserve">urequests.get("https://…") ; r.status_code / r.json()</w:t>
            </w:r>
          </w:p>
        </w:tc>
        <w:tc>
          <w:tcPr>
            <w:tcW w:w="2500" w:type="dxa"/>
          </w:tcPr>
          <w:p>
            <w:r>
              <w:t xml:space="preserve">Vraie réponse HTTP relayée par l’hôte</w:t>
            </w:r>
          </w:p>
        </w:tc>
        <w:tc>
          <w:tcPr>
            <w:tcW w:w="1700" w:type="dxa"/>
          </w:tcPr>
          <w:p>
            <w:r>
              <w:t xml:space="preserve">pont réseau réel</w:t>
            </w:r>
          </w:p>
        </w:tc>
      </w:tr>
      <w:tr>
        <w:tc>
          <w:tcPr>
            <w:tcW w:w="2300" w:type="dxa"/>
          </w:tcPr>
          <w:p>
            <w:r>
              <w:t xml:space="preserve">Wi-Fi — coupé</w:t>
            </w:r>
          </w:p>
        </w:tc>
        <w:tc>
          <w:tcPr>
            <w:tcW w:w="3200" w:type="dxa"/>
          </w:tcPr>
          <w:p>
            <w:r>
              <w:t xml:space="preserve">Désactiver kablix.picowNetworkBridge ; relancer</w:t>
            </w:r>
          </w:p>
        </w:tc>
        <w:tc>
          <w:tcPr>
            <w:tcW w:w="2500" w:type="dxa"/>
          </w:tcPr>
          <w:p>
            <w:r>
              <w:t xml:space="preserve">Requête bloquée / OSError</w:t>
            </w:r>
          </w:p>
        </w:tc>
        <w:tc>
          <w:tcPr>
            <w:tcW w:w="1700" w:type="dxa"/>
          </w:tcPr>
          <w:p>
            <w:r>
              <w:t xml:space="preserve">sécurité / contrôle</w:t>
            </w:r>
          </w:p>
        </w:tc>
      </w:tr>
    </w:tbl>
    <w:sectPr>
      <w:pgSz w:w="16838" w:h="11906" w:orient="landscape"/>
      <w:pgMar w:top="720" w:right="720" w:bottom="720" w:left="720"/>
    </w:sectPr>
  </w:body>
</w:document>
</file>