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Part B — Off-Market Prediction</w:t>
      </w:r>
    </w:p>
    <w:p>
      <w:pPr>
        <w:pStyle w:val="Subtitle"/>
      </w:pPr>
      <w:r>
        <w:t>SSU Data Dash 2026 | Model development and measured results</w:t>
      </w:r>
    </w:p>
    <w:p>
      <w:r>
        <w:t>Histogram gradient boosting achieved 9.08% MdAPE and 11.60% MAPE over 10,069 held-out sales. This is 49.2% lower MdAPE than the rolling community/type baseline (17.89%).</w:t>
      </w:r>
    </w:p>
    <w:p>
      <w:pPr>
        <w:pStyle w:val="Heading1"/>
      </w:pPr>
      <w:r>
        <w:t>Model and information boundary</w:t>
      </w:r>
    </w:p>
    <w:p>
      <w:r>
        <w:t>Predict log(sold_price), then exponentiate to dollars. Inputs cover size and room counts, property type/style, synthetic location, lot dimensions with missingness indicators, and listing-date calendar features, plus fixed remarks flags for condition, amenities and layout. Area ranges are represented by their midpoint and width. Histogram gradient boosting builds trees sequentially; category encoding and numeric imputation are fitted within each training fold.</w:t>
      </w:r>
    </w:p>
    <w:p>
      <w:r>
        <w:t>No list_price, sold_price, date_sold, days_on_market, external_avm_estimate, external_avm_estimate_date or ml_num enters the learned feature matrix. sold_price is only the target; date_sold only defines training cutoffs and evaluation groups. No external data is used.</w:t>
      </w:r>
    </w:p>
    <w:p>
      <w:pPr>
        <w:pStyle w:val="Heading1"/>
      </w:pPr>
      <w:r>
        <w:t>Untouched six-month walk-forward backtest</w:t>
      </w:r>
    </w:p>
    <w:p>
      <w:r>
        <w:t>Tune on October–November 2025 only, selecting the lowest pooled MdAPE (MAPE breaks ties). Freeze the model configuration before December 2025–May 2026. For each of those six months, refit on sales strictly before the month's start and predict that month's held-out sales. This follows the official sale-month backtest; it is not a strict per-home listing-time simulation.</w:t>
      </w:r>
    </w:p>
    <w:tbl>
      <w:tblPr>
        <w:tblStyle w:val="LightShading-Accent1"/>
        <w:tblW w:type="auto" w:w="0"/>
        <w:tblLook w:firstColumn="1" w:firstRow="1" w:lastColumn="0" w:lastRow="0" w:noHBand="0" w:noVBand="1" w:val="04A0"/>
      </w:tblPr>
      <w:tblGrid>
        <w:gridCol w:w="2592"/>
        <w:gridCol w:w="2592"/>
        <w:gridCol w:w="2592"/>
        <w:gridCol w:w="2592"/>
      </w:tblGrid>
      <w:tr>
        <w:tc>
          <w:tcPr>
            <w:tcW w:type="dxa" w:w="2592"/>
          </w:tcPr>
          <w:p>
            <w:r>
              <w:t>Model</w:t>
            </w:r>
          </w:p>
        </w:tc>
        <w:tc>
          <w:tcPr>
            <w:tcW w:type="dxa" w:w="2592"/>
          </w:tcPr>
          <w:p>
            <w:r>
              <w:t>MdAPE</w:t>
            </w:r>
          </w:p>
        </w:tc>
        <w:tc>
          <w:tcPr>
            <w:tcW w:type="dxa" w:w="2592"/>
          </w:tcPr>
          <w:p>
            <w:r>
              <w:t>MAPE</w:t>
            </w:r>
          </w:p>
        </w:tc>
        <w:tc>
          <w:tcPr>
            <w:tcW w:type="dxa" w:w="2592"/>
          </w:tcPr>
          <w:p>
            <w:r>
              <w:t>Homes</w:t>
            </w:r>
          </w:p>
        </w:tc>
      </w:tr>
      <w:tr>
        <w:tc>
          <w:tcPr>
            <w:tcW w:type="dxa" w:w="2592"/>
          </w:tcPr>
          <w:p>
            <w:pPr>
              <w:spacing w:after="40"/>
            </w:pPr>
            <w:r>
              <w:rPr>
                <w:sz w:val="18"/>
              </w:rPr>
              <w:t>Histogram gradient boosting</w:t>
            </w:r>
          </w:p>
        </w:tc>
        <w:tc>
          <w:tcPr>
            <w:tcW w:type="dxa" w:w="2592"/>
          </w:tcPr>
          <w:p>
            <w:pPr>
              <w:spacing w:after="40"/>
            </w:pPr>
            <w:r>
              <w:rPr>
                <w:sz w:val="18"/>
              </w:rPr>
              <w:t>9.08%</w:t>
            </w:r>
          </w:p>
        </w:tc>
        <w:tc>
          <w:tcPr>
            <w:tcW w:type="dxa" w:w="2592"/>
          </w:tcPr>
          <w:p>
            <w:pPr>
              <w:spacing w:after="40"/>
            </w:pPr>
            <w:r>
              <w:rPr>
                <w:sz w:val="18"/>
              </w:rPr>
              <w:t>11.60%</w:t>
            </w:r>
          </w:p>
        </w:tc>
        <w:tc>
          <w:tcPr>
            <w:tcW w:type="dxa" w:w="2592"/>
          </w:tcPr>
          <w:p>
            <w:pPr>
              <w:spacing w:after="40"/>
            </w:pPr>
            <w:r>
              <w:rPr>
                <w:sz w:val="18"/>
              </w:rPr>
              <w:t>10,069</w:t>
            </w:r>
          </w:p>
        </w:tc>
      </w:tr>
      <w:tr>
        <w:tc>
          <w:tcPr>
            <w:tcW w:type="dxa" w:w="2592"/>
          </w:tcPr>
          <w:p>
            <w:pPr>
              <w:spacing w:after="40"/>
            </w:pPr>
            <w:r>
              <w:rPr>
                <w:sz w:val="18"/>
              </w:rPr>
              <w:t>Community/type 12-month median</w:t>
            </w:r>
          </w:p>
        </w:tc>
        <w:tc>
          <w:tcPr>
            <w:tcW w:type="dxa" w:w="2592"/>
          </w:tcPr>
          <w:p>
            <w:pPr>
              <w:spacing w:after="40"/>
            </w:pPr>
            <w:r>
              <w:rPr>
                <w:sz w:val="18"/>
              </w:rPr>
              <w:t>17.89%</w:t>
            </w:r>
          </w:p>
        </w:tc>
        <w:tc>
          <w:tcPr>
            <w:tcW w:type="dxa" w:w="2592"/>
          </w:tcPr>
          <w:p>
            <w:pPr>
              <w:spacing w:after="40"/>
            </w:pPr>
            <w:r>
              <w:rPr>
                <w:sz w:val="18"/>
              </w:rPr>
              <w:t>22.25%</w:t>
            </w:r>
          </w:p>
        </w:tc>
        <w:tc>
          <w:tcPr>
            <w:tcW w:type="dxa" w:w="2592"/>
          </w:tcPr>
          <w:p>
            <w:pPr>
              <w:spacing w:after="40"/>
            </w:pPr>
            <w:r>
              <w:rPr>
                <w:sz w:val="18"/>
              </w:rPr>
              <w:t>10,069</w:t>
            </w:r>
          </w:p>
        </w:tc>
      </w:tr>
      <w:tr>
        <w:tc>
          <w:tcPr>
            <w:tcW w:type="dxa" w:w="2592"/>
          </w:tcPr>
          <w:p>
            <w:pPr>
              <w:spacing w:after="40"/>
            </w:pPr>
            <w:r>
              <w:rPr>
                <w:sz w:val="18"/>
              </w:rPr>
              <w:t>10 nearest earlier sales</w:t>
            </w:r>
          </w:p>
        </w:tc>
        <w:tc>
          <w:tcPr>
            <w:tcW w:type="dxa" w:w="2592"/>
          </w:tcPr>
          <w:p>
            <w:pPr>
              <w:spacing w:after="40"/>
            </w:pPr>
            <w:r>
              <w:rPr>
                <w:sz w:val="18"/>
              </w:rPr>
              <w:t>20.84%</w:t>
            </w:r>
          </w:p>
        </w:tc>
        <w:tc>
          <w:tcPr>
            <w:tcW w:type="dxa" w:w="2592"/>
          </w:tcPr>
          <w:p>
            <w:pPr>
              <w:spacing w:after="40"/>
            </w:pPr>
            <w:r>
              <w:rPr>
                <w:sz w:val="18"/>
              </w:rPr>
              <w:t>27.43%</w:t>
            </w:r>
          </w:p>
        </w:tc>
        <w:tc>
          <w:tcPr>
            <w:tcW w:type="dxa" w:w="2592"/>
          </w:tcPr>
          <w:p>
            <w:pPr>
              <w:spacing w:after="40"/>
            </w:pPr>
            <w:r>
              <w:rPr>
                <w:sz w:val="18"/>
              </w:rPr>
              <w:t>10,069</w:t>
            </w:r>
          </w:p>
        </w:tc>
      </w:tr>
      <w:tr>
        <w:tc>
          <w:tcPr>
            <w:tcW w:type="dxa" w:w="2592"/>
          </w:tcPr>
          <w:p>
            <w:pPr>
              <w:spacing w:after="40"/>
            </w:pPr>
            <w:r>
              <w:rPr>
                <w:sz w:val="18"/>
              </w:rPr>
              <w:t>Global median</w:t>
            </w:r>
          </w:p>
        </w:tc>
        <w:tc>
          <w:tcPr>
            <w:tcW w:type="dxa" w:w="2592"/>
          </w:tcPr>
          <w:p>
            <w:pPr>
              <w:spacing w:after="40"/>
            </w:pPr>
            <w:r>
              <w:rPr>
                <w:sz w:val="18"/>
              </w:rPr>
              <w:t>38.46%</w:t>
            </w:r>
          </w:p>
        </w:tc>
        <w:tc>
          <w:tcPr>
            <w:tcW w:type="dxa" w:w="2592"/>
          </w:tcPr>
          <w:p>
            <w:pPr>
              <w:spacing w:after="40"/>
            </w:pPr>
            <w:r>
              <w:rPr>
                <w:sz w:val="18"/>
              </w:rPr>
              <w:t>46.68%</w:t>
            </w:r>
          </w:p>
        </w:tc>
        <w:tc>
          <w:tcPr>
            <w:tcW w:type="dxa" w:w="2592"/>
          </w:tcPr>
          <w:p>
            <w:pPr>
              <w:spacing w:after="40"/>
            </w:pPr>
            <w:r>
              <w:rPr>
                <w:sz w:val="18"/>
              </w:rPr>
              <w:t>10,069</w:t>
            </w:r>
          </w:p>
        </w:tc>
      </w:tr>
    </w:tbl>
    <w:p>
      <w:r>
        <w:drawing>
          <wp:inline xmlns:a="http://schemas.openxmlformats.org/drawingml/2006/main" xmlns:pic="http://schemas.openxmlformats.org/drawingml/2006/picture">
            <wp:extent cx="6080760" cy="2293168"/>
            <wp:docPr id="1" name="Picture 1"/>
            <wp:cNvGraphicFramePr>
              <a:graphicFrameLocks noChangeAspect="1"/>
            </wp:cNvGraphicFramePr>
            <a:graphic>
              <a:graphicData uri="http://schemas.openxmlformats.org/drawingml/2006/picture">
                <pic:pic>
                  <pic:nvPicPr>
                    <pic:cNvPr id="0" name="monthly_walk_forward.png"/>
                    <pic:cNvPicPr/>
                  </pic:nvPicPr>
                  <pic:blipFill>
                    <a:blip r:embed="rId9"/>
                    <a:stretch>
                      <a:fillRect/>
                    </a:stretch>
                  </pic:blipFill>
                  <pic:spPr>
                    <a:xfrm>
                      <a:off x="0" y="0"/>
                      <a:ext cx="6080760" cy="2293168"/>
                    </a:xfrm>
                    <a:prstGeom prst="rect"/>
                  </pic:spPr>
                </pic:pic>
              </a:graphicData>
            </a:graphic>
          </wp:inline>
        </w:drawing>
      </w:r>
    </w:p>
    <w:p>
      <w:r>
        <w:rPr>
          <w:sz w:val="16"/>
        </w:rPr>
        <w:t>MdAPE = median(100 × |prediction − sale| / sale); MAPE uses the mean. Both are percentages of actual sale price, and lower is better. MdAPE is the competition's primary metric.</w:t>
      </w:r>
    </w:p>
    <w:p>
      <w:r>
        <w:br w:type="page"/>
      </w:r>
    </w:p>
    <w:p>
      <w:pPr>
        <w:pStyle w:val="Title"/>
      </w:pPr>
      <w:r>
        <w:t>Selection, final model and limits</w:t>
      </w:r>
    </w:p>
    <w:p>
      <w:pPr>
        <w:pStyle w:val="Heading1"/>
      </w:pPr>
      <w:r>
        <w:t>Earlier tuning: October–November 2025</w:t>
      </w:r>
    </w:p>
    <w:p>
      <w:r>
        <w:t>These earlier months select the model; they are separate from the final six-month backtest.</w:t>
      </w:r>
    </w:p>
    <w:tbl>
      <w:tblPr>
        <w:tblStyle w:val="LightShading-Accent1"/>
        <w:tblW w:type="auto" w:w="0"/>
        <w:tblLook w:firstColumn="1" w:firstRow="1" w:lastColumn="0" w:lastRow="0" w:noHBand="0" w:noVBand="1" w:val="04A0"/>
      </w:tblPr>
      <w:tblGrid>
        <w:gridCol w:w="2592"/>
        <w:gridCol w:w="2592"/>
        <w:gridCol w:w="2592"/>
        <w:gridCol w:w="2592"/>
      </w:tblGrid>
      <w:tr>
        <w:tc>
          <w:tcPr>
            <w:tcW w:type="dxa" w:w="2592"/>
          </w:tcPr>
          <w:p>
            <w:r>
              <w:t>Model</w:t>
            </w:r>
          </w:p>
        </w:tc>
        <w:tc>
          <w:tcPr>
            <w:tcW w:type="dxa" w:w="2592"/>
          </w:tcPr>
          <w:p>
            <w:r>
              <w:t>MdAPE</w:t>
            </w:r>
          </w:p>
        </w:tc>
        <w:tc>
          <w:tcPr>
            <w:tcW w:type="dxa" w:w="2592"/>
          </w:tcPr>
          <w:p>
            <w:r>
              <w:t>MAPE</w:t>
            </w:r>
          </w:p>
        </w:tc>
        <w:tc>
          <w:tcPr>
            <w:tcW w:type="dxa" w:w="2592"/>
          </w:tcPr>
          <w:p>
            <w:r>
              <w:t>Homes</w:t>
            </w:r>
          </w:p>
        </w:tc>
      </w:tr>
      <w:tr>
        <w:tc>
          <w:tcPr>
            <w:tcW w:type="dxa" w:w="2592"/>
          </w:tcPr>
          <w:p>
            <w:pPr>
              <w:spacing w:after="40"/>
            </w:pPr>
            <w:r>
              <w:rPr>
                <w:sz w:val="18"/>
              </w:rPr>
              <w:t>Histogram gradient boosting</w:t>
            </w:r>
          </w:p>
        </w:tc>
        <w:tc>
          <w:tcPr>
            <w:tcW w:type="dxa" w:w="2592"/>
          </w:tcPr>
          <w:p>
            <w:pPr>
              <w:spacing w:after="40"/>
            </w:pPr>
            <w:r>
              <w:rPr>
                <w:sz w:val="18"/>
              </w:rPr>
              <w:t>9.31%</w:t>
            </w:r>
          </w:p>
        </w:tc>
        <w:tc>
          <w:tcPr>
            <w:tcW w:type="dxa" w:w="2592"/>
          </w:tcPr>
          <w:p>
            <w:pPr>
              <w:spacing w:after="40"/>
            </w:pPr>
            <w:r>
              <w:rPr>
                <w:sz w:val="18"/>
              </w:rPr>
              <w:t>11.71%</w:t>
            </w:r>
          </w:p>
        </w:tc>
        <w:tc>
          <w:tcPr>
            <w:tcW w:type="dxa" w:w="2592"/>
          </w:tcPr>
          <w:p>
            <w:pPr>
              <w:spacing w:after="40"/>
            </w:pPr>
            <w:r>
              <w:rPr>
                <w:sz w:val="18"/>
              </w:rPr>
              <w:t>4,117</w:t>
            </w:r>
          </w:p>
        </w:tc>
      </w:tr>
      <w:tr>
        <w:tc>
          <w:tcPr>
            <w:tcW w:type="dxa" w:w="2592"/>
          </w:tcPr>
          <w:p>
            <w:pPr>
              <w:spacing w:after="40"/>
            </w:pPr>
            <w:r>
              <w:rPr>
                <w:sz w:val="18"/>
              </w:rPr>
              <w:t>CatBoost depth 7 / RMSE</w:t>
            </w:r>
          </w:p>
        </w:tc>
        <w:tc>
          <w:tcPr>
            <w:tcW w:type="dxa" w:w="2592"/>
          </w:tcPr>
          <w:p>
            <w:pPr>
              <w:spacing w:after="40"/>
            </w:pPr>
            <w:r>
              <w:rPr>
                <w:sz w:val="18"/>
              </w:rPr>
              <w:t>9.54%</w:t>
            </w:r>
          </w:p>
        </w:tc>
        <w:tc>
          <w:tcPr>
            <w:tcW w:type="dxa" w:w="2592"/>
          </w:tcPr>
          <w:p>
            <w:pPr>
              <w:spacing w:after="40"/>
            </w:pPr>
            <w:r>
              <w:rPr>
                <w:sz w:val="18"/>
              </w:rPr>
              <w:t>12.07%</w:t>
            </w:r>
          </w:p>
        </w:tc>
        <w:tc>
          <w:tcPr>
            <w:tcW w:type="dxa" w:w="2592"/>
          </w:tcPr>
          <w:p>
            <w:pPr>
              <w:spacing w:after="40"/>
            </w:pPr>
            <w:r>
              <w:rPr>
                <w:sz w:val="18"/>
              </w:rPr>
              <w:t>4,117</w:t>
            </w:r>
          </w:p>
        </w:tc>
      </w:tr>
      <w:tr>
        <w:tc>
          <w:tcPr>
            <w:tcW w:type="dxa" w:w="2592"/>
          </w:tcPr>
          <w:p>
            <w:pPr>
              <w:spacing w:after="40"/>
            </w:pPr>
            <w:r>
              <w:rPr>
                <w:sz w:val="18"/>
              </w:rPr>
              <w:t>CatBoost depth 7 / MAE</w:t>
            </w:r>
          </w:p>
        </w:tc>
        <w:tc>
          <w:tcPr>
            <w:tcW w:type="dxa" w:w="2592"/>
          </w:tcPr>
          <w:p>
            <w:pPr>
              <w:spacing w:after="40"/>
            </w:pPr>
            <w:r>
              <w:rPr>
                <w:sz w:val="18"/>
              </w:rPr>
              <w:t>9.58%</w:t>
            </w:r>
          </w:p>
        </w:tc>
        <w:tc>
          <w:tcPr>
            <w:tcW w:type="dxa" w:w="2592"/>
          </w:tcPr>
          <w:p>
            <w:pPr>
              <w:spacing w:after="40"/>
            </w:pPr>
            <w:r>
              <w:rPr>
                <w:sz w:val="18"/>
              </w:rPr>
              <w:t>12.03%</w:t>
            </w:r>
          </w:p>
        </w:tc>
        <w:tc>
          <w:tcPr>
            <w:tcW w:type="dxa" w:w="2592"/>
          </w:tcPr>
          <w:p>
            <w:pPr>
              <w:spacing w:after="40"/>
            </w:pPr>
            <w:r>
              <w:rPr>
                <w:sz w:val="18"/>
              </w:rPr>
              <w:t>4,117</w:t>
            </w:r>
          </w:p>
        </w:tc>
      </w:tr>
      <w:tr>
        <w:tc>
          <w:tcPr>
            <w:tcW w:type="dxa" w:w="2592"/>
          </w:tcPr>
          <w:p>
            <w:pPr>
              <w:spacing w:after="40"/>
            </w:pPr>
            <w:r>
              <w:rPr>
                <w:sz w:val="18"/>
              </w:rPr>
              <w:t>CatBoost depth 6 / RMSE</w:t>
            </w:r>
          </w:p>
        </w:tc>
        <w:tc>
          <w:tcPr>
            <w:tcW w:type="dxa" w:w="2592"/>
          </w:tcPr>
          <w:p>
            <w:pPr>
              <w:spacing w:after="40"/>
            </w:pPr>
            <w:r>
              <w:rPr>
                <w:sz w:val="18"/>
              </w:rPr>
              <w:t>9.94%</w:t>
            </w:r>
          </w:p>
        </w:tc>
        <w:tc>
          <w:tcPr>
            <w:tcW w:type="dxa" w:w="2592"/>
          </w:tcPr>
          <w:p>
            <w:pPr>
              <w:spacing w:after="40"/>
            </w:pPr>
            <w:r>
              <w:rPr>
                <w:sz w:val="18"/>
              </w:rPr>
              <w:t>12.64%</w:t>
            </w:r>
          </w:p>
        </w:tc>
        <w:tc>
          <w:tcPr>
            <w:tcW w:type="dxa" w:w="2592"/>
          </w:tcPr>
          <w:p>
            <w:pPr>
              <w:spacing w:after="40"/>
            </w:pPr>
            <w:r>
              <w:rPr>
                <w:sz w:val="18"/>
              </w:rPr>
              <w:t>4,117</w:t>
            </w:r>
          </w:p>
        </w:tc>
      </w:tr>
      <w:tr>
        <w:tc>
          <w:tcPr>
            <w:tcW w:type="dxa" w:w="2592"/>
          </w:tcPr>
          <w:p>
            <w:pPr>
              <w:spacing w:after="40"/>
            </w:pPr>
            <w:r>
              <w:rPr>
                <w:sz w:val="18"/>
              </w:rPr>
              <w:t>CatBoost depth 6 / no remarks</w:t>
            </w:r>
          </w:p>
        </w:tc>
        <w:tc>
          <w:tcPr>
            <w:tcW w:type="dxa" w:w="2592"/>
          </w:tcPr>
          <w:p>
            <w:pPr>
              <w:spacing w:after="40"/>
            </w:pPr>
            <w:r>
              <w:rPr>
                <w:sz w:val="18"/>
              </w:rPr>
              <w:t>10.51%</w:t>
            </w:r>
          </w:p>
        </w:tc>
        <w:tc>
          <w:tcPr>
            <w:tcW w:type="dxa" w:w="2592"/>
          </w:tcPr>
          <w:p>
            <w:pPr>
              <w:spacing w:after="40"/>
            </w:pPr>
            <w:r>
              <w:rPr>
                <w:sz w:val="18"/>
              </w:rPr>
              <w:t>13.35%</w:t>
            </w:r>
          </w:p>
        </w:tc>
        <w:tc>
          <w:tcPr>
            <w:tcW w:type="dxa" w:w="2592"/>
          </w:tcPr>
          <w:p>
            <w:pPr>
              <w:spacing w:after="40"/>
            </w:pPr>
            <w:r>
              <w:rPr>
                <w:sz w:val="18"/>
              </w:rPr>
              <w:t>4,117</w:t>
            </w:r>
          </w:p>
        </w:tc>
      </w:tr>
      <w:tr>
        <w:tc>
          <w:tcPr>
            <w:tcW w:type="dxa" w:w="2592"/>
          </w:tcPr>
          <w:p>
            <w:pPr>
              <w:spacing w:after="40"/>
            </w:pPr>
            <w:r>
              <w:rPr>
                <w:sz w:val="18"/>
              </w:rPr>
              <w:t>Random forest</w:t>
            </w:r>
          </w:p>
        </w:tc>
        <w:tc>
          <w:tcPr>
            <w:tcW w:type="dxa" w:w="2592"/>
          </w:tcPr>
          <w:p>
            <w:pPr>
              <w:spacing w:after="40"/>
            </w:pPr>
            <w:r>
              <w:rPr>
                <w:sz w:val="18"/>
              </w:rPr>
              <w:t>13.28%</w:t>
            </w:r>
          </w:p>
        </w:tc>
        <w:tc>
          <w:tcPr>
            <w:tcW w:type="dxa" w:w="2592"/>
          </w:tcPr>
          <w:p>
            <w:pPr>
              <w:spacing w:after="40"/>
            </w:pPr>
            <w:r>
              <w:rPr>
                <w:sz w:val="18"/>
              </w:rPr>
              <w:t>16.99%</w:t>
            </w:r>
          </w:p>
        </w:tc>
        <w:tc>
          <w:tcPr>
            <w:tcW w:type="dxa" w:w="2592"/>
          </w:tcPr>
          <w:p>
            <w:pPr>
              <w:spacing w:after="40"/>
            </w:pPr>
            <w:r>
              <w:rPr>
                <w:sz w:val="18"/>
              </w:rPr>
              <w:t>4,117</w:t>
            </w:r>
          </w:p>
        </w:tc>
      </w:tr>
      <w:tr>
        <w:tc>
          <w:tcPr>
            <w:tcW w:type="dxa" w:w="2592"/>
          </w:tcPr>
          <w:p>
            <w:pPr>
              <w:spacing w:after="40"/>
            </w:pPr>
            <w:r>
              <w:rPr>
                <w:sz w:val="18"/>
              </w:rPr>
              <w:t>Community/type 12-month median</w:t>
            </w:r>
          </w:p>
        </w:tc>
        <w:tc>
          <w:tcPr>
            <w:tcW w:type="dxa" w:w="2592"/>
          </w:tcPr>
          <w:p>
            <w:pPr>
              <w:spacing w:after="40"/>
            </w:pPr>
            <w:r>
              <w:rPr>
                <w:sz w:val="18"/>
              </w:rPr>
              <w:t>19.02%</w:t>
            </w:r>
          </w:p>
        </w:tc>
        <w:tc>
          <w:tcPr>
            <w:tcW w:type="dxa" w:w="2592"/>
          </w:tcPr>
          <w:p>
            <w:pPr>
              <w:spacing w:after="40"/>
            </w:pPr>
            <w:r>
              <w:rPr>
                <w:sz w:val="18"/>
              </w:rPr>
              <w:t>23.58%</w:t>
            </w:r>
          </w:p>
        </w:tc>
        <w:tc>
          <w:tcPr>
            <w:tcW w:type="dxa" w:w="2592"/>
          </w:tcPr>
          <w:p>
            <w:pPr>
              <w:spacing w:after="40"/>
            </w:pPr>
            <w:r>
              <w:rPr>
                <w:sz w:val="18"/>
              </w:rPr>
              <w:t>4,117</w:t>
            </w:r>
          </w:p>
        </w:tc>
      </w:tr>
      <w:tr>
        <w:tc>
          <w:tcPr>
            <w:tcW w:type="dxa" w:w="2592"/>
          </w:tcPr>
          <w:p>
            <w:pPr>
              <w:spacing w:after="40"/>
            </w:pPr>
            <w:r>
              <w:rPr>
                <w:sz w:val="18"/>
              </w:rPr>
              <w:t>10 nearest earlier sales</w:t>
            </w:r>
          </w:p>
        </w:tc>
        <w:tc>
          <w:tcPr>
            <w:tcW w:type="dxa" w:w="2592"/>
          </w:tcPr>
          <w:p>
            <w:pPr>
              <w:spacing w:after="40"/>
            </w:pPr>
            <w:r>
              <w:rPr>
                <w:sz w:val="18"/>
              </w:rPr>
              <w:t>21.59%</w:t>
            </w:r>
          </w:p>
        </w:tc>
        <w:tc>
          <w:tcPr>
            <w:tcW w:type="dxa" w:w="2592"/>
          </w:tcPr>
          <w:p>
            <w:pPr>
              <w:spacing w:after="40"/>
            </w:pPr>
            <w:r>
              <w:rPr>
                <w:sz w:val="18"/>
              </w:rPr>
              <w:t>28.88%</w:t>
            </w:r>
          </w:p>
        </w:tc>
        <w:tc>
          <w:tcPr>
            <w:tcW w:type="dxa" w:w="2592"/>
          </w:tcPr>
          <w:p>
            <w:pPr>
              <w:spacing w:after="40"/>
            </w:pPr>
            <w:r>
              <w:rPr>
                <w:sz w:val="18"/>
              </w:rPr>
              <w:t>4,117</w:t>
            </w:r>
          </w:p>
        </w:tc>
      </w:tr>
      <w:tr>
        <w:tc>
          <w:tcPr>
            <w:tcW w:type="dxa" w:w="2592"/>
          </w:tcPr>
          <w:p>
            <w:pPr>
              <w:spacing w:after="40"/>
            </w:pPr>
            <w:r>
              <w:rPr>
                <w:sz w:val="18"/>
              </w:rPr>
              <w:t>Global median</w:t>
            </w:r>
          </w:p>
        </w:tc>
        <w:tc>
          <w:tcPr>
            <w:tcW w:type="dxa" w:w="2592"/>
          </w:tcPr>
          <w:p>
            <w:pPr>
              <w:spacing w:after="40"/>
            </w:pPr>
            <w:r>
              <w:rPr>
                <w:sz w:val="18"/>
              </w:rPr>
              <w:t>35.48%</w:t>
            </w:r>
          </w:p>
        </w:tc>
        <w:tc>
          <w:tcPr>
            <w:tcW w:type="dxa" w:w="2592"/>
          </w:tcPr>
          <w:p>
            <w:pPr>
              <w:spacing w:after="40"/>
            </w:pPr>
            <w:r>
              <w:rPr>
                <w:sz w:val="18"/>
              </w:rPr>
              <w:t>43.24%</w:t>
            </w:r>
          </w:p>
        </w:tc>
        <w:tc>
          <w:tcPr>
            <w:tcW w:type="dxa" w:w="2592"/>
          </w:tcPr>
          <w:p>
            <w:pPr>
              <w:spacing w:after="40"/>
            </w:pPr>
            <w:r>
              <w:rPr>
                <w:sz w:val="18"/>
              </w:rPr>
              <w:t>4,117</w:t>
            </w:r>
          </w:p>
        </w:tc>
      </w:tr>
    </w:tbl>
    <w:p>
      <w:pPr>
        <w:pStyle w:val="Heading1"/>
      </w:pPr>
      <w:r>
        <w:t>Frozen selected configuration</w:t>
      </w:r>
    </w:p>
    <w:p>
      <w:r>
        <w:t>max_iter=350; learning_rate=0.07; max_leaf_nodes=31; l2_regularization=10.0; remarks features=on; log-price target; random seed 42.</w:t>
      </w:r>
    </w:p>
    <w:p>
      <w:pPr>
        <w:pStyle w:val="Heading1"/>
      </w:pPr>
      <w:r>
        <w:t>Interpretation and deliverable</w:t>
      </w:r>
    </w:p>
    <w:p>
      <w:r>
        <w:t>53.8% of held-out predictions are within 10% of sale price; 83.8% are within 20%. Median signed error: +0.49%. Refit the final selected model on all 150,000 training sales and predict each supplied off-market test ID.</w:t>
      </w:r>
    </w:p>
    <w:p>
      <w:r>
        <w:t>The $2m+ group had 14.68% MdAPE across 719 homes, with -9.57% median signed error. The data is synthetic; results do not establish real-world appraisal accuracy. Six months do not capture every future market regime. Expensive or unusual homes may have larger errors. The June–September 2026 test prices are hidden, so test accuracy is unknown. Do not describe the validation score as a hidden-test score.</w:t>
      </w:r>
    </w:p>
    <w:p>
      <w:pPr>
        <w:pStyle w:val="Heading1"/>
      </w:pPr>
      <w:r>
        <w:t>Report use and provenance</w:t>
      </w:r>
    </w:p>
    <w:p>
      <w:r>
        <w:t>Use report_section.md as the Part B insert in the team's four-page report. The final team report still needs member names, GitHub and video links; the Part B script targets approximately 75 seconds.</w:t>
      </w:r>
    </w:p>
    <w:p>
      <w:r>
        <w:t>Source: https://github.com/erwinzhang7/SSU-Data-Dash; official commit 6c5831e12f523d617eccd1418d46a5cf2a0bb8b4. No external data used.</w:t>
      </w:r>
    </w:p>
    <w:sectPr w:rsidR="00FC693F" w:rsidRPr="0006063C" w:rsidSect="00034616">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Part B | Validation scores only; hidden-test accuracy unknown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0"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42D45"/>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42D45"/>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42D45"/>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