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4D40E" w14:textId="77777777" w:rsidR="00032E5D" w:rsidRDefault="00C304B3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noProof/>
        </w:rPr>
        <w:pict w14:anchorId="7FBFCF6F">
          <v:rect id="_x0000_i1028" alt="" style="width:468pt;height:.05pt;mso-width-percent:0;mso-height-percent:0;mso-width-percent:0;mso-height-percent:0" o:hralign="center" o:hrstd="t" o:hr="t" fillcolor="#a0a0a0" stroked="f"/>
        </w:pict>
      </w:r>
      <w:r w:rsidR="004D0A41">
        <w:rPr>
          <w:rFonts w:ascii="Google Sans" w:eastAsia="Google Sans" w:hAnsi="Google Sans" w:cs="Google Sans"/>
          <w:b/>
          <w:bCs/>
          <w:color w:val="1F1F1F"/>
        </w:rPr>
        <w:t>致：</w:t>
      </w:r>
      <w:r w:rsidR="004D0A41">
        <w:rPr>
          <w:rFonts w:ascii="Google Sans" w:eastAsia="Google Sans" w:hAnsi="Google Sans" w:cs="Google Sans"/>
          <w:color w:val="1F1F1F"/>
        </w:rPr>
        <w:t xml:space="preserve"> 德勤审计项目组</w:t>
      </w:r>
    </w:p>
    <w:p w14:paraId="43380DEE" w14:textId="77777777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发件人：</w:t>
      </w:r>
      <w:r>
        <w:rPr>
          <w:rFonts w:ascii="Google Sans" w:eastAsia="Google Sans" w:hAnsi="Google Sans" w:cs="Google Sans"/>
          <w:color w:val="1F1F1F"/>
        </w:rPr>
        <w:t xml:space="preserve"> 公司财务部 / 管理层</w:t>
      </w:r>
    </w:p>
    <w:p w14:paraId="587B2C11" w14:textId="77777777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日期：</w:t>
      </w:r>
      <w:r>
        <w:rPr>
          <w:rFonts w:ascii="Google Sans" w:eastAsia="Google Sans" w:hAnsi="Google Sans" w:cs="Google Sans"/>
          <w:color w:val="1F1F1F"/>
        </w:rPr>
        <w:t xml:space="preserve"> 2026年2月28日</w:t>
      </w:r>
    </w:p>
    <w:p w14:paraId="08566265" w14:textId="24277811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主题：</w:t>
      </w:r>
      <w:r>
        <w:rPr>
          <w:rFonts w:ascii="Google Sans" w:eastAsia="Google Sans" w:hAnsi="Google Sans" w:cs="Google Sans"/>
          <w:color w:val="1F1F1F"/>
        </w:rPr>
        <w:t xml:space="preserve"> 关于基于“投入法”之收入确认实操步骤与会计估计逻辑的专项说明备忘录</w:t>
      </w:r>
    </w:p>
    <w:p w14:paraId="7509647A" w14:textId="77777777" w:rsidR="00032E5D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一、 业务背景与核算原则概述</w:t>
      </w:r>
    </w:p>
    <w:p w14:paraId="04608779" w14:textId="77777777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本公司目前承建的大型别墅群项目（以单个项目共120个Unit为例）采用最高限价（GMP）合同模式。根据合同实质，“节约归业主（减造价），超支总包担（加成本）”。</w:t>
      </w:r>
    </w:p>
    <w:p w14:paraId="0639D6B2" w14:textId="77777777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为满足 </w:t>
      </w:r>
      <w:r>
        <w:rPr>
          <w:rFonts w:ascii="Google Sans" w:eastAsia="Google Sans" w:hAnsi="Google Sans" w:cs="Google Sans"/>
          <w:b/>
          <w:bCs/>
          <w:color w:val="1F1F1F"/>
        </w:rPr>
        <w:t>HKFRS 15《客户合同收入》</w:t>
      </w:r>
      <w:r>
        <w:rPr>
          <w:rFonts w:ascii="Google Sans" w:eastAsia="Google Sans" w:hAnsi="Google Sans" w:cs="Google Sans"/>
          <w:color w:val="1F1F1F"/>
        </w:rPr>
        <w:t xml:space="preserve"> 的要求，公司将该项目视为“在一段时间内履行的单一履约义务”，并采用**成本投入法（Cost-to-Cost Input Method）**衡量履约进度。</w:t>
      </w:r>
    </w:p>
    <w:p w14:paraId="73EE24CE" w14:textId="77777777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鉴于项目Unit数量众多、施工周期长，为避免因动态预算（EAC）按月高频调整带来的毛利率异常波动，并确保财务信息能真实、公允地反映（Faithful Depiction）向客户转移控制权的进度，管理层制定了标准化的5步核算模型。本备忘录旨在向贵所阐明该模型的具体计算步骤及其符合HKFRS 15的内在准则逻辑。</w:t>
      </w:r>
    </w:p>
    <w:p w14:paraId="1206F13E" w14:textId="77777777" w:rsidR="00032E5D" w:rsidRDefault="00C304B3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noProof/>
        </w:rPr>
        <w:pict w14:anchorId="2ED9DAD9">
          <v:rect id="_x0000_i1027" alt="" style="width:468pt;height:.05pt;mso-width-percent:0;mso-height-percent:0;mso-width-percent:0;mso-height-percent:0" o:hralign="center" o:hrstd="t" o:hr="t" fillcolor="#a0a0a0" stroked="f"/>
        </w:pict>
      </w:r>
      <w:r w:rsidR="004D0A41">
        <w:rPr>
          <w:rFonts w:ascii="Google Sans" w:eastAsia="Google Sans" w:hAnsi="Google Sans" w:cs="Google Sans"/>
          <w:color w:val="1F1F1F"/>
        </w:rPr>
        <w:t>二、 核算步骤详解与准则依据</w:t>
      </w:r>
    </w:p>
    <w:p w14:paraId="2F619B7C" w14:textId="77777777" w:rsidR="00032E5D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 w:rsidRPr="00F145B6">
        <w:rPr>
          <w:rFonts w:ascii="Google Sans" w:eastAsia="Google Sans" w:hAnsi="Google Sans" w:cs="Google Sans"/>
          <w:color w:val="1F1F1F"/>
          <w:highlight w:val="lightGray"/>
        </w:rPr>
        <w:t>步骤 1 ：确定初始交易价格与预计总成本（剔除措施费）</w:t>
      </w:r>
    </w:p>
    <w:p w14:paraId="4E96B438" w14:textId="77777777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实操步骤：</w:t>
      </w:r>
    </w:p>
    <w:p w14:paraId="068CAFD3" w14:textId="77777777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在合同签订日（D1），我们设定以下初始计算基准：</w:t>
      </w:r>
    </w:p>
    <w:p w14:paraId="5E41DF35" w14:textId="77777777" w:rsidR="00032E5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预计总交易价格（Estimated Total Transaction Price, TP）</w:t>
      </w:r>
      <w:r>
        <w:rPr>
          <w:rFonts w:ascii="Google Sans" w:eastAsia="Google Sans" w:hAnsi="Google Sans" w:cs="Google Sans"/>
          <w:color w:val="1F1F1F"/>
        </w:rPr>
        <w:t xml:space="preserve"> = 合同金额</w:t>
      </w:r>
    </w:p>
    <w:p w14:paraId="201CDEE1" w14:textId="77777777" w:rsidR="00032E5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预计总成本（Estimated At Completion, EAC）</w:t>
      </w:r>
      <w:r>
        <w:rPr>
          <w:rFonts w:ascii="Google Sans" w:eastAsia="Google Sans" w:hAnsi="Google Sans" w:cs="Google Sans"/>
          <w:color w:val="1F1F1F"/>
        </w:rPr>
        <w:t xml:space="preserve"> = 合同金额 - 措施费 - 总包管理费（利润）</w:t>
      </w:r>
    </w:p>
    <w:p w14:paraId="0E9F236D" w14:textId="77777777" w:rsidR="00032E5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完工进度（POC）计算公式：</w:t>
      </w:r>
      <w:r>
        <w:rPr>
          <w:color w:val="000000"/>
        </w:rPr>
        <w:br/>
        <w:t xml:space="preserve">                              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14300" distB="114300" distL="114300" distR="114300" wp14:anchorId="2104A5D8" wp14:editId="4A5B0651">
            <wp:extent cx="2403924" cy="509588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3924" cy="509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1EBD3B" w14:textId="77777777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逻辑与准则依据（HKFRS 15.B19）：</w:t>
      </w:r>
    </w:p>
    <w:p w14:paraId="584E2F7D" w14:textId="77777777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根据准则规定，当使用投入法时，必须排除那些“不能反映企业向客户转让商品或服务进度的成本”。</w:t>
      </w:r>
    </w:p>
    <w:p w14:paraId="4A80AAF2" w14:textId="77777777" w:rsidR="00032E5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剔除措施费（Preliminaries/General Conditions）：</w:t>
      </w:r>
      <w:r>
        <w:rPr>
          <w:rFonts w:ascii="Google Sans" w:eastAsia="Google Sans" w:hAnsi="Google Sans" w:cs="Google Sans"/>
          <w:color w:val="1F1F1F"/>
        </w:rPr>
        <w:t xml:space="preserve"> 措施费（如现场安保、临时设施、前期准备等）在项目初期大量发生，但并不代表建筑实体的控制权已按同等比例转移给业主。若将其纳入分子分母，将导致前期完工进度虚高、利润提前确认。因此，我们将其从POC的核心算法中剥离。</w:t>
      </w:r>
      <w:r>
        <w:rPr>
          <w:rFonts w:ascii="Google Sans" w:eastAsia="Google Sans" w:hAnsi="Google Sans" w:cs="Google Sans"/>
          <w:i/>
          <w:iCs/>
          <w:color w:val="1F1F1F"/>
        </w:rPr>
        <w:t>(注：实际发生的措施费将在当期利润表中以“零毛利法”确认等额的收入与</w:t>
      </w:r>
      <w:r>
        <w:rPr>
          <w:rFonts w:ascii="Google Sans" w:eastAsia="Google Sans" w:hAnsi="Google Sans" w:cs="Google Sans"/>
          <w:i/>
          <w:iCs/>
          <w:color w:val="1F1F1F"/>
        </w:rPr>
        <w:lastRenderedPageBreak/>
        <w:t>成本，不影响项目整体核心毛利率。)</w:t>
      </w:r>
    </w:p>
    <w:p w14:paraId="452AEC44" w14:textId="77777777" w:rsidR="00032E5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剔除管理费：</w:t>
      </w:r>
      <w:r>
        <w:rPr>
          <w:rFonts w:ascii="Google Sans" w:eastAsia="Google Sans" w:hAnsi="Google Sans" w:cs="Google Sans"/>
          <w:color w:val="1F1F1F"/>
        </w:rPr>
        <w:t xml:space="preserve"> 管理费属总包预期利润加成，并非直接履约成本，理应排除在成本分母之外。</w:t>
      </w:r>
    </w:p>
    <w:p w14:paraId="1AB6CB31" w14:textId="77777777" w:rsidR="00032E5D" w:rsidRDefault="00000000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 w:rsidRPr="00F145B6">
        <w:rPr>
          <w:rFonts w:ascii="Google Sans" w:eastAsia="Google Sans" w:hAnsi="Google Sans" w:cs="Google Sans"/>
          <w:color w:val="1F1F1F"/>
          <w:highlight w:val="lightGray"/>
        </w:rPr>
        <w:t>步骤 2：发生业主不予确认的成本超支（Overruns）时的处理</w:t>
      </w:r>
    </w:p>
    <w:p w14:paraId="719DCC26" w14:textId="77777777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实操步骤：</w:t>
      </w:r>
    </w:p>
    <w:p w14:paraId="4DADB43B" w14:textId="77777777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当第一批Unit开工，若当月发生实际直接成本，且出现了业主不予认可的预算超支时，当月确认的收入计算如下：</w:t>
      </w:r>
    </w:p>
    <w:p w14:paraId="1BE820F7" w14:textId="77777777" w:rsidR="00032E5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分母（EAC）</w:t>
      </w:r>
      <w:r>
        <w:rPr>
          <w:rFonts w:ascii="Google Sans" w:eastAsia="Google Sans" w:hAnsi="Google Sans" w:cs="Google Sans"/>
          <w:color w:val="1F1F1F"/>
        </w:rPr>
        <w:t xml:space="preserve"> = 初始直接成本 + Owner不确认的成本超支</w:t>
      </w:r>
    </w:p>
    <w:p w14:paraId="33455BEE" w14:textId="77777777" w:rsidR="00032E5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乘数（TP）</w:t>
      </w:r>
      <w:r>
        <w:rPr>
          <w:rFonts w:ascii="Google Sans" w:eastAsia="Google Sans" w:hAnsi="Google Sans" w:cs="Google Sans"/>
          <w:color w:val="1F1F1F"/>
        </w:rPr>
        <w:t xml:space="preserve"> = 合同金额（保持不变）</w:t>
      </w:r>
    </w:p>
    <w:p w14:paraId="06E475C8" w14:textId="77777777" w:rsidR="00032E5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累计确认收入计算公式：</w:t>
      </w:r>
    </w:p>
    <w:p w14:paraId="0587359A" w14:textId="77777777" w:rsidR="00032E5D" w:rsidRDefault="00000000">
      <w:pPr>
        <w:spacing w:before="120" w:after="120" w:line="275" w:lineRule="auto"/>
        <w:ind w:left="465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                              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14300" distB="114300" distL="114300" distR="114300" wp14:anchorId="210E29C5" wp14:editId="376523F6">
            <wp:extent cx="3500438" cy="50899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508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01469" w14:textId="77777777" w:rsidR="00032E5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当月确认收入=累计确认收入-以前月份累计已确认收入</w:t>
      </w:r>
      <w:r>
        <w:rPr>
          <w:color w:val="000000"/>
        </w:rPr>
        <w:br/>
        <w:t xml:space="preserve">                   </w:t>
      </w:r>
    </w:p>
    <w:p w14:paraId="7CBBD436" w14:textId="77777777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逻辑与准则依据（可变对价与成本核算）：</w:t>
      </w:r>
    </w:p>
    <w:p w14:paraId="4CC9142D" w14:textId="77777777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在GMP合同下，业主不认可的超支需由总包方自行承担。</w:t>
      </w:r>
    </w:p>
    <w:p w14:paraId="5917E63A" w14:textId="77777777" w:rsidR="00032E5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交易价格（TP）不变：</w:t>
      </w:r>
      <w:r>
        <w:rPr>
          <w:rFonts w:ascii="Google Sans" w:eastAsia="Google Sans" w:hAnsi="Google Sans" w:cs="Google Sans"/>
          <w:color w:val="1F1F1F"/>
        </w:rPr>
        <w:t xml:space="preserve"> 因为超支无法向业主索赔，总交易对价的上限并未增加。</w:t>
      </w:r>
    </w:p>
    <w:p w14:paraId="04E81DC9" w14:textId="77777777" w:rsidR="00032E5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预计总成本（EAC）增加：</w:t>
      </w:r>
      <w:r>
        <w:rPr>
          <w:rFonts w:ascii="Google Sans" w:eastAsia="Google Sans" w:hAnsi="Google Sans" w:cs="Google Sans"/>
          <w:color w:val="1F1F1F"/>
        </w:rPr>
        <w:t xml:space="preserve"> 实际发生的超支构成了履约所需的额外投入，必须计入预计总成本。</w:t>
      </w:r>
    </w:p>
    <w:p w14:paraId="57CB4BE9" w14:textId="77777777" w:rsidR="00032E5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财务影响：</w:t>
      </w:r>
      <w:r>
        <w:rPr>
          <w:rFonts w:ascii="Google Sans" w:eastAsia="Google Sans" w:hAnsi="Google Sans" w:cs="Google Sans"/>
          <w:color w:val="1F1F1F"/>
        </w:rPr>
        <w:t xml:space="preserve"> 分母变大而乘数不变，在数学上自然拉低了完工百分比的增速，使得当期确认的收入相对减少，毛利率被合理摊薄。这完美体现了“总包承担超支损失”的经济实质，符合权责发生制和配比原则。</w:t>
      </w:r>
    </w:p>
    <w:p w14:paraId="2D2C03B6" w14:textId="77777777" w:rsidR="00032E5D" w:rsidRDefault="00000000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 w:rsidRPr="00F145B6">
        <w:rPr>
          <w:rFonts w:ascii="Google Sans" w:eastAsia="Google Sans" w:hAnsi="Google Sans" w:cs="Google Sans"/>
          <w:color w:val="1F1F1F"/>
          <w:highlight w:val="lightGray"/>
        </w:rPr>
        <w:t>步骤 3：分批次结算时的预算结余（Savings）处理与估计变更</w:t>
      </w:r>
    </w:p>
    <w:p w14:paraId="0C971D56" w14:textId="77777777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实操步骤：</w:t>
      </w:r>
    </w:p>
    <w:p w14:paraId="1C4D12E8" w14:textId="77777777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为避免每月重估全部120个Unit的底层成本导致人为误差和巨大工作量，公司设定为</w:t>
      </w:r>
      <w:r>
        <w:rPr>
          <w:rFonts w:ascii="Google Sans" w:eastAsia="Google Sans" w:hAnsi="Google Sans" w:cs="Google Sans"/>
          <w:b/>
          <w:bCs/>
          <w:color w:val="1F1F1F"/>
        </w:rPr>
        <w:t>每批次（如每20个Unit，约3-4个月完工）进行一次结算与EAC重估</w:t>
      </w:r>
      <w:r>
        <w:rPr>
          <w:rFonts w:ascii="Google Sans" w:eastAsia="Google Sans" w:hAnsi="Google Sans" w:cs="Google Sans"/>
          <w:color w:val="1F1F1F"/>
        </w:rPr>
        <w:t>。</w:t>
      </w:r>
    </w:p>
    <w:p w14:paraId="53DB1DA1" w14:textId="77777777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当某批次完工结算时，计算该批次的“预算结余”（该批次预算内直接成本 - 实际结算成本）。由于结余收益归业主，需同步等额调减分母（EAC）和乘数（TP）。</w:t>
      </w:r>
    </w:p>
    <w:p w14:paraId="180C910B" w14:textId="77777777" w:rsidR="00032E5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累计确认收入计算公式：</w:t>
      </w:r>
      <w:r>
        <w:rPr>
          <w:color w:val="000000"/>
        </w:rPr>
        <w:br/>
        <w:t xml:space="preserve">       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14300" distB="114300" distL="114300" distR="114300" wp14:anchorId="3E217374" wp14:editId="2456EFE0">
            <wp:extent cx="4777383" cy="509588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7383" cy="509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250786" w14:textId="77777777" w:rsidR="00032E5D" w:rsidRDefault="00000000">
      <w:pPr>
        <w:numPr>
          <w:ilvl w:val="0"/>
          <w:numId w:val="5"/>
        </w:numP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当月确认收入=累计确认收入-以前月份累计已确认收入</w:t>
      </w:r>
    </w:p>
    <w:p w14:paraId="689E5FD1" w14:textId="77777777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逻辑与准则依据（HKAS 8 及 HKFRS 15 累计追溯调整）：</w:t>
      </w:r>
    </w:p>
    <w:p w14:paraId="1ECEC159" w14:textId="77777777" w:rsidR="00032E5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评估周期的合理性（HKAS 8 会计估计变更）：</w:t>
      </w:r>
      <w:r>
        <w:rPr>
          <w:rFonts w:ascii="Google Sans" w:eastAsia="Google Sans" w:hAnsi="Google Sans" w:cs="Google Sans"/>
          <w:color w:val="1F1F1F"/>
        </w:rPr>
        <w:t xml:space="preserve"> 基于建筑行业的复杂性，要求每月对未完工</w:t>
      </w:r>
      <w:r>
        <w:rPr>
          <w:rFonts w:ascii="Google Sans" w:eastAsia="Google Sans" w:hAnsi="Google Sans" w:cs="Google Sans"/>
          <w:color w:val="1F1F1F"/>
        </w:rPr>
        <w:lastRenderedPageBreak/>
        <w:t>的庞大工作量进行极度精确的成本重估不具备实操性。结合工程里程碑（每3-4个月的批次结算）获取“新信息”并进行EAC调整，是提供可靠会计估计的最佳业务实践。</w:t>
      </w:r>
    </w:p>
    <w:p w14:paraId="7CDC46CC" w14:textId="77777777" w:rsidR="00032E5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双扣减逻辑（GMP节约归业主）：</w:t>
      </w:r>
    </w:p>
    <w:p w14:paraId="29950DA7" w14:textId="77777777" w:rsidR="00032E5D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调减分母（EAC）：</w:t>
      </w:r>
      <w:r>
        <w:rPr>
          <w:rFonts w:ascii="Google Sans" w:eastAsia="Google Sans" w:hAnsi="Google Sans" w:cs="Google Sans"/>
          <w:color w:val="1F1F1F"/>
        </w:rPr>
        <w:t xml:space="preserve"> 因为确认了成本结余，项目后续不再需要发生这部分成本，分母减小，进度（POC）向上修正。</w:t>
      </w:r>
    </w:p>
    <w:p w14:paraId="563977CA" w14:textId="77777777" w:rsidR="00032E5D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调减乘数（TP）：</w:t>
      </w:r>
      <w:r>
        <w:rPr>
          <w:rFonts w:ascii="Google Sans" w:eastAsia="Google Sans" w:hAnsi="Google Sans" w:cs="Google Sans"/>
          <w:color w:val="1F1F1F"/>
        </w:rPr>
        <w:t xml:space="preserve"> 根据HKFRS 15“可变对价”的约束原则，既然节约归业主，公司能获取的最高限价（交易价格）实质上已降低，因此必须调减总收入盘子。</w:t>
      </w:r>
    </w:p>
    <w:p w14:paraId="75B55C18" w14:textId="77777777" w:rsidR="00032E5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平滑毛利波动：</w:t>
      </w:r>
      <w:r>
        <w:rPr>
          <w:rFonts w:ascii="Google Sans" w:eastAsia="Google Sans" w:hAnsi="Google Sans" w:cs="Google Sans"/>
          <w:color w:val="1F1F1F"/>
        </w:rPr>
        <w:t xml:space="preserve"> 通过公式尾部的 “- 以前月份累计已确认收入”（即</w:t>
      </w:r>
      <w:r>
        <w:rPr>
          <w:rFonts w:ascii="Google Sans" w:eastAsia="Google Sans" w:hAnsi="Google Sans" w:cs="Google Sans"/>
          <w:b/>
          <w:bCs/>
          <w:color w:val="1F1F1F"/>
        </w:rPr>
        <w:t>Cumulative catch-up adjustment 累计追溯调整法</w:t>
      </w:r>
      <w:r>
        <w:rPr>
          <w:rFonts w:ascii="Google Sans" w:eastAsia="Google Sans" w:hAnsi="Google Sans" w:cs="Google Sans"/>
          <w:color w:val="1F1F1F"/>
        </w:rPr>
        <w:t>），系统会自动计算出当期应确认的净收入。一增一减的对冲效应，彻底解决了以往“前期强行剔除不可预见费，后期突然加回”导致的毛利率剧烈波动问题。</w:t>
      </w:r>
    </w:p>
    <w:p w14:paraId="499AEB25" w14:textId="77777777" w:rsidR="00032E5D" w:rsidRDefault="00000000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 w:rsidRPr="00F145B6">
        <w:rPr>
          <w:rFonts w:ascii="Google Sans" w:eastAsia="Google Sans" w:hAnsi="Google Sans" w:cs="Google Sans"/>
          <w:color w:val="1F1F1F"/>
          <w:highlight w:val="lightGray"/>
        </w:rPr>
        <w:t>步骤 4 &amp; 5：项目尾期与最终清算</w:t>
      </w:r>
    </w:p>
    <w:p w14:paraId="573BCFF8" w14:textId="77777777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实操步骤：</w:t>
      </w:r>
    </w:p>
    <w:p w14:paraId="2CA63BA8" w14:textId="77777777" w:rsidR="00032E5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步骤 5（所有Unit完工结算时）：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最后一个月确认收入 = $100\% \times (\text{合同金额} - \text{总预算结余}) - \text{以前月份累计已确认收入}$</w:t>
      </w:r>
    </w:p>
    <w:p w14:paraId="004B585A" w14:textId="77777777" w:rsidR="00032E5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步骤 6（与业主最终决算）：</w:t>
      </w:r>
      <w:r>
        <w:rPr>
          <w:rFonts w:ascii="Google Sans" w:eastAsia="Google Sans" w:hAnsi="Google Sans" w:cs="Google Sans"/>
          <w:color w:val="1F1F1F"/>
        </w:rPr>
        <w:t xml:space="preserve"> 若与业主最终出具的决算文件金额与账面确认收入存在微小差异，则在当期进行最终调整。</w:t>
      </w:r>
    </w:p>
    <w:p w14:paraId="658930A3" w14:textId="77777777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逻辑与准则依据：</w:t>
      </w:r>
    </w:p>
    <w:p w14:paraId="5B1BC30B" w14:textId="77777777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在项目100%实质性完工时，履约义务已全部履行完毕。此时所有的估计不确定性已消除。步骤5作为常规的收尾倒挤动作，将未确认的剩余尾款一次性确认为收入；步骤6则处理决算审计差异。由于我们在前4个步骤中已经通过“批次结算”动态化解了大部分偏差，最后一步的调整金额将被控制在极低水平，不会构成重大前期差错（Material Error）。</w:t>
      </w:r>
    </w:p>
    <w:p w14:paraId="53165F73" w14:textId="77777777" w:rsidR="00032E5D" w:rsidRDefault="00C304B3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noProof/>
        </w:rPr>
        <w:pict w14:anchorId="478AEBC8">
          <v:rect id="_x0000_i1026" alt="" style="width:468pt;height:.05pt;mso-width-percent:0;mso-height-percent:0;mso-width-percent:0;mso-height-percent:0" o:hralign="center" o:hrstd="t" o:hr="t" fillcolor="#a0a0a0" stroked="f"/>
        </w:pict>
      </w:r>
      <w:r w:rsidR="004D0A41">
        <w:rPr>
          <w:rFonts w:ascii="Google Sans" w:eastAsia="Google Sans" w:hAnsi="Google Sans" w:cs="Google Sans"/>
          <w:color w:val="1F1F1F"/>
        </w:rPr>
        <w:t>三、 结论</w:t>
      </w:r>
    </w:p>
    <w:p w14:paraId="1C58B28B" w14:textId="77777777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综上所述，公司针对该GMP别墅项目设计的6步法收入确认模型：</w:t>
      </w:r>
    </w:p>
    <w:p w14:paraId="11C64A54" w14:textId="77777777" w:rsidR="00032E5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严格遵循了 </w:t>
      </w:r>
      <w:r>
        <w:rPr>
          <w:rFonts w:ascii="Google Sans" w:eastAsia="Google Sans" w:hAnsi="Google Sans" w:cs="Google Sans"/>
          <w:b/>
          <w:bCs/>
          <w:color w:val="1F1F1F"/>
        </w:rPr>
        <w:t>HKFRS 15</w:t>
      </w:r>
      <w:r>
        <w:rPr>
          <w:rFonts w:ascii="Google Sans" w:eastAsia="Google Sans" w:hAnsi="Google Sans" w:cs="Google Sans"/>
          <w:color w:val="1F1F1F"/>
        </w:rPr>
        <w:t xml:space="preserve"> 中基于投入法（Input Method）衡量履约进度的要求；</w:t>
      </w:r>
    </w:p>
    <w:p w14:paraId="7F1E2518" w14:textId="77777777" w:rsidR="00032E5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合理采纳了贵所关于“剔除措施费等不反映控制权转移的成本”的专业审计建议；</w:t>
      </w:r>
    </w:p>
    <w:p w14:paraId="42820CD8" w14:textId="77777777" w:rsidR="00032E5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通过引入“按批次结算动态调整EAC与TP”的机制，既符合 </w:t>
      </w:r>
      <w:r>
        <w:rPr>
          <w:rFonts w:ascii="Google Sans" w:eastAsia="Google Sans" w:hAnsi="Google Sans" w:cs="Google Sans"/>
          <w:b/>
          <w:bCs/>
          <w:color w:val="1F1F1F"/>
        </w:rPr>
        <w:t>HKAS 8</w:t>
      </w:r>
      <w:r>
        <w:rPr>
          <w:rFonts w:ascii="Google Sans" w:eastAsia="Google Sans" w:hAnsi="Google Sans" w:cs="Google Sans"/>
          <w:color w:val="1F1F1F"/>
        </w:rPr>
        <w:t xml:space="preserve"> 关于会计估计变更的规范，又符合业务实际，从根本上解决了历史毛利率剧烈波动的痛点。</w:t>
      </w:r>
    </w:p>
    <w:p w14:paraId="12338F5E" w14:textId="77777777" w:rsidR="00032E5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本公司认为该实操步骤能够公允、准确地反映本项目的财务表现。请德勤项目组审阅，如有进一步探讨需求，财务部随时配合提供底层测算底稿。</w:t>
      </w:r>
    </w:p>
    <w:p w14:paraId="5F0FB4E8" w14:textId="77777777" w:rsidR="00032E5D" w:rsidRDefault="00C304B3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noProof/>
        </w:rPr>
        <w:pict w14:anchorId="78A17AD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032E5D" w:rsidSect="00F145B6">
      <w:pgSz w:w="12240" w:h="15840"/>
      <w:pgMar w:top="1146" w:right="1440" w:bottom="1109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2A617AE-7341-DA4C-830E-F5FCD7B0AE6D}"/>
    <w:embedBold r:id="rId2" w:fontKey="{6BA79EA3-28EB-5849-9934-A45A29E29D9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3" w:fontKey="{D108655D-F585-E640-A208-25B881C7656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05D7BB9-9E24-1E40-B031-E6AD3B0F1DB9}"/>
  </w:font>
  <w:font w:name="Google Sans">
    <w:altName w:val="Calibri"/>
    <w:charset w:val="00"/>
    <w:family w:val="auto"/>
    <w:pitch w:val="default"/>
    <w:embedRegular r:id="rId5" w:fontKey="{AC917458-9B34-2A40-BFFD-BF9DDF6EC9BB}"/>
    <w:embedBold r:id="rId6" w:fontKey="{92D55474-76D8-864C-A5CE-D83F90FAC245}"/>
    <w:embedItalic r:id="rId7" w:fontKey="{659501C3-3070-9447-BDEB-EB6F1215E03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2AF24467-925D-7A41-866B-C168D0EC006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CD4B36FB-A9FA-A145-8001-C5594987EE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D40"/>
    <w:multiLevelType w:val="multilevel"/>
    <w:tmpl w:val="531A66E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5234EBB"/>
    <w:multiLevelType w:val="multilevel"/>
    <w:tmpl w:val="2B18C40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C4C0355"/>
    <w:multiLevelType w:val="multilevel"/>
    <w:tmpl w:val="064036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4BA4E7F"/>
    <w:multiLevelType w:val="multilevel"/>
    <w:tmpl w:val="646631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456365E"/>
    <w:multiLevelType w:val="multilevel"/>
    <w:tmpl w:val="DB3C26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5DE7BCC"/>
    <w:multiLevelType w:val="multilevel"/>
    <w:tmpl w:val="2AF095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7180CE2"/>
    <w:multiLevelType w:val="multilevel"/>
    <w:tmpl w:val="F0044BB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CEB2567"/>
    <w:multiLevelType w:val="multilevel"/>
    <w:tmpl w:val="149E450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EE74324"/>
    <w:multiLevelType w:val="multilevel"/>
    <w:tmpl w:val="05B66FC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23201278">
    <w:abstractNumId w:val="2"/>
  </w:num>
  <w:num w:numId="2" w16cid:durableId="1308433385">
    <w:abstractNumId w:val="6"/>
  </w:num>
  <w:num w:numId="3" w16cid:durableId="1313674193">
    <w:abstractNumId w:val="4"/>
  </w:num>
  <w:num w:numId="4" w16cid:durableId="1414279516">
    <w:abstractNumId w:val="0"/>
  </w:num>
  <w:num w:numId="5" w16cid:durableId="467551538">
    <w:abstractNumId w:val="3"/>
  </w:num>
  <w:num w:numId="6" w16cid:durableId="431977891">
    <w:abstractNumId w:val="8"/>
  </w:num>
  <w:num w:numId="7" w16cid:durableId="1416828037">
    <w:abstractNumId w:val="1"/>
  </w:num>
  <w:num w:numId="8" w16cid:durableId="1446123270">
    <w:abstractNumId w:val="5"/>
  </w:num>
  <w:num w:numId="9" w16cid:durableId="7730898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TrueType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E5D"/>
    <w:rsid w:val="00032E5D"/>
    <w:rsid w:val="004D0A41"/>
    <w:rsid w:val="005A2221"/>
    <w:rsid w:val="00C304B3"/>
    <w:rsid w:val="00F145B6"/>
    <w:rsid w:val="00F8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185D5"/>
  <w15:docId w15:val="{B151726A-2589-1F4C-862B-9244B4260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-CA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a48323</cp:lastModifiedBy>
  <cp:revision>3</cp:revision>
  <dcterms:created xsi:type="dcterms:W3CDTF">2026-02-27T15:45:00Z</dcterms:created>
  <dcterms:modified xsi:type="dcterms:W3CDTF">2026-02-27T15:48:00Z</dcterms:modified>
</cp:coreProperties>
</file>