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22.09.2019, 23:44:25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402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mongo_buffet_3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Schnitzel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Plate Chicken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mongo_buffet_2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Bai Jiu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mongo_buffet_4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coffee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mongo_buffet_5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201,00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76,80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404,20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481,00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481,00EUR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