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16:32:21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453,22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380,86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72,36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296,95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277,52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19,43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750,17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658,38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91,79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750,17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-215,24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-54,00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1.526,61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263,97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1.861,55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461,93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288,24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AMUW2mVREJ2iT+g+R1vmRbnIghl0apjJ1iYmqVyTdmhu0D/YIwEtONybChxCLXFF1g+8Z+9otVpg0vXhXCcXQkUq+lAKpS6NrgqwjjF3Nno8lgeIiWR7u0o=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