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0"/>
          <w:szCs w:val="20"/>
        </w:rPr>
      </w:pPr>
    </w:p>
    <w:tbl>
      <w:tblPr>
        <w:tblW w:w="36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4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Z Bericht Nr.3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------------- Finanzbericht Tag----------</w:t>
            </w:r>
          </w:p>
        </w:tc>
      </w:tr>
    </w:tbl>
    <w:p>
      <w:pPr>
        <w:pStyle w:val="Normal.0"/>
        <w:widowControl w:val="0"/>
        <w:rPr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Bis: 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12.09.2019, 05:38:57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3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1"/>
        <w:gridCol w:w="1171"/>
        <w:gridCol w:w="117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BRUTTO1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19%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1.689,99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NETTO1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19%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{net_revenue1}}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MWST1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19%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269,83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BRUTTO2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172,96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NETTO2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161,64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MWST2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11,32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VERST.GES/B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1.862,95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757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shd w:val="clear" w:color="auto" w:fill="f8f9fc"/>
                <w:rtl w:val="0"/>
                <w:lang w:val="en-US"/>
              </w:rPr>
              <w:t>VERST.GES/N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1.581,80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shd w:val="clear" w:color="auto" w:fill="f8f9fc"/>
                <w:rtl w:val="0"/>
                <w:lang w:val="en-US"/>
              </w:rPr>
              <w:t>ST.GESAMT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281,15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1.862,95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Rabatt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-0,00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Rabatt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-0,00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shd w:val="clear" w:color="auto" w:fill="f8f9fc"/>
                <w:rtl w:val="0"/>
                <w:lang w:val="en-US"/>
              </w:rPr>
              <w:t>Bezahlte Tische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906,99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shd w:val="clear" w:color="auto" w:fill="f8f9fc"/>
                <w:rtl w:val="0"/>
                <w:lang w:val="en-US"/>
              </w:rPr>
              <w:t>Offene Tische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152,99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1.209,95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4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 LADE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BAR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615,98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KARTE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1.246,97</w:t>
            </w:r>
          </w:p>
        </w:tc>
      </w:tr>
    </w:tbl>
    <w:p>
      <w:pPr>
        <w:pStyle w:val="Normal.0"/>
        <w:widowControl w:val="0"/>
        <w:ind w:left="351" w:hanging="351"/>
      </w:pPr>
      <w:r>
        <w:rPr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