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endnotes.xml" ContentType="application/vnd.openxmlformats-officedocument.wordprocessingml.endnotes+xml"/>
  <Override PartName="/word/settings.xml" ContentType="application/vnd.openxmlformats-officedocument.wordprocessingml.settings+xml"/>
  <Override PartName="/word/footnotes.xml" ContentType="application/vnd.openxmlformats-officedocument.wordprocessingml.footnotes+xml"/>
  <Override PartName="/word/comments.xml" ContentType="application/vnd.openxmlformats-officedocument.wordprocessingml.comments+xml"/>
  <Override PartName="/word/header1.xml" ContentType="application/vnd.openxmlformats-officedocument.wordprocessingml.header+xml"/>
  <Override PartName="/word/numbering.xml" ContentType="application/vnd.openxmlformats-officedocument.wordprocessingml.numbering+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jc w:val="center"/>
      </w:pPr>
      <w:r>
        <w:rPr>
          <w:b/>
          <w:bCs/>
          <w:color w:val="1B3A5C"/>
          <w:sz w:val="56"/>
          <w:szCs w:val="56"/>
        </w:rPr>
        <w:t xml:space="preserve">Comtrade Sector Pipeline</w:t>
      </w:r>
    </w:p>
    <w:p>
      <w:pPr>
        <w:spacing w:after="100" w:before="200"/>
        <w:jc w:val="center"/>
      </w:pPr>
      <w:r>
        <w:rPr>
          <w:color w:val="0F6E5C"/>
          <w:sz w:val="30"/>
          <w:szCs w:val="30"/>
        </w:rPr>
        <w:t xml:space="preserve">Setup, Operation &amp; Reference Guide</w:t>
      </w:r>
    </w:p>
    <w:p>
      <w:pPr>
        <w:spacing w:after="800" w:before="100"/>
        <w:jc w:val="center"/>
      </w:pPr>
      <w:r>
        <w:rPr>
          <w:i/>
          <w:iCs/>
          <w:color w:val="595959"/>
          <w:sz w:val="22"/>
          <w:szCs w:val="22"/>
        </w:rPr>
        <w:t xml:space="preserve">A self-contained Streamlit application for pulling, cleaning, and visualising UN Comtrade sector trade data</w:t>
      </w:r>
    </w:p>
    <w:p>
      <w:pPr>
        <w:spacing w:after="80"/>
        <w:jc w:val="center"/>
      </w:pPr>
      <w:r>
        <w:rPr>
          <w:color w:val="595959"/>
          <w:sz w:val="20"/>
          <w:szCs w:val="20"/>
        </w:rPr>
        <w:t xml:space="preserve">Prepared for the Comtrade Automation Final package</w:t>
      </w:r>
    </w:p>
    <w:p>
      <w:r>
        <w:br w:type="page"/>
      </w:r>
    </w:p>
    <w:p>
      <w:pPr>
        <w:pStyle w:val="Heading1"/>
      </w:pPr>
      <w:r>
        <w:rPr>
          <w:color w:val="1B3A5C"/>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color w:val="1B3A5C"/>
        </w:rPr>
        <w:t xml:space="preserve">1. What This Application Is</w:t>
      </w:r>
    </w:p>
    <w:p>
      <w:pPr>
        <w:spacing w:after="160" w:line="276"/>
      </w:pPr>
      <w:r>
        <w:t xml:space="preserve">This is a self-contained Streamlit web application that automates the full UN Comtrade sector-research workflow: it pulls trade data directly from the UN Comtrade API, cleans and standardises it into the same workbook structure used by the original manual process, runs a competitor-country analysis, and renders the results as interactive charts in the browser — all without leaving the app.</w:t>
      </w:r>
    </w:p>
    <w:p>
      <w:pPr>
        <w:spacing w:after="160" w:line="276"/>
      </w:pPr>
      <w:r>
        <w:t xml:space="preserve">It replaces the older slide-deck-based workflow entirely. There is no PowerPoint generation anywhere in this version; everything you need (charts, tables, the cleaned Excel workbook) is produced and shown directly in the app, and the cleaned workbook can be downloaded with one click.</w:t>
      </w:r>
    </w:p>
    <w:p>
      <w:pPr>
        <w:pStyle w:val="Heading2"/>
      </w:pPr>
      <w:r>
        <w:rPr>
          <w:color w:val="1B3A5C"/>
        </w:rPr>
        <w:t xml:space="preserve">1.1 Core capabilities</w:t>
      </w:r>
    </w:p>
    <w:p>
      <w:pPr>
        <w:pStyle w:val="ListParagraph"/>
        <w:numPr>
          <w:ilvl w:val="0"/>
          <w:numId w:val="2"/>
        </w:numPr>
        <w:spacing w:after="100"/>
      </w:pPr>
      <w:r>
        <w:t xml:space="preserve">Pulls live trade data for any of 8 pre-built sectors, or a custom sector defined from scratch, directly from the UN Comtrade API.</w:t>
      </w:r>
    </w:p>
    <w:p>
      <w:pPr>
        <w:pStyle w:val="ListParagraph"/>
        <w:numPr>
          <w:ilvl w:val="0"/>
          <w:numId w:val="2"/>
        </w:numPr>
        <w:spacing w:after="100"/>
      </w:pPr>
      <w:r>
        <w:t xml:space="preserve">Cleans and standardises the raw pull into a workbook with the same sheet structure as the original reference workbooks (Master_Table, per-flow pivot sheets, summary tables, DGCIS HS mapping, and more) — for every sector, not just one.</w:t>
      </w:r>
    </w:p>
    <w:p>
      <w:pPr>
        <w:pStyle w:val="ListParagraph"/>
        <w:numPr>
          <w:ilvl w:val="0"/>
          <w:numId w:val="2"/>
        </w:numPr>
        <w:spacing w:after="100"/>
      </w:pPr>
      <w:r>
        <w:t xml:space="preserve">Runs a five-sheet competitor analysis (top exporters, top importers, market share, trends, summary) using the cleaned data, no extra API calls required.</w:t>
      </w:r>
    </w:p>
    <w:p>
      <w:pPr>
        <w:pStyle w:val="ListParagraph"/>
        <w:numPr>
          <w:ilvl w:val="0"/>
          <w:numId w:val="2"/>
        </w:numPr>
        <w:spacing w:after="100"/>
      </w:pPr>
      <w:r>
        <w:t xml:space="preserve">Renders 12 interactive charts in the browser with a sector-agnostic chart engine — trend lines, country comparisons, market-share bars, and ranked Top-5/Top-10 tables — all filterable by year range, trade flow, reporter/country, and HS product bucket.</w:t>
      </w:r>
    </w:p>
    <w:p>
      <w:pPr>
        <w:pStyle w:val="ListParagraph"/>
        <w:numPr>
          <w:ilvl w:val="0"/>
          <w:numId w:val="2"/>
        </w:numPr>
        <w:spacing w:after="100"/>
      </w:pPr>
      <w:r>
        <w:t xml:space="preserve">Lets you pick a colour theme (including the FED brand palette extracted from the original reference deck) or pick your own colours with a colour picker.</w:t>
      </w:r>
    </w:p>
    <w:p>
      <w:pPr>
        <w:pStyle w:val="ListParagraph"/>
        <w:numPr>
          <w:ilvl w:val="0"/>
          <w:numId w:val="2"/>
        </w:numPr>
        <w:spacing w:after="100"/>
      </w:pPr>
      <w:r>
        <w:t xml:space="preserve">Surfaces clear diagnostics when a sector pull comes back empty or partial, instead of failing silently.</w:t>
      </w:r>
    </w:p>
    <w:p>
      <w:pPr>
        <w:pStyle w:val="Heading2"/>
      </w:pPr>
      <w:r>
        <w:rPr>
          <w:color w:val="1B3A5C"/>
        </w:rPr>
        <w:t xml:space="preserve">1.2 What it is not</w:t>
      </w:r>
    </w:p>
    <w:p>
      <w:pPr>
        <w:spacing w:after="160" w:line="276"/>
      </w:pPr>
      <w:r>
        <w:t xml:space="preserve">It is not connected to, and does not modify, any other Comtrade automation pipeline you may already have. This package is fully self-contained — every file it needs to run is included in this folder, and nothing here writes back to any other folder on your system.</w:t>
      </w:r>
    </w:p>
    <w:p>
      <w:pPr>
        <w:pStyle w:val="Heading1"/>
        <w:pageBreakBefore/>
      </w:pPr>
      <w:r>
        <w:rPr>
          <w:color w:val="1B3A5C"/>
        </w:rPr>
        <w:t xml:space="preserve">2. What's In This Folder</w:t>
      </w:r>
    </w:p>
    <w:p>
      <w:pPr>
        <w:spacing w:after="160" w:line="276"/>
      </w:pPr>
      <w:r>
        <w:t xml:space="preserve">This folder (Comtrade_Automation_Final) contains everything required to run the application on any computer. No file here should be renamed or moved out of the folder — the app looks for several of them by name in its own directory.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single" w:color="CFCFCF" w:sz="4"/>
              <w:left w:val="single" w:color="CFCFCF" w:sz="4"/>
              <w:bottom w:val="single" w:color="CFCFCF" w:sz="4"/>
              <w:right w:val="single" w:color="CFCFCF" w:sz="4"/>
            </w:tcBorders>
            <w:shd w:fill="1B3A5C" w:val="clear"/>
            <w:tcMar>
              <w:top w:type="dxa" w:w="80"/>
              <w:left w:type="dxa" w:w="120"/>
              <w:bottom w:type="dxa" w:w="80"/>
              <w:right w:type="dxa" w:w="120"/>
            </w:tcMar>
          </w:tcPr>
          <w:p>
            <w:r>
              <w:rPr>
                <w:b/>
                <w:bCs/>
                <w:color w:val="FFFFFF"/>
                <w:sz w:val="20"/>
                <w:szCs w:val="20"/>
              </w:rPr>
              <w:t xml:space="preserve">File</w:t>
            </w:r>
          </w:p>
        </w:tc>
        <w:tc>
          <w:tcPr>
            <w:tcW w:type="dxa" w:w="6880"/>
            <w:tcBorders>
              <w:top w:val="single" w:color="CFCFCF" w:sz="4"/>
              <w:left w:val="single" w:color="CFCFCF" w:sz="4"/>
              <w:bottom w:val="single" w:color="CFCFCF" w:sz="4"/>
              <w:right w:val="single" w:color="CFCFCF" w:sz="4"/>
            </w:tcBorders>
            <w:shd w:fill="1B3A5C" w:val="clear"/>
            <w:tcMar>
              <w:top w:type="dxa" w:w="80"/>
              <w:left w:type="dxa" w:w="120"/>
              <w:bottom w:type="dxa" w:w="80"/>
              <w:right w:type="dxa" w:w="120"/>
            </w:tcMar>
          </w:tcPr>
          <w:p>
            <w:r>
              <w:rPr>
                <w:b/>
                <w:bCs/>
                <w:color w:val="FFFFFF"/>
                <w:sz w:val="20"/>
                <w:szCs w:val="20"/>
              </w:rPr>
              <w:t xml:space="preserve">Purpose</w:t>
            </w:r>
          </w:p>
        </w:tc>
      </w:tr>
      <w:tr>
        <w:tc>
          <w:tcPr>
            <w:tcW w:type="dxa" w:w="3200"/>
            <w:tcBorders>
              <w:top w:val="single" w:color="CFCFCF" w:sz="4"/>
              <w:left w:val="single" w:color="CFCFCF" w:sz="4"/>
              <w:bottom w:val="single" w:color="CFCFCF" w:sz="4"/>
              <w:right w:val="single" w:color="CFCFCF" w:sz="4"/>
            </w:tcBorders>
            <w:tcMar>
              <w:top w:type="dxa" w:w="80"/>
              <w:left w:type="dxa" w:w="120"/>
              <w:bottom w:type="dxa" w:w="80"/>
              <w:right w:type="dxa" w:w="120"/>
            </w:tcMar>
          </w:tcPr>
          <w:p>
            <w:r>
              <w:rPr>
                <w:sz w:val="20"/>
                <w:szCs w:val="20"/>
              </w:rPr>
              <w:t xml:space="preserve">app.py</w:t>
            </w:r>
          </w:p>
        </w:tc>
        <w:tc>
          <w:tcPr>
            <w:tcW w:type="dxa" w:w="6880"/>
            <w:tcBorders>
              <w:top w:val="single" w:color="CFCFCF" w:sz="4"/>
              <w:left w:val="single" w:color="CFCFCF" w:sz="4"/>
              <w:bottom w:val="single" w:color="CFCFCF" w:sz="4"/>
              <w:right w:val="single" w:color="CFCFCF" w:sz="4"/>
            </w:tcBorders>
            <w:tcMar>
              <w:top w:type="dxa" w:w="80"/>
              <w:left w:type="dxa" w:w="120"/>
              <w:bottom w:type="dxa" w:w="80"/>
              <w:right w:type="dxa" w:w="120"/>
            </w:tcMar>
          </w:tcPr>
          <w:p>
            <w:r>
              <w:rPr>
                <w:sz w:val="20"/>
                <w:szCs w:val="20"/>
              </w:rPr>
              <w:t xml:space="preserve">The Streamlit application itself. This is the file you launch to start the app.</w:t>
            </w:r>
          </w:p>
        </w:tc>
      </w:tr>
      <w:tr>
        <w:tc>
          <w:tcPr>
            <w:tcW w:type="dxa" w:w="3200"/>
            <w:tcBorders>
              <w:top w:val="single" w:color="CFCFCF" w:sz="4"/>
              <w:left w:val="single" w:color="CFCFCF" w:sz="4"/>
              <w:bottom w:val="single" w:color="CFCFCF" w:sz="4"/>
              <w:right w:val="single" w:color="CFCFCF" w:sz="4"/>
            </w:tcBorders>
            <w:tcMar>
              <w:top w:type="dxa" w:w="80"/>
              <w:left w:type="dxa" w:w="120"/>
              <w:bottom w:type="dxa" w:w="80"/>
              <w:right w:type="dxa" w:w="120"/>
            </w:tcMar>
          </w:tcPr>
          <w:p>
            <w:r>
              <w:rPr>
                <w:sz w:val="20"/>
                <w:szCs w:val="20"/>
              </w:rPr>
              <w:t xml:space="preserve">sector_comtrade_pipeline.py</w:t>
            </w:r>
          </w:p>
        </w:tc>
        <w:tc>
          <w:tcPr>
            <w:tcW w:type="dxa" w:w="6880"/>
            <w:tcBorders>
              <w:top w:val="single" w:color="CFCFCF" w:sz="4"/>
              <w:left w:val="single" w:color="CFCFCF" w:sz="4"/>
              <w:bottom w:val="single" w:color="CFCFCF" w:sz="4"/>
              <w:right w:val="single" w:color="CFCFCF" w:sz="4"/>
            </w:tcBorders>
            <w:tcMar>
              <w:top w:type="dxa" w:w="80"/>
              <w:left w:type="dxa" w:w="120"/>
              <w:bottom w:type="dxa" w:w="80"/>
              <w:right w:type="dxa" w:w="120"/>
            </w:tcMar>
          </w:tcPr>
          <w:p>
            <w:r>
              <w:rPr>
                <w:sz w:val="20"/>
                <w:szCs w:val="20"/>
              </w:rPr>
              <w:t xml:space="preserve">The data-pull, cleaning, competitor-analysis, and chart-data engine. app.py calls this script behind the scenes — you never run it directly.</w:t>
            </w:r>
          </w:p>
        </w:tc>
      </w:tr>
      <w:tr>
        <w:tc>
          <w:tcPr>
            <w:tcW w:type="dxa" w:w="3200"/>
            <w:tcBorders>
              <w:top w:val="single" w:color="CFCFCF" w:sz="4"/>
              <w:left w:val="single" w:color="CFCFCF" w:sz="4"/>
              <w:bottom w:val="single" w:color="CFCFCF" w:sz="4"/>
              <w:right w:val="single" w:color="CFCFCF" w:sz="4"/>
            </w:tcBorders>
            <w:tcMar>
              <w:top w:type="dxa" w:w="80"/>
              <w:left w:type="dxa" w:w="120"/>
              <w:bottom w:type="dxa" w:w="80"/>
              <w:right w:type="dxa" w:w="120"/>
            </w:tcMar>
          </w:tcPr>
          <w:p>
            <w:r>
              <w:rPr>
                <w:sz w:val="20"/>
                <w:szCs w:val="20"/>
              </w:rPr>
              <w:t xml:space="preserve">create_sector_config_from_qe.py</w:t>
            </w:r>
          </w:p>
        </w:tc>
        <w:tc>
          <w:tcPr>
            <w:tcW w:type="dxa" w:w="6880"/>
            <w:tcBorders>
              <w:top w:val="single" w:color="CFCFCF" w:sz="4"/>
              <w:left w:val="single" w:color="CFCFCF" w:sz="4"/>
              <w:bottom w:val="single" w:color="CFCFCF" w:sz="4"/>
              <w:right w:val="single" w:color="CFCFCF" w:sz="4"/>
            </w:tcBorders>
            <w:tcMar>
              <w:top w:type="dxa" w:w="80"/>
              <w:left w:type="dxa" w:w="120"/>
              <w:bottom w:type="dxa" w:w="80"/>
              <w:right w:type="dxa" w:w="120"/>
            </w:tcMar>
          </w:tcPr>
          <w:p>
            <w:r>
              <w:rPr>
                <w:sz w:val="20"/>
                <w:szCs w:val="20"/>
              </w:rPr>
              <w:t xml:space="preserve">Builds the per-sector configuration workbook (HS codes, product buckets) from the DGCIS mapping file, based on whatever sector you pick in Step 1 of the app.</w:t>
            </w:r>
          </w:p>
        </w:tc>
      </w:tr>
      <w:tr>
        <w:tc>
          <w:tcPr>
            <w:tcW w:type="dxa" w:w="3200"/>
            <w:tcBorders>
              <w:top w:val="single" w:color="CFCFCF" w:sz="4"/>
              <w:left w:val="single" w:color="CFCFCF" w:sz="4"/>
              <w:bottom w:val="single" w:color="CFCFCF" w:sz="4"/>
              <w:right w:val="single" w:color="CFCFCF" w:sz="4"/>
            </w:tcBorders>
            <w:tcMar>
              <w:top w:type="dxa" w:w="80"/>
              <w:left w:type="dxa" w:w="120"/>
              <w:bottom w:type="dxa" w:w="80"/>
              <w:right w:type="dxa" w:w="120"/>
            </w:tcMar>
          </w:tcPr>
          <w:p>
            <w:r>
              <w:rPr>
                <w:sz w:val="20"/>
                <w:szCs w:val="20"/>
              </w:rPr>
              <w:t xml:space="preserve">QE_PC_HS_Mapping_2025-26_Final_Sent.xlsx</w:t>
            </w:r>
          </w:p>
        </w:tc>
        <w:tc>
          <w:tcPr>
            <w:tcW w:type="dxa" w:w="6880"/>
            <w:tcBorders>
              <w:top w:val="single" w:color="CFCFCF" w:sz="4"/>
              <w:left w:val="single" w:color="CFCFCF" w:sz="4"/>
              <w:bottom w:val="single" w:color="CFCFCF" w:sz="4"/>
              <w:right w:val="single" w:color="CFCFCF" w:sz="4"/>
            </w:tcBorders>
            <w:tcMar>
              <w:top w:type="dxa" w:w="80"/>
              <w:left w:type="dxa" w:w="120"/>
              <w:bottom w:type="dxa" w:w="80"/>
              <w:right w:type="dxa" w:w="120"/>
            </w:tcMar>
          </w:tcPr>
          <w:p>
            <w:r>
              <w:rPr>
                <w:sz w:val="20"/>
                <w:szCs w:val="20"/>
              </w:rPr>
              <w:t xml:space="preserve">The DGCIS Quarterly Estimates / Principal Commodity → HS code mapping reference file. The sector presets and HS code lookups depend on this file being present and unrenamed.</w:t>
            </w:r>
          </w:p>
        </w:tc>
      </w:tr>
      <w:tr>
        <w:tc>
          <w:tcPr>
            <w:tcW w:type="dxa" w:w="3200"/>
            <w:tcBorders>
              <w:top w:val="single" w:color="CFCFCF" w:sz="4"/>
              <w:left w:val="single" w:color="CFCFCF" w:sz="4"/>
              <w:bottom w:val="single" w:color="CFCFCF" w:sz="4"/>
              <w:right w:val="single" w:color="CFCFCF" w:sz="4"/>
            </w:tcBorders>
            <w:tcMar>
              <w:top w:type="dxa" w:w="80"/>
              <w:left w:type="dxa" w:w="120"/>
              <w:bottom w:type="dxa" w:w="80"/>
              <w:right w:type="dxa" w:w="120"/>
            </w:tcMar>
          </w:tcPr>
          <w:p>
            <w:r>
              <w:rPr>
                <w:sz w:val="20"/>
                <w:szCs w:val="20"/>
              </w:rPr>
              <w:t xml:space="preserve">requirements.txt</w:t>
            </w:r>
          </w:p>
        </w:tc>
        <w:tc>
          <w:tcPr>
            <w:tcW w:type="dxa" w:w="6880"/>
            <w:tcBorders>
              <w:top w:val="single" w:color="CFCFCF" w:sz="4"/>
              <w:left w:val="single" w:color="CFCFCF" w:sz="4"/>
              <w:bottom w:val="single" w:color="CFCFCF" w:sz="4"/>
              <w:right w:val="single" w:color="CFCFCF" w:sz="4"/>
            </w:tcBorders>
            <w:tcMar>
              <w:top w:type="dxa" w:w="80"/>
              <w:left w:type="dxa" w:w="120"/>
              <w:bottom w:type="dxa" w:w="80"/>
              <w:right w:type="dxa" w:w="120"/>
            </w:tcMar>
          </w:tcPr>
          <w:p>
            <w:r>
              <w:rPr>
                <w:sz w:val="20"/>
                <w:szCs w:val="20"/>
              </w:rPr>
              <w:t xml:space="preserve">The list of Python packages the app needs. Installed in one command (Section 4).</w:t>
            </w:r>
          </w:p>
        </w:tc>
      </w:tr>
      <w:tr>
        <w:tc>
          <w:tcPr>
            <w:tcW w:type="dxa" w:w="3200"/>
            <w:tcBorders>
              <w:top w:val="single" w:color="CFCFCF" w:sz="4"/>
              <w:left w:val="single" w:color="CFCFCF" w:sz="4"/>
              <w:bottom w:val="single" w:color="CFCFCF" w:sz="4"/>
              <w:right w:val="single" w:color="CFCFCF" w:sz="4"/>
            </w:tcBorders>
            <w:tcMar>
              <w:top w:type="dxa" w:w="80"/>
              <w:left w:type="dxa" w:w="120"/>
              <w:bottom w:type="dxa" w:w="80"/>
              <w:right w:type="dxa" w:w="120"/>
            </w:tcMar>
          </w:tcPr>
          <w:p>
            <w:r>
              <w:rPr>
                <w:sz w:val="20"/>
                <w:szCs w:val="20"/>
              </w:rPr>
              <w:t xml:space="preserve">.env</w:t>
            </w:r>
          </w:p>
        </w:tc>
        <w:tc>
          <w:tcPr>
            <w:tcW w:type="dxa" w:w="6880"/>
            <w:tcBorders>
              <w:top w:val="single" w:color="CFCFCF" w:sz="4"/>
              <w:left w:val="single" w:color="CFCFCF" w:sz="4"/>
              <w:bottom w:val="single" w:color="CFCFCF" w:sz="4"/>
              <w:right w:val="single" w:color="CFCFCF" w:sz="4"/>
            </w:tcBorders>
            <w:tcMar>
              <w:top w:type="dxa" w:w="80"/>
              <w:left w:type="dxa" w:w="120"/>
              <w:bottom w:type="dxa" w:w="80"/>
              <w:right w:type="dxa" w:w="120"/>
            </w:tcMar>
          </w:tcPr>
          <w:p>
            <w:r>
              <w:rPr>
                <w:sz w:val="20"/>
                <w:szCs w:val="20"/>
              </w:rPr>
              <w:t xml:space="preserve">Holds your UN Comtrade API key as an environment variable (COMTRADE_API_KEY=...), so the app can pre-fill it automatically. Optional — you can also paste the key directly into the app each time.</w:t>
            </w:r>
          </w:p>
        </w:tc>
      </w:tr>
      <w:tr>
        <w:tc>
          <w:tcPr>
            <w:tcW w:type="dxa" w:w="3200"/>
            <w:tcBorders>
              <w:top w:val="single" w:color="CFCFCF" w:sz="4"/>
              <w:left w:val="single" w:color="CFCFCF" w:sz="4"/>
              <w:bottom w:val="single" w:color="CFCFCF" w:sz="4"/>
              <w:right w:val="single" w:color="CFCFCF" w:sz="4"/>
            </w:tcBorders>
            <w:tcMar>
              <w:top w:type="dxa" w:w="80"/>
              <w:left w:type="dxa" w:w="120"/>
              <w:bottom w:type="dxa" w:w="80"/>
              <w:right w:type="dxa" w:w="120"/>
            </w:tcMar>
          </w:tcPr>
          <w:p>
            <w:r>
              <w:rPr>
                <w:sz w:val="20"/>
                <w:szCs w:val="20"/>
              </w:rPr>
              <w:t xml:space="preserve">.gitignore</w:t>
            </w:r>
          </w:p>
        </w:tc>
        <w:tc>
          <w:tcPr>
            <w:tcW w:type="dxa" w:w="6880"/>
            <w:tcBorders>
              <w:top w:val="single" w:color="CFCFCF" w:sz="4"/>
              <w:left w:val="single" w:color="CFCFCF" w:sz="4"/>
              <w:bottom w:val="single" w:color="CFCFCF" w:sz="4"/>
              <w:right w:val="single" w:color="CFCFCF" w:sz="4"/>
            </w:tcBorders>
            <w:tcMar>
              <w:top w:type="dxa" w:w="80"/>
              <w:left w:type="dxa" w:w="120"/>
              <w:bottom w:type="dxa" w:w="80"/>
              <w:right w:type="dxa" w:w="120"/>
            </w:tcMar>
          </w:tcPr>
          <w:p>
            <w:r>
              <w:rPr>
                <w:sz w:val="20"/>
                <w:szCs w:val="20"/>
              </w:rPr>
              <w:t xml:space="preserve">Tells Git to ignore the .env file and generated logs/output if this folder is ever placed under version control. Not required for running the app.</w:t>
            </w:r>
          </w:p>
        </w:tc>
      </w:tr>
    </w:tbl>
    <w:p>
      <w:pPr>
        <w:spacing w:after="200"/>
      </w:pPr>
      <w:r>
        <w:rPr>
          <w:i/>
          <w:iCs/>
          <w:color w:val="595959"/>
          <w:sz w:val="20"/>
          <w:szCs w:val="20"/>
        </w:rPr>
        <w:t xml:space="preserve">Note: running the app will generate additional files in this same folder, all named after whichever sector you ran — a sector config workbook, a cleaned output workbook, a chart-data workbook, an errors log, a bilateral-lookup cache file ({slug}_bilateral_cache.json), and, if you use “Find top partners” (Section 5.4), a small snapshot file ({slug}_top_partners.json). These are all normal run outputs, not files you need to create yourself, and it’s safe to delete any of them to force a fresh pull next time.</w:t>
      </w:r>
    </w:p>
    <w:p>
      <w:pPr>
        <w:pStyle w:val="Heading1"/>
        <w:pageBreakBefore/>
      </w:pPr>
      <w:r>
        <w:rPr>
          <w:color w:val="1B3A5C"/>
        </w:rPr>
        <w:t xml:space="preserve">3. Prerequisites</w:t>
      </w:r>
    </w:p>
    <w:p>
      <w:pPr>
        <w:spacing w:after="160" w:line="276"/>
      </w:pPr>
      <w:r>
        <w:t xml:space="preserve">These are one-time checks/installs. If you've already used Python and pip before, you likely have everything you need.</w:t>
      </w:r>
    </w:p>
    <w:p>
      <w:pPr>
        <w:pStyle w:val="Heading2"/>
      </w:pPr>
      <w:r>
        <w:rPr>
          <w:color w:val="1B3A5C"/>
        </w:rPr>
        <w:t xml:space="preserve">3.1 Python</w:t>
      </w:r>
    </w:p>
    <w:p>
      <w:pPr>
        <w:spacing w:after="160" w:line="276"/>
      </w:pPr>
      <w:r>
        <w:t xml:space="preserve">Python 3.9 or later, with pip. To check what you have, open a terminal (Terminal on Mac, Command Prompt or PowerShell on Windows) and run:</w:t>
      </w:r>
    </w:p>
    <w:p>
      <w:pPr>
        <w:pBdr>
          <w:top w:val="single" w:color="CFCFCF" w:sz="4"/>
          <w:bottom w:val="single" w:color="CFCFCF" w:sz="4"/>
        </w:pBdr>
        <w:shd w:fill="F4F4F4" w:val="clear"/>
        <w:spacing w:after="80"/>
      </w:pPr>
      <w:r>
        <w:rPr>
          <w:rFonts w:ascii="Consolas" w:cs="Consolas" w:eastAsia="Consolas" w:hAnsi="Consolas"/>
          <w:sz w:val="20"/>
          <w:szCs w:val="20"/>
        </w:rPr>
        <w:t xml:space="preserve">python3 --version</w:t>
      </w:r>
    </w:p>
    <w:p>
      <w:pPr>
        <w:spacing w:after="160" w:line="276"/>
      </w:pPr>
      <w:r>
        <w:t xml:space="preserve">If that command isn't found on Windows, try “python --version” instead. If Python isn't installed at all, download it from python.org — on Windows, tick “Add Python to PATH” during install.</w:t>
      </w:r>
    </w:p>
    <w:p>
      <w:pPr>
        <w:pStyle w:val="Heading2"/>
      </w:pPr>
      <w:r>
        <w:rPr>
          <w:color w:val="1B3A5C"/>
        </w:rPr>
        <w:t xml:space="preserve">3.2 A UN Comtrade API key</w:t>
      </w:r>
    </w:p>
    <w:p>
      <w:pPr>
        <w:spacing w:after="160" w:line="276"/>
      </w:pPr>
      <w:r>
        <w:t xml:space="preserve">Free to obtain from the UN Comtrade developer portal (comtradeplus.un.org). You'll paste this key into the app once per session, or store it in the .env file so it's never needed again (see Section 6).</w:t>
      </w:r>
    </w:p>
    <w:p>
      <w:pPr>
        <w:pStyle w:val="Heading1"/>
        <w:pageBreakBefore/>
      </w:pPr>
      <w:r>
        <w:rPr>
          <w:color w:val="1B3A5C"/>
        </w:rPr>
        <w:t xml:space="preserve">4. Running the App on Any Computer</w:t>
      </w:r>
    </w:p>
    <w:p>
      <w:pPr>
        <w:spacing w:after="160" w:line="276"/>
      </w:pPr>
      <w:r>
        <w:t xml:space="preserve">These steps work the same on Mac, Windows, and Linux — only the way you open a terminal differs.</w:t>
      </w:r>
    </w:p>
    <w:p>
      <w:pPr>
        <w:pStyle w:val="Heading2"/>
      </w:pPr>
      <w:r>
        <w:rPr>
          <w:color w:val="1B3A5C"/>
        </w:rPr>
        <w:t xml:space="preserve">4.1 Step-by-step</w:t>
      </w:r>
    </w:p>
    <w:p>
      <w:pPr>
        <w:pStyle w:val="ListParagraph"/>
        <w:numPr>
          <w:ilvl w:val="0"/>
          <w:numId w:val="3"/>
        </w:numPr>
        <w:spacing w:after="100"/>
      </w:pPr>
      <w:r>
        <w:t xml:space="preserve">Copy this whole folder (Comtrade_Automation_Final) to the computer you want to run it on. Every file inside it must stay together in the same folder.</w:t>
      </w:r>
    </w:p>
    <w:p>
      <w:pPr>
        <w:pStyle w:val="ListParagraph"/>
        <w:numPr>
          <w:ilvl w:val="0"/>
          <w:numId w:val="3"/>
        </w:numPr>
        <w:spacing w:after="100"/>
      </w:pPr>
      <w:r>
        <w:t xml:space="preserve">Open a terminal and navigate into the folder. On Mac/Linux:</w:t>
      </w:r>
    </w:p>
    <w:p>
      <w:pPr>
        <w:pBdr>
          <w:top w:val="single" w:color="CFCFCF" w:sz="4"/>
          <w:bottom w:val="single" w:color="CFCFCF" w:sz="4"/>
        </w:pBdr>
        <w:shd w:fill="F4F4F4" w:val="clear"/>
        <w:spacing w:after="80"/>
      </w:pPr>
      <w:r>
        <w:rPr>
          <w:rFonts w:ascii="Consolas" w:cs="Consolas" w:eastAsia="Consolas" w:hAnsi="Consolas"/>
          <w:sz w:val="20"/>
          <w:szCs w:val="20"/>
        </w:rPr>
        <w:t xml:space="preserve">cd /path/to/Comtrade_Automation_Final</w:t>
      </w:r>
    </w:p>
    <w:p>
      <w:pPr>
        <w:spacing w:after="160" w:line="276"/>
      </w:pPr>
      <w:r>
        <w:rPr>
          <w:color w:val="595959"/>
          <w:sz w:val="20"/>
          <w:szCs w:val="20"/>
        </w:rPr>
        <w:t xml:space="preserve">On Windows (Command Prompt):</w:t>
      </w:r>
    </w:p>
    <w:p>
      <w:pPr>
        <w:pBdr>
          <w:top w:val="single" w:color="CFCFCF" w:sz="4"/>
          <w:bottom w:val="single" w:color="CFCFCF" w:sz="4"/>
        </w:pBdr>
        <w:shd w:fill="F4F4F4" w:val="clear"/>
        <w:spacing w:after="80"/>
      </w:pPr>
      <w:r>
        <w:rPr>
          <w:rFonts w:ascii="Consolas" w:cs="Consolas" w:eastAsia="Consolas" w:hAnsi="Consolas"/>
          <w:sz w:val="20"/>
          <w:szCs w:val="20"/>
        </w:rPr>
        <w:t xml:space="preserve">cd C:\path\to\Comtrade_Automation_Final</w:t>
      </w:r>
    </w:p>
    <w:p>
      <w:pPr>
        <w:spacing w:after="200"/>
      </w:pPr>
      <w:r>
        <w:rPr>
          <w:i/>
          <w:iCs/>
          <w:color w:val="595959"/>
          <w:sz w:val="20"/>
          <w:szCs w:val="20"/>
        </w:rPr>
        <w:t xml:space="preserve">Tip: instead of typing the path, you can drag the folder into the terminal window after typing “cd ” (with a trailing space) on most systems — it fills in the path for you. This avoids the most common mistake: running the next commands from the wrong folder.</w:t>
      </w:r>
    </w:p>
    <w:p>
      <w:pPr>
        <w:pStyle w:val="ListParagraph"/>
        <w:numPr>
          <w:ilvl w:val="0"/>
          <w:numId w:val="3"/>
        </w:numPr>
        <w:spacing w:after="100"/>
      </w:pPr>
      <w:r>
        <w:t xml:space="preserve">Install the required Python packages (one-time per machine, or whenever requirements.txt changes):</w:t>
      </w:r>
    </w:p>
    <w:p>
      <w:pPr>
        <w:pBdr>
          <w:top w:val="single" w:color="CFCFCF" w:sz="4"/>
          <w:bottom w:val="single" w:color="CFCFCF" w:sz="4"/>
        </w:pBdr>
        <w:shd w:fill="F4F4F4" w:val="clear"/>
        <w:spacing w:after="80"/>
      </w:pPr>
      <w:r>
        <w:rPr>
          <w:rFonts w:ascii="Consolas" w:cs="Consolas" w:eastAsia="Consolas" w:hAnsi="Consolas"/>
          <w:sz w:val="20"/>
          <w:szCs w:val="20"/>
        </w:rPr>
        <w:t xml:space="preserve">pip install -r requirements.txt</w:t>
      </w:r>
    </w:p>
    <w:p>
      <w:pPr>
        <w:spacing w:after="160" w:line="276"/>
      </w:pPr>
      <w:r>
        <w:rPr>
          <w:color w:val="595959"/>
          <w:sz w:val="20"/>
          <w:szCs w:val="20"/>
        </w:rPr>
        <w:t xml:space="preserve">On some systems you may need “pip3” instead of “pip”.</w:t>
      </w:r>
    </w:p>
    <w:p>
      <w:pPr>
        <w:pStyle w:val="ListParagraph"/>
        <w:numPr>
          <w:ilvl w:val="0"/>
          <w:numId w:val="3"/>
        </w:numPr>
        <w:spacing w:after="100"/>
      </w:pPr>
      <w:r>
        <w:t xml:space="preserve">Launch the app:</w:t>
      </w:r>
    </w:p>
    <w:p>
      <w:pPr>
        <w:pBdr>
          <w:top w:val="single" w:color="CFCFCF" w:sz="4"/>
          <w:bottom w:val="single" w:color="CFCFCF" w:sz="4"/>
        </w:pBdr>
        <w:shd w:fill="F4F4F4" w:val="clear"/>
        <w:spacing w:after="80"/>
      </w:pPr>
      <w:r>
        <w:rPr>
          <w:rFonts w:ascii="Consolas" w:cs="Consolas" w:eastAsia="Consolas" w:hAnsi="Consolas"/>
          <w:sz w:val="20"/>
          <w:szCs w:val="20"/>
        </w:rPr>
        <w:t xml:space="preserve">streamlit run app.py</w:t>
      </w:r>
    </w:p>
    <w:p>
      <w:pPr>
        <w:pStyle w:val="ListParagraph"/>
        <w:numPr>
          <w:ilvl w:val="0"/>
          <w:numId w:val="3"/>
        </w:numPr>
        <w:spacing w:after="100"/>
      </w:pPr>
      <w:r>
        <w:t xml:space="preserve">Streamlit will print a local URL (typically http://localhost:8501) and should open it in your default browser automatically. If it doesn't, copy that URL into your browser manually.</w:t>
      </w:r>
    </w:p>
    <w:p>
      <w:pPr>
        <w:pStyle w:val="ListParagraph"/>
        <w:numPr>
          <w:ilvl w:val="0"/>
          <w:numId w:val="3"/>
        </w:numPr>
        <w:spacing w:after="100"/>
      </w:pPr>
      <w:r>
        <w:t xml:space="preserve">To stop the app, go back to the terminal window and press Ctrl+C.</w:t>
      </w:r>
    </w:p>
    <w:p>
      <w:pPr>
        <w:pStyle w:val="Heading2"/>
      </w:pPr>
      <w:r>
        <w:rPr>
          <w:color w:val="1B3A5C"/>
        </w:rPr>
        <w:t xml:space="preserve">4.2 Common setup mistakes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3300"/>
        <w:gridCol w:w="3580"/>
      </w:tblGrid>
      <w:tr>
        <w:tc>
          <w:tcPr>
            <w:tcW w:type="dxa" w:w="3200"/>
            <w:tcBorders>
              <w:top w:val="single" w:color="CFCFCF" w:sz="4"/>
              <w:left w:val="single" w:color="CFCFCF" w:sz="4"/>
              <w:bottom w:val="single" w:color="CFCFCF" w:sz="4"/>
              <w:right w:val="single" w:color="CFCFCF" w:sz="4"/>
            </w:tcBorders>
            <w:shd w:fill="1B3A5C" w:val="clear"/>
            <w:tcMar>
              <w:top w:type="dxa" w:w="80"/>
              <w:left w:type="dxa" w:w="120"/>
              <w:bottom w:type="dxa" w:w="80"/>
              <w:right w:type="dxa" w:w="120"/>
            </w:tcMar>
          </w:tcPr>
          <w:p>
            <w:r>
              <w:rPr>
                <w:b/>
                <w:bCs/>
                <w:color w:val="FFFFFF"/>
                <w:sz w:val="20"/>
                <w:szCs w:val="20"/>
              </w:rPr>
              <w:t xml:space="preserve">Symptom</w:t>
            </w:r>
          </w:p>
        </w:tc>
        <w:tc>
          <w:tcPr>
            <w:tcW w:type="dxa" w:w="3300"/>
            <w:tcBorders>
              <w:top w:val="single" w:color="CFCFCF" w:sz="4"/>
              <w:left w:val="single" w:color="CFCFCF" w:sz="4"/>
              <w:bottom w:val="single" w:color="CFCFCF" w:sz="4"/>
              <w:right w:val="single" w:color="CFCFCF" w:sz="4"/>
            </w:tcBorders>
            <w:shd w:fill="1B3A5C" w:val="clear"/>
            <w:tcMar>
              <w:top w:type="dxa" w:w="80"/>
              <w:left w:type="dxa" w:w="120"/>
              <w:bottom w:type="dxa" w:w="80"/>
              <w:right w:type="dxa" w:w="120"/>
            </w:tcMar>
          </w:tcPr>
          <w:p>
            <w:r>
              <w:rPr>
                <w:b/>
                <w:bCs/>
                <w:color w:val="FFFFFF"/>
                <w:sz w:val="20"/>
                <w:szCs w:val="20"/>
              </w:rPr>
              <w:t xml:space="preserve">Cause</w:t>
            </w:r>
          </w:p>
        </w:tc>
        <w:tc>
          <w:tcPr>
            <w:tcW w:type="dxa" w:w="3580"/>
            <w:tcBorders>
              <w:top w:val="single" w:color="CFCFCF" w:sz="4"/>
              <w:left w:val="single" w:color="CFCFCF" w:sz="4"/>
              <w:bottom w:val="single" w:color="CFCFCF" w:sz="4"/>
              <w:right w:val="single" w:color="CFCFCF" w:sz="4"/>
            </w:tcBorders>
            <w:shd w:fill="1B3A5C" w:val="clear"/>
            <w:tcMar>
              <w:top w:type="dxa" w:w="80"/>
              <w:left w:type="dxa" w:w="120"/>
              <w:bottom w:type="dxa" w:w="80"/>
              <w:right w:type="dxa" w:w="120"/>
            </w:tcMar>
          </w:tcPr>
          <w:p>
            <w:r>
              <w:rPr>
                <w:b/>
                <w:bCs/>
                <w:color w:val="FFFFFF"/>
                <w:sz w:val="20"/>
                <w:szCs w:val="20"/>
              </w:rPr>
              <w:t xml:space="preserve">Fix</w:t>
            </w:r>
          </w:p>
        </w:tc>
      </w:tr>
      <w:tr>
        <w:tc>
          <w:tcPr>
            <w:tcW w:type="dxa" w:w="3200"/>
            <w:tcBorders>
              <w:top w:val="single" w:color="CFCFCF" w:sz="4"/>
              <w:left w:val="single" w:color="CFCFCF" w:sz="4"/>
              <w:bottom w:val="single" w:color="CFCFCF" w:sz="4"/>
              <w:right w:val="single" w:color="CFCFCF" w:sz="4"/>
            </w:tcBorders>
            <w:tcMar>
              <w:top w:type="dxa" w:w="80"/>
              <w:left w:type="dxa" w:w="120"/>
              <w:bottom w:type="dxa" w:w="80"/>
              <w:right w:type="dxa" w:w="120"/>
            </w:tcMar>
          </w:tcPr>
          <w:p>
            <w:r>
              <w:rPr>
                <w:sz w:val="20"/>
                <w:szCs w:val="20"/>
              </w:rPr>
              <w:t xml:space="preserve">“No such file or directory” on cd, pip install, or streamlit run</w:t>
            </w:r>
          </w:p>
        </w:tc>
        <w:tc>
          <w:tcPr>
            <w:tcW w:type="dxa" w:w="3300"/>
            <w:tcBorders>
              <w:top w:val="single" w:color="CFCFCF" w:sz="4"/>
              <w:left w:val="single" w:color="CFCFCF" w:sz="4"/>
              <w:bottom w:val="single" w:color="CFCFCF" w:sz="4"/>
              <w:right w:val="single" w:color="CFCFCF" w:sz="4"/>
            </w:tcBorders>
            <w:tcMar>
              <w:top w:type="dxa" w:w="80"/>
              <w:left w:type="dxa" w:w="120"/>
              <w:bottom w:type="dxa" w:w="80"/>
              <w:right w:type="dxa" w:w="120"/>
            </w:tcMar>
          </w:tcPr>
          <w:p>
            <w:r>
              <w:rPr>
                <w:sz w:val="20"/>
                <w:szCs w:val="20"/>
              </w:rPr>
              <w:t xml:space="preserve">Terminal is not currently inside the Comtrade_Automation_Final folder</w:t>
            </w:r>
          </w:p>
        </w:tc>
        <w:tc>
          <w:tcPr>
            <w:tcW w:type="dxa" w:w="3580"/>
            <w:tcBorders>
              <w:top w:val="single" w:color="CFCFCF" w:sz="4"/>
              <w:left w:val="single" w:color="CFCFCF" w:sz="4"/>
              <w:bottom w:val="single" w:color="CFCFCF" w:sz="4"/>
              <w:right w:val="single" w:color="CFCFCF" w:sz="4"/>
            </w:tcBorders>
            <w:tcMar>
              <w:top w:type="dxa" w:w="80"/>
              <w:left w:type="dxa" w:w="120"/>
              <w:bottom w:type="dxa" w:w="80"/>
              <w:right w:type="dxa" w:w="120"/>
            </w:tcMar>
          </w:tcPr>
          <w:p>
            <w:r>
              <w:rPr>
                <w:sz w:val="20"/>
                <w:szCs w:val="20"/>
              </w:rPr>
              <w:t xml:space="preserve">Run “pwd” (Mac/Linux) or “cd” with no arguments (Windows) to see where you are, then cd into the correct folder before re-running the command</w:t>
            </w:r>
          </w:p>
        </w:tc>
      </w:tr>
      <w:tr>
        <w:tc>
          <w:tcPr>
            <w:tcW w:type="dxa" w:w="3200"/>
            <w:tcBorders>
              <w:top w:val="single" w:color="CFCFCF" w:sz="4"/>
              <w:left w:val="single" w:color="CFCFCF" w:sz="4"/>
              <w:bottom w:val="single" w:color="CFCFCF" w:sz="4"/>
              <w:right w:val="single" w:color="CFCFCF" w:sz="4"/>
            </w:tcBorders>
            <w:tcMar>
              <w:top w:type="dxa" w:w="80"/>
              <w:left w:type="dxa" w:w="120"/>
              <w:bottom w:type="dxa" w:w="80"/>
              <w:right w:type="dxa" w:w="120"/>
            </w:tcMar>
          </w:tcPr>
          <w:p>
            <w:r>
              <w:rPr>
                <w:sz w:val="20"/>
                <w:szCs w:val="20"/>
              </w:rPr>
              <w:t xml:space="preserve">“command not found: streamlit”</w:t>
            </w:r>
          </w:p>
        </w:tc>
        <w:tc>
          <w:tcPr>
            <w:tcW w:type="dxa" w:w="3300"/>
            <w:tcBorders>
              <w:top w:val="single" w:color="CFCFCF" w:sz="4"/>
              <w:left w:val="single" w:color="CFCFCF" w:sz="4"/>
              <w:bottom w:val="single" w:color="CFCFCF" w:sz="4"/>
              <w:right w:val="single" w:color="CFCFCF" w:sz="4"/>
            </w:tcBorders>
            <w:tcMar>
              <w:top w:type="dxa" w:w="80"/>
              <w:left w:type="dxa" w:w="120"/>
              <w:bottom w:type="dxa" w:w="80"/>
              <w:right w:type="dxa" w:w="120"/>
            </w:tcMar>
          </w:tcPr>
          <w:p>
            <w:r>
              <w:rPr>
                <w:sz w:val="20"/>
                <w:szCs w:val="20"/>
              </w:rPr>
              <w:t xml:space="preserve">Step 3 (pip install) was skipped or failed</w:t>
            </w:r>
          </w:p>
        </w:tc>
        <w:tc>
          <w:tcPr>
            <w:tcW w:type="dxa" w:w="3580"/>
            <w:tcBorders>
              <w:top w:val="single" w:color="CFCFCF" w:sz="4"/>
              <w:left w:val="single" w:color="CFCFCF" w:sz="4"/>
              <w:bottom w:val="single" w:color="CFCFCF" w:sz="4"/>
              <w:right w:val="single" w:color="CFCFCF" w:sz="4"/>
            </w:tcBorders>
            <w:tcMar>
              <w:top w:type="dxa" w:w="80"/>
              <w:left w:type="dxa" w:w="120"/>
              <w:bottom w:type="dxa" w:w="80"/>
              <w:right w:type="dxa" w:w="120"/>
            </w:tcMar>
          </w:tcPr>
          <w:p>
            <w:r>
              <w:rPr>
                <w:sz w:val="20"/>
                <w:szCs w:val="20"/>
              </w:rPr>
              <w:t xml:space="preserve">Re-run “pip install -r requirements.txt” and check for red error text</w:t>
            </w:r>
          </w:p>
        </w:tc>
      </w:tr>
      <w:tr>
        <w:tc>
          <w:tcPr>
            <w:tcW w:type="dxa" w:w="3200"/>
            <w:tcBorders>
              <w:top w:val="single" w:color="CFCFCF" w:sz="4"/>
              <w:left w:val="single" w:color="CFCFCF" w:sz="4"/>
              <w:bottom w:val="single" w:color="CFCFCF" w:sz="4"/>
              <w:right w:val="single" w:color="CFCFCF" w:sz="4"/>
            </w:tcBorders>
            <w:tcMar>
              <w:top w:type="dxa" w:w="80"/>
              <w:left w:type="dxa" w:w="120"/>
              <w:bottom w:type="dxa" w:w="80"/>
              <w:right w:type="dxa" w:w="120"/>
            </w:tcMar>
          </w:tcPr>
          <w:p>
            <w:r>
              <w:rPr>
                <w:sz w:val="20"/>
                <w:szCs w:val="20"/>
              </w:rPr>
              <w:t xml:space="preserve">Browser opens but page is blank or won't load</w:t>
            </w:r>
          </w:p>
        </w:tc>
        <w:tc>
          <w:tcPr>
            <w:tcW w:type="dxa" w:w="3300"/>
            <w:tcBorders>
              <w:top w:val="single" w:color="CFCFCF" w:sz="4"/>
              <w:left w:val="single" w:color="CFCFCF" w:sz="4"/>
              <w:bottom w:val="single" w:color="CFCFCF" w:sz="4"/>
              <w:right w:val="single" w:color="CFCFCF" w:sz="4"/>
            </w:tcBorders>
            <w:tcMar>
              <w:top w:type="dxa" w:w="80"/>
              <w:left w:type="dxa" w:w="120"/>
              <w:bottom w:type="dxa" w:w="80"/>
              <w:right w:type="dxa" w:w="120"/>
            </w:tcMar>
          </w:tcPr>
          <w:p>
            <w:r>
              <w:rPr>
                <w:sz w:val="20"/>
                <w:szCs w:val="20"/>
              </w:rPr>
              <w:t xml:space="preserve">App is still starting, or another process is already using port 8501</w:t>
            </w:r>
          </w:p>
        </w:tc>
        <w:tc>
          <w:tcPr>
            <w:tcW w:type="dxa" w:w="3580"/>
            <w:tcBorders>
              <w:top w:val="single" w:color="CFCFCF" w:sz="4"/>
              <w:left w:val="single" w:color="CFCFCF" w:sz="4"/>
              <w:bottom w:val="single" w:color="CFCFCF" w:sz="4"/>
              <w:right w:val="single" w:color="CFCFCF" w:sz="4"/>
            </w:tcBorders>
            <w:tcMar>
              <w:top w:type="dxa" w:w="80"/>
              <w:left w:type="dxa" w:w="120"/>
              <w:bottom w:type="dxa" w:w="80"/>
              <w:right w:type="dxa" w:w="120"/>
            </w:tcMar>
          </w:tcPr>
          <w:p>
            <w:r>
              <w:rPr>
                <w:sz w:val="20"/>
                <w:szCs w:val="20"/>
              </w:rPr>
              <w:t xml:space="preserve">Wait a few seconds and refresh; or run “streamlit run app.py --server.port 8502” to use a different port</w:t>
            </w:r>
          </w:p>
        </w:tc>
      </w:tr>
    </w:tbl>
    <w:p>
      <w:pPr>
        <w:pStyle w:val="Heading1"/>
        <w:pageBreakBefore/>
      </w:pPr>
      <w:r>
        <w:rPr>
          <w:color w:val="1B3A5C"/>
        </w:rPr>
        <w:t xml:space="preserve">5. Using the App: Step by Step</w:t>
      </w:r>
    </w:p>
    <w:p>
      <w:pPr>
        <w:pStyle w:val="Heading2"/>
      </w:pPr>
      <w:r>
        <w:rPr>
          <w:color w:val="1B3A5C"/>
        </w:rPr>
        <w:t xml:space="preserve">5.1 Step 1 — Select Sector</w:t>
      </w:r>
    </w:p>
    <w:p>
      <w:pPr>
        <w:spacing w:after="160" w:line="276"/>
      </w:pPr>
      <w:r>
        <w:t xml:space="preserve">Choose one of the eight built-in sector presets (Textiles &amp; Apparel, Electronic Goods, Drugs &amp; Pharmaceuticals, Engineering Goods, Leather Products, Gems &amp; Jewellery, Chemicals, Marine Products), or pick “Custom / Manual Entry” to type in your own DGCIS commodity group name(s), separated by semicolons for multiple groups.</w:t>
      </w:r>
    </w:p>
    <w:p>
      <w:pPr>
        <w:spacing w:after="160" w:line="276"/>
      </w:pPr>
      <w:r>
        <w:t xml:space="preserve">You can also set the default HS code level (how many digits of the HS code to work at), add extra HS codes manually as a comma-separated list, or upload a CSV/Excel file of additional HS codes.</w:t>
      </w:r>
    </w:p>
    <w:p>
      <w:pPr>
        <w:spacing w:after="160" w:line="276"/>
      </w:pPr>
      <w:r>
        <w:t xml:space="preserve">An optional “HS Chapter Filter” field lets you restrict the sector to specific 2-digit HS chapters (comma-separated, e.g. “64”), dropping everything else the selected DGCIS group(s) would otherwise pull in. This matters whenever the product you actually want is only part of a broader group — for example, Footwear isn’t its own DGCIS group; its HS6 codes sit inside “LEATHER AND LEATHER MANUFACTURES” (which also covers finished leather, leather garments, leather goods, and saddlery) and “OTHERS.” Typing groups “LEATHER AND LEATHER MANUFACTURES;OTHERS” with HS Chapter Filter “64” and HS Level 6 produces a clean 25-code Footwear sector instead of pulling in every unrelated chapter those groups contain. Leave the field blank to include every chapter the selected group(s) cover, as before.</w:t>
      </w:r>
    </w:p>
    <w:p>
      <w:pPr>
        <w:pStyle w:val="Heading2"/>
      </w:pPr>
      <w:r>
        <w:rPr>
          <w:color w:val="1B3A5C"/>
        </w:rPr>
        <w:t xml:space="preserve">5.2 Step 2 — Review Sector Parameters</w:t>
      </w:r>
    </w:p>
    <w:p>
      <w:pPr>
        <w:spacing w:after="160" w:line="276"/>
      </w:pPr>
      <w:r>
        <w:t xml:space="preserve">The app automatically builds the HS code list and product buckets for your chosen sector from the DGCIS mapping file. Three tabs let you review and adjust this before running anything:</w:t>
      </w:r>
    </w:p>
    <w:p>
      <w:pPr>
        <w:pStyle w:val="ListParagraph"/>
        <w:numPr>
          <w:ilvl w:val="0"/>
          <w:numId w:val="2"/>
        </w:numPr>
        <w:spacing w:after="100"/>
      </w:pPr>
      <w:r>
        <w:t xml:space="preserve">Details — sector name, country focus, source database, currency unit, and the exact DGCIS group(s) used.</w:t>
      </w:r>
    </w:p>
    <w:p>
      <w:pPr>
        <w:pStyle w:val="ListParagraph"/>
        <w:numPr>
          <w:ilvl w:val="0"/>
          <w:numId w:val="2"/>
        </w:numPr>
        <w:spacing w:after="100"/>
      </w:pPr>
      <w:r>
        <w:t xml:space="preserve">Buckets — the product groupings used to organise the charts and summary tables.</w:t>
      </w:r>
    </w:p>
    <w:p>
      <w:pPr>
        <w:pStyle w:val="ListParagraph"/>
        <w:numPr>
          <w:ilvl w:val="0"/>
          <w:numId w:val="2"/>
        </w:numPr>
        <w:spacing w:after="100"/>
      </w:pPr>
      <w:r>
        <w:t xml:space="preserve">HS Codes — the full list of HS codes that will be pulled; untick “Include” on any row to exclude it, or add rows manually.</w:t>
      </w:r>
    </w:p>
    <w:p>
      <w:pPr>
        <w:pStyle w:val="Heading2"/>
      </w:pPr>
      <w:r>
        <w:rPr>
          <w:color w:val="1B3A5C"/>
        </w:rPr>
        <w:t xml:space="preserve">5.3 Step 3 — Execute &amp; Explore</w:t>
      </w:r>
    </w:p>
    <w:p>
      <w:pPr>
        <w:spacing w:after="160" w:line="276"/>
      </w:pPr>
      <w:r>
        <w:t xml:space="preserve">Enter your UN Comtrade API key (pre-filled automatically if set via the .env file — see Section 6), choose an output type, and click Run Pipeline.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single" w:color="CFCFCF" w:sz="4"/>
              <w:left w:val="single" w:color="CFCFCF" w:sz="4"/>
              <w:bottom w:val="single" w:color="CFCFCF" w:sz="4"/>
              <w:right w:val="single" w:color="CFCFCF" w:sz="4"/>
            </w:tcBorders>
            <w:shd w:fill="1B3A5C" w:val="clear"/>
            <w:tcMar>
              <w:top w:type="dxa" w:w="80"/>
              <w:left w:type="dxa" w:w="120"/>
              <w:bottom w:type="dxa" w:w="80"/>
              <w:right w:type="dxa" w:w="120"/>
            </w:tcMar>
          </w:tcPr>
          <w:p>
            <w:r>
              <w:rPr>
                <w:b/>
                <w:bCs/>
                <w:color w:val="FFFFFF"/>
                <w:sz w:val="20"/>
                <w:szCs w:val="20"/>
              </w:rPr>
              <w:t xml:space="preserve">Output type</w:t>
            </w:r>
          </w:p>
        </w:tc>
        <w:tc>
          <w:tcPr>
            <w:tcW w:type="dxa" w:w="6880"/>
            <w:tcBorders>
              <w:top w:val="single" w:color="CFCFCF" w:sz="4"/>
              <w:left w:val="single" w:color="CFCFCF" w:sz="4"/>
              <w:bottom w:val="single" w:color="CFCFCF" w:sz="4"/>
              <w:right w:val="single" w:color="CFCFCF" w:sz="4"/>
            </w:tcBorders>
            <w:shd w:fill="1B3A5C" w:val="clear"/>
            <w:tcMar>
              <w:top w:type="dxa" w:w="80"/>
              <w:left w:type="dxa" w:w="120"/>
              <w:bottom w:type="dxa" w:w="80"/>
              <w:right w:type="dxa" w:w="120"/>
            </w:tcMar>
          </w:tcPr>
          <w:p>
            <w:r>
              <w:rPr>
                <w:b/>
                <w:bCs/>
                <w:color w:val="FFFFFF"/>
                <w:sz w:val="20"/>
                <w:szCs w:val="20"/>
              </w:rPr>
              <w:t xml:space="preserve">What it runs</w:t>
            </w:r>
          </w:p>
        </w:tc>
      </w:tr>
      <w:tr>
        <w:tc>
          <w:tcPr>
            <w:tcW w:type="dxa" w:w="3200"/>
            <w:tcBorders>
              <w:top w:val="single" w:color="CFCFCF" w:sz="4"/>
              <w:left w:val="single" w:color="CFCFCF" w:sz="4"/>
              <w:bottom w:val="single" w:color="CFCFCF" w:sz="4"/>
              <w:right w:val="single" w:color="CFCFCF" w:sz="4"/>
            </w:tcBorders>
            <w:tcMar>
              <w:top w:type="dxa" w:w="80"/>
              <w:left w:type="dxa" w:w="120"/>
              <w:bottom w:type="dxa" w:w="80"/>
              <w:right w:type="dxa" w:w="120"/>
            </w:tcMar>
          </w:tcPr>
          <w:p>
            <w:r>
              <w:rPr>
                <w:sz w:val="20"/>
                <w:szCs w:val="20"/>
              </w:rPr>
              <w:t xml:space="preserve">Full Auto-Sequence (recommended)</w:t>
            </w:r>
          </w:p>
        </w:tc>
        <w:tc>
          <w:tcPr>
            <w:tcW w:type="dxa" w:w="6880"/>
            <w:tcBorders>
              <w:top w:val="single" w:color="CFCFCF" w:sz="4"/>
              <w:left w:val="single" w:color="CFCFCF" w:sz="4"/>
              <w:bottom w:val="single" w:color="CFCFCF" w:sz="4"/>
              <w:right w:val="single" w:color="CFCFCF" w:sz="4"/>
            </w:tcBorders>
            <w:tcMar>
              <w:top w:type="dxa" w:w="80"/>
              <w:left w:type="dxa" w:w="120"/>
              <w:bottom w:type="dxa" w:w="80"/>
              <w:right w:type="dxa" w:w="120"/>
            </w:tcMar>
          </w:tcPr>
          <w:p>
            <w:r>
              <w:rPr>
                <w:sz w:val="20"/>
                <w:szCs w:val="20"/>
              </w:rPr>
              <w:t xml:space="preserve">Download → Clean → Competitor analysis → Chart data → Summary tables, in one click</w:t>
            </w:r>
          </w:p>
        </w:tc>
      </w:tr>
      <w:tr>
        <w:tc>
          <w:tcPr>
            <w:tcW w:type="dxa" w:w="3200"/>
            <w:tcBorders>
              <w:top w:val="single" w:color="CFCFCF" w:sz="4"/>
              <w:left w:val="single" w:color="CFCFCF" w:sz="4"/>
              <w:bottom w:val="single" w:color="CFCFCF" w:sz="4"/>
              <w:right w:val="single" w:color="CFCFCF" w:sz="4"/>
            </w:tcBorders>
            <w:tcMar>
              <w:top w:type="dxa" w:w="80"/>
              <w:left w:type="dxa" w:w="120"/>
              <w:bottom w:type="dxa" w:w="80"/>
              <w:right w:type="dxa" w:w="120"/>
            </w:tcMar>
          </w:tcPr>
          <w:p>
            <w:r>
              <w:rPr>
                <w:sz w:val="20"/>
                <w:szCs w:val="20"/>
              </w:rPr>
              <w:t xml:space="preserve">Setup Check Only</w:t>
            </w:r>
          </w:p>
        </w:tc>
        <w:tc>
          <w:tcPr>
            <w:tcW w:type="dxa" w:w="6880"/>
            <w:tcBorders>
              <w:top w:val="single" w:color="CFCFCF" w:sz="4"/>
              <w:left w:val="single" w:color="CFCFCF" w:sz="4"/>
              <w:bottom w:val="single" w:color="CFCFCF" w:sz="4"/>
              <w:right w:val="single" w:color="CFCFCF" w:sz="4"/>
            </w:tcBorders>
            <w:tcMar>
              <w:top w:type="dxa" w:w="80"/>
              <w:left w:type="dxa" w:w="120"/>
              <w:bottom w:type="dxa" w:w="80"/>
              <w:right w:type="dxa" w:w="120"/>
            </w:tcMar>
          </w:tcPr>
          <w:p>
            <w:r>
              <w:rPr>
                <w:sz w:val="20"/>
                <w:szCs w:val="20"/>
              </w:rPr>
              <w:t xml:space="preserve">Verifies the API key and environment without pulling data</w:t>
            </w:r>
          </w:p>
        </w:tc>
      </w:tr>
      <w:tr>
        <w:tc>
          <w:tcPr>
            <w:tcW w:type="dxa" w:w="3200"/>
            <w:tcBorders>
              <w:top w:val="single" w:color="CFCFCF" w:sz="4"/>
              <w:left w:val="single" w:color="CFCFCF" w:sz="4"/>
              <w:bottom w:val="single" w:color="CFCFCF" w:sz="4"/>
              <w:right w:val="single" w:color="CFCFCF" w:sz="4"/>
            </w:tcBorders>
            <w:tcMar>
              <w:top w:type="dxa" w:w="80"/>
              <w:left w:type="dxa" w:w="120"/>
              <w:bottom w:type="dxa" w:w="80"/>
              <w:right w:type="dxa" w:w="120"/>
            </w:tcMar>
          </w:tcPr>
          <w:p>
            <w:r>
              <w:rPr>
                <w:sz w:val="20"/>
                <w:szCs w:val="20"/>
              </w:rPr>
              <w:t xml:space="preserve">Test Sample Only</w:t>
            </w:r>
          </w:p>
        </w:tc>
        <w:tc>
          <w:tcPr>
            <w:tcW w:type="dxa" w:w="6880"/>
            <w:tcBorders>
              <w:top w:val="single" w:color="CFCFCF" w:sz="4"/>
              <w:left w:val="single" w:color="CFCFCF" w:sz="4"/>
              <w:bottom w:val="single" w:color="CFCFCF" w:sz="4"/>
              <w:right w:val="single" w:color="CFCFCF" w:sz="4"/>
            </w:tcBorders>
            <w:tcMar>
              <w:top w:type="dxa" w:w="80"/>
              <w:left w:type="dxa" w:w="120"/>
              <w:bottom w:type="dxa" w:w="80"/>
              <w:right w:type="dxa" w:w="120"/>
            </w:tcMar>
          </w:tcPr>
          <w:p>
            <w:r>
              <w:rPr>
                <w:sz w:val="20"/>
                <w:szCs w:val="20"/>
              </w:rPr>
              <w:t xml:space="preserve">Pulls a single HS code for a single year, to confirm everything is wired up before a full run</w:t>
            </w:r>
          </w:p>
        </w:tc>
      </w:tr>
      <w:tr>
        <w:tc>
          <w:tcPr>
            <w:tcW w:type="dxa" w:w="3200"/>
            <w:tcBorders>
              <w:top w:val="single" w:color="CFCFCF" w:sz="4"/>
              <w:left w:val="single" w:color="CFCFCF" w:sz="4"/>
              <w:bottom w:val="single" w:color="CFCFCF" w:sz="4"/>
              <w:right w:val="single" w:color="CFCFCF" w:sz="4"/>
            </w:tcBorders>
            <w:tcMar>
              <w:top w:type="dxa" w:w="80"/>
              <w:left w:type="dxa" w:w="120"/>
              <w:bottom w:type="dxa" w:w="80"/>
              <w:right w:type="dxa" w:w="120"/>
            </w:tcMar>
          </w:tcPr>
          <w:p>
            <w:r>
              <w:rPr>
                <w:sz w:val="20"/>
                <w:szCs w:val="20"/>
              </w:rPr>
              <w:t xml:space="preserve">Full Data Download Only</w:t>
            </w:r>
          </w:p>
        </w:tc>
        <w:tc>
          <w:tcPr>
            <w:tcW w:type="dxa" w:w="6880"/>
            <w:tcBorders>
              <w:top w:val="single" w:color="CFCFCF" w:sz="4"/>
              <w:left w:val="single" w:color="CFCFCF" w:sz="4"/>
              <w:bottom w:val="single" w:color="CFCFCF" w:sz="4"/>
              <w:right w:val="single" w:color="CFCFCF" w:sz="4"/>
            </w:tcBorders>
            <w:tcMar>
              <w:top w:type="dxa" w:w="80"/>
              <w:left w:type="dxa" w:w="120"/>
              <w:bottom w:type="dxa" w:w="80"/>
              <w:right w:type="dxa" w:w="120"/>
            </w:tcMar>
          </w:tcPr>
          <w:p>
            <w:r>
              <w:rPr>
                <w:sz w:val="20"/>
                <w:szCs w:val="20"/>
              </w:rPr>
              <w:t xml:space="preserve">Pulls raw trade data only, without cleaning or analysis</w:t>
            </w:r>
          </w:p>
        </w:tc>
      </w:tr>
      <w:tr>
        <w:tc>
          <w:tcPr>
            <w:tcW w:type="dxa" w:w="3200"/>
            <w:tcBorders>
              <w:top w:val="single" w:color="CFCFCF" w:sz="4"/>
              <w:left w:val="single" w:color="CFCFCF" w:sz="4"/>
              <w:bottom w:val="single" w:color="CFCFCF" w:sz="4"/>
              <w:right w:val="single" w:color="CFCFCF" w:sz="4"/>
            </w:tcBorders>
            <w:tcMar>
              <w:top w:type="dxa" w:w="80"/>
              <w:left w:type="dxa" w:w="120"/>
              <w:bottom w:type="dxa" w:w="80"/>
              <w:right w:type="dxa" w:w="120"/>
            </w:tcMar>
          </w:tcPr>
          <w:p>
            <w:r>
              <w:rPr>
                <w:sz w:val="20"/>
                <w:szCs w:val="20"/>
              </w:rPr>
              <w:t xml:space="preserve">Cleaned Excel Workbook</w:t>
            </w:r>
          </w:p>
        </w:tc>
        <w:tc>
          <w:tcPr>
            <w:tcW w:type="dxa" w:w="6880"/>
            <w:tcBorders>
              <w:top w:val="single" w:color="CFCFCF" w:sz="4"/>
              <w:left w:val="single" w:color="CFCFCF" w:sz="4"/>
              <w:bottom w:val="single" w:color="CFCFCF" w:sz="4"/>
              <w:right w:val="single" w:color="CFCFCF" w:sz="4"/>
            </w:tcBorders>
            <w:tcMar>
              <w:top w:type="dxa" w:w="80"/>
              <w:left w:type="dxa" w:w="120"/>
              <w:bottom w:type="dxa" w:w="80"/>
              <w:right w:type="dxa" w:w="120"/>
            </w:tcMar>
          </w:tcPr>
          <w:p>
            <w:r>
              <w:rPr>
                <w:sz w:val="20"/>
                <w:szCs w:val="20"/>
              </w:rPr>
              <w:t xml:space="preserve">Cleans an existing download and runs competitor analysis, without re-pulling data</w:t>
            </w:r>
          </w:p>
        </w:tc>
      </w:tr>
      <w:tr>
        <w:tc>
          <w:tcPr>
            <w:tcW w:type="dxa" w:w="3200"/>
            <w:tcBorders>
              <w:top w:val="single" w:color="CFCFCF" w:sz="4"/>
              <w:left w:val="single" w:color="CFCFCF" w:sz="4"/>
              <w:bottom w:val="single" w:color="CFCFCF" w:sz="4"/>
              <w:right w:val="single" w:color="CFCFCF" w:sz="4"/>
            </w:tcBorders>
            <w:tcMar>
              <w:top w:type="dxa" w:w="80"/>
              <w:left w:type="dxa" w:w="120"/>
              <w:bottom w:type="dxa" w:w="80"/>
              <w:right w:type="dxa" w:w="120"/>
            </w:tcMar>
          </w:tcPr>
          <w:p>
            <w:r>
              <w:rPr>
                <w:sz w:val="20"/>
                <w:szCs w:val="20"/>
              </w:rPr>
              <w:t xml:space="preserve">Generate Visuals Only</w:t>
            </w:r>
          </w:p>
        </w:tc>
        <w:tc>
          <w:tcPr>
            <w:tcW w:type="dxa" w:w="6880"/>
            <w:tcBorders>
              <w:top w:val="single" w:color="CFCFCF" w:sz="4"/>
              <w:left w:val="single" w:color="CFCFCF" w:sz="4"/>
              <w:bottom w:val="single" w:color="CFCFCF" w:sz="4"/>
              <w:right w:val="single" w:color="CFCFCF" w:sz="4"/>
            </w:tcBorders>
            <w:tcMar>
              <w:top w:type="dxa" w:w="80"/>
              <w:left w:type="dxa" w:w="120"/>
              <w:bottom w:type="dxa" w:w="80"/>
              <w:right w:type="dxa" w:w="120"/>
            </w:tcMar>
          </w:tcPr>
          <w:p>
            <w:r>
              <w:rPr>
                <w:sz w:val="20"/>
                <w:szCs w:val="20"/>
              </w:rPr>
              <w:t xml:space="preserve">Rebuilds chart data from an already-cleaned workbook</w:t>
            </w:r>
          </w:p>
        </w:tc>
      </w:tr>
      <w:tr>
        <w:tc>
          <w:tcPr>
            <w:tcW w:type="dxa" w:w="3200"/>
            <w:tcBorders>
              <w:top w:val="single" w:color="CFCFCF" w:sz="4"/>
              <w:left w:val="single" w:color="CFCFCF" w:sz="4"/>
              <w:bottom w:val="single" w:color="CFCFCF" w:sz="4"/>
              <w:right w:val="single" w:color="CFCFCF" w:sz="4"/>
            </w:tcBorders>
            <w:tcMar>
              <w:top w:type="dxa" w:w="80"/>
              <w:left w:type="dxa" w:w="120"/>
              <w:bottom w:type="dxa" w:w="80"/>
              <w:right w:type="dxa" w:w="120"/>
            </w:tcMar>
          </w:tcPr>
          <w:p>
            <w:r>
              <w:rPr>
                <w:sz w:val="20"/>
                <w:szCs w:val="20"/>
              </w:rPr>
              <w:t xml:space="preserve">Generate Summary Tables Only</w:t>
            </w:r>
          </w:p>
        </w:tc>
        <w:tc>
          <w:tcPr>
            <w:tcW w:type="dxa" w:w="6880"/>
            <w:tcBorders>
              <w:top w:val="single" w:color="CFCFCF" w:sz="4"/>
              <w:left w:val="single" w:color="CFCFCF" w:sz="4"/>
              <w:bottom w:val="single" w:color="CFCFCF" w:sz="4"/>
              <w:right w:val="single" w:color="CFCFCF" w:sz="4"/>
            </w:tcBorders>
            <w:tcMar>
              <w:top w:type="dxa" w:w="80"/>
              <w:left w:type="dxa" w:w="120"/>
              <w:bottom w:type="dxa" w:w="80"/>
              <w:right w:type="dxa" w:w="120"/>
            </w:tcMar>
          </w:tcPr>
          <w:p>
            <w:r>
              <w:rPr>
                <w:sz w:val="20"/>
                <w:szCs w:val="20"/>
              </w:rPr>
              <w:t xml:space="preserve">Rebuilds the summary/slide-ready tables from an already-cleaned workbook</w:t>
            </w:r>
          </w:p>
        </w:tc>
      </w:tr>
    </w:tbl>
    <w:p>
      <w:pPr>
        <w:spacing w:after="160" w:line="276"/>
      </w:pPr>
      <w:r>
        <w:t xml:space="preserve">A full run against a sector with around 18 HS codes typically takes several minutes, since it is making real calls to the UN Comtrade API for each HS code across multiple trade flows and years. Progress is shown live in the terminal-style log inside the app — this is expected and not a sign that anything is stuck.</w:t>
      </w:r>
    </w:p>
    <w:p>
      <w:pPr>
        <w:pStyle w:val="Heading3"/>
      </w:pPr>
      <w:r>
        <w:rPr>
          <w:color w:val="0F6E5C"/>
        </w:rPr>
        <w:t xml:space="preserve">Charts and filters</w:t>
      </w:r>
    </w:p>
    <w:p>
      <w:pPr>
        <w:spacing w:after="160" w:line="276"/>
      </w:pPr>
      <w:r>
        <w:t xml:space="preserve">Once a run completes, the app shows 12 interactive charts: global and India export trends by product bucket, India vs. competitor comparisons, market-share bars in top importing markets, China's share of those markets, market-share trends over time, and ranked Top-5/Top-10 tables of exporting and importing countries. Each chart can be filtered by year range, trade flow, reporter/country, and HS product bucket, and you can switch between bar, stacked bar, line, area, and pie chart types.</w:t>
      </w:r>
    </w:p>
    <w:p>
      <w:pPr>
        <w:spacing w:after="160" w:line="276"/>
      </w:pPr>
      <w:r>
        <w:t xml:space="preserve">A colour-theme selector (including the FED brand palette) controls the chart colours; choose “Custom” to pick your own colours with a colour picker.</w:t>
      </w:r>
    </w:p>
    <w:p>
      <w:pPr>
        <w:pStyle w:val="Heading3"/>
      </w:pPr>
      <w:r>
        <w:rPr>
          <w:color w:val="0F6E5C"/>
        </w:rPr>
        <w:t xml:space="preserve">Exploring cleaned data &amp; unit prices</w:t>
      </w:r>
    </w:p>
    <w:p>
      <w:pPr>
        <w:spacing w:after="160" w:line="276"/>
      </w:pPr>
      <w:r>
        <w:t xml:space="preserve">Below the charts, a “Explore Cleaned Trade Data” panel lets you browse the Master_Table directly with year, flow, reporter, and HS-bucket filters. A “Metric to chart” toggle switches between Trade Value (USD Mn) and Unit Price (USD per quantity unit).</w:t>
      </w:r>
    </w:p>
    <w:p>
      <w:pPr>
        <w:spacing w:after="160" w:line="276"/>
      </w:pPr>
      <w:r>
        <w:t xml:space="preserve">Unit Price is a quantity-weighted average — total Trade Value USD divided by total Quantity — computed per HS code, per quantity unit, per year, so figures reported in different units (kilograms, pairs, numbers, and so on) are never mixed together. When you choose Unit Price, the panel asks you to pick a single quantity unit to chart, since a sector can report in more than one. This view mirrors the Unit_Prices sheet already built into the downloaded workbook (see below); the app simply lets you filter and chart it interactively without opening Excel.</w:t>
      </w:r>
    </w:p>
    <w:p>
      <w:pPr>
        <w:pStyle w:val="Heading3"/>
      </w:pPr>
      <w:r>
        <w:rPr>
          <w:color w:val="0F6E5C"/>
        </w:rPr>
        <w:t xml:space="preserve">Downloading results</w:t>
      </w:r>
    </w:p>
    <w:p>
      <w:pPr>
        <w:spacing w:after="160" w:line="276"/>
      </w:pPr>
      <w:r>
        <w:t xml:space="preserve">A download button produces the cleaned Excel workbook for whichever sector you ran, in the same sheet structure as the original reference workbooks: Master_Table (the full raw-to-clean trade data), one pivot sheet per trade flow (World_Exports, World_Imports, India_Exports, India_Imports), India_Share_World_Exports, Unit_Prices (quantity-weighted average unit prices by HS code, quantity unit, and year), Summary_Tables, Source_Log, Errors_Log, DGCIS_HS_Mapping, HS6_QA_Checks, and — when competitor analysis has been run — five Competitor_* sheets (Exporters, Importers, Market_Share, Trends, Summary).</w:t>
      </w:r>
    </w:p>
    <w:p>
      <w:pPr>
        <w:pStyle w:val="Heading2"/>
      </w:pPr>
      <w:r>
        <w:rPr>
          <w:color w:val="1B3A5C"/>
        </w:rPr>
        <w:t xml:space="preserve">5.4 Geography Drill-Down — country-to-country trade</w:t>
      </w:r>
    </w:p>
    <w:p>
      <w:pPr>
        <w:spacing w:after="160" w:line="276"/>
      </w:pPr>
      <w:r>
        <w:t xml:space="preserve">Below the charts and the Master_Table explorer, a “Geography Drill-Down” panel answers a different kind of question than the 12 fixed charts above: trade between two specific countries — for example, “how much does China import from the US?” — rather than India/World totals. It has two view modes:</w:t>
      </w:r>
    </w:p>
    <w:p>
      <w:pPr>
        <w:numPr>
          <w:ilvl w:val="0"/>
          <w:numId w:val="1"/>
        </w:numPr>
        <w:spacing w:after="120" w:line="276"/>
      </w:pPr>
      <w:r>
        <w:rPr>
          <w:b/>
          <w:bCs/>
        </w:rPr>
        <w:t xml:space="preserve">Single pair</w:t>
      </w:r>
      <w:r>
        <w:t xml:space="preserve"> — pick one reporter country and one partner country, a trade flow (exports or imports), a year range, and optionally a subset of HS codes, then click “Fetch bilateral trade data.”</w:t>
      </w:r>
    </w:p>
    <w:p>
      <w:pPr>
        <w:numPr>
          <w:ilvl w:val="0"/>
          <w:numId w:val="1"/>
        </w:numPr>
        <w:spacing w:after="160" w:line="276"/>
      </w:pPr>
      <w:r>
        <w:rPr>
          <w:b/>
          <w:bCs/>
        </w:rPr>
        <w:t xml:space="preserve">Compare multiple partners</w:t>
      </w:r>
      <w:r>
        <w:t xml:space="preserve"> — pick one reporter and several partner countries at once (one API call per partner), with an optional extra World-total call so the chart can show each partner’s true % share of the reporter’s total trade plus a “Rest of World” remainder, instead of just a share among the countries picked.</w:t>
      </w:r>
    </w:p>
    <w:p>
      <w:pPr>
        <w:spacing w:after="160" w:line="276"/>
      </w:pPr>
      <w:r>
        <w:t xml:space="preserve">Both modes save their results into the Geography_Bilateral sheet of that sector’s cleaned workbook (new lookups are appended, so earlier ones stay available), and chart whatever has been saved there so far.</w:t>
      </w:r>
    </w:p>
    <w:p>
      <w:pPr>
        <w:pStyle w:val="Heading3"/>
      </w:pPr>
      <w:r>
        <w:rPr>
          <w:color w:val="0F6E5C"/>
        </w:rPr>
        <w:t xml:space="preserve">Find top partners — which countries should I compare?</w:t>
      </w:r>
    </w:p>
    <w:p>
      <w:pPr>
        <w:spacing w:after="160" w:line="276"/>
      </w:pPr>
      <w:r>
        <w:t xml:space="preserve">Picking partner countries to compare is otherwise guesswork — you’d be naming countries you already suspect matter. Inside the Geography Drill-Down panel, open “Find top partners” and click the button of the same name: the app fetches the reporter country’s full partner breakdown for the HS code(s) and years currently selected in one call, and ranks every partner by trade value — both top export destinations and top import sources, side by side. Use the slider to choose how many to rank (5–10 per direction).</w:t>
      </w:r>
    </w:p>
    <w:p>
      <w:pPr>
        <w:spacing w:after="160" w:line="276"/>
      </w:pPr>
      <w:r>
        <w:t xml:space="preserve">When in “Compare multiple partners” mode, each ranked table has an “Add these to partner countries to compare” button that drops the discovered countries straight into the comparison list above — no need to retype country names. Results are written to a small snapshot file ({slug}_top_partners.json) rather than the Geography_Bilateral sheet, so re-running this lookup never duplicates rows in the cleaned workbook; the panel always shows the most recent snapshot for whichever reporter country is currently selected.</w:t>
      </w:r>
    </w:p>
    <w:p>
      <w:pPr>
        <w:pStyle w:val="Heading1"/>
        <w:pageBreakBefore/>
      </w:pPr>
      <w:r>
        <w:rPr>
          <w:color w:val="1B3A5C"/>
        </w:rPr>
        <w:t xml:space="preserve">6. Setting Up Your API Key</w:t>
      </w:r>
    </w:p>
    <w:p>
      <w:pPr>
        <w:spacing w:after="160" w:line="276"/>
      </w:pPr>
      <w:r>
        <w:t xml:space="preserve">The app needs a UN Comtrade API key to pull live data. There are two ways to provide it:</w:t>
      </w:r>
    </w:p>
    <w:p>
      <w:pPr>
        <w:pStyle w:val="Heading2"/>
      </w:pPr>
      <w:r>
        <w:rPr>
          <w:color w:val="1B3A5C"/>
        </w:rPr>
        <w:t xml:space="preserve">6.1 One-off: paste it into the app</w:t>
      </w:r>
    </w:p>
    <w:p>
      <w:pPr>
        <w:spacing w:after="160" w:line="276"/>
      </w:pPr>
      <w:r>
        <w:t xml:space="preserve">On Step 3, paste your key into the “UN Comtrade API Key” field. It will be used for that session only and is not saved anywhere.</w:t>
      </w:r>
    </w:p>
    <w:p>
      <w:pPr>
        <w:pStyle w:val="Heading2"/>
      </w:pPr>
      <w:r>
        <w:rPr>
          <w:color w:val="1B3A5C"/>
        </w:rPr>
        <w:t xml:space="preserve">6.2 Persistent: store it in the .env file</w:t>
      </w:r>
    </w:p>
    <w:p>
      <w:pPr>
        <w:spacing w:after="160" w:line="276"/>
      </w:pPr>
      <w:r>
        <w:t xml:space="preserve">Open the .env file in this folder with any text editor and set:</w:t>
      </w:r>
    </w:p>
    <w:p>
      <w:pPr>
        <w:pBdr>
          <w:top w:val="single" w:color="CFCFCF" w:sz="4"/>
          <w:bottom w:val="single" w:color="CFCFCF" w:sz="4"/>
        </w:pBdr>
        <w:shd w:fill="F4F4F4" w:val="clear"/>
        <w:spacing w:after="80"/>
      </w:pPr>
      <w:r>
        <w:rPr>
          <w:rFonts w:ascii="Consolas" w:cs="Consolas" w:eastAsia="Consolas" w:hAnsi="Consolas"/>
          <w:sz w:val="20"/>
          <w:szCs w:val="20"/>
        </w:rPr>
        <w:t xml:space="preserve">COMTRADE_API_KEY=your_actual_key_here</w:t>
      </w:r>
    </w:p>
    <w:p>
      <w:pPr>
        <w:spacing w:after="160" w:line="276"/>
      </w:pPr>
      <w:r>
        <w:t xml:space="preserve">Save the file. The next time you launch the app, the API key field will be pre-filled automatically — you can still overwrite it for a single run if you ever need to use a different key. If the .env file you received already has a value after the equals sign, a key is already configured and no action is needed; if it instead shows a placeholder, replace the value after the equals sign with your own key.</w:t>
      </w:r>
    </w:p>
    <w:p>
      <w:pPr>
        <w:spacing w:after="200"/>
      </w:pPr>
      <w:r>
        <w:rPr>
          <w:i/>
          <w:iCs/>
          <w:color w:val="595959"/>
          <w:sz w:val="20"/>
          <w:szCs w:val="20"/>
        </w:rPr>
        <w:t xml:space="preserve">Treat your API key like a password — don't share the .env file or paste the key into anywhere outside this app. If this package is being handed to a third party (e.g. for website integration) and the .env file already contains a live key, decide whether that party should receive your real key or a placeholder before sending it on, and rotate the key afterward if you're unsure who ends up with a copy.</w:t>
      </w:r>
    </w:p>
    <w:p>
      <w:pPr>
        <w:pStyle w:val="Heading1"/>
        <w:pageBreakBefore/>
      </w:pPr>
      <w:r>
        <w:rPr>
          <w:color w:val="1B3A5C"/>
        </w:rPr>
        <w:t xml:space="preserve">7. Troubleshooting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500"/>
        <w:gridCol w:w="6580"/>
      </w:tblGrid>
      <w:tr>
        <w:tc>
          <w:tcPr>
            <w:tcW w:type="dxa" w:w="3500"/>
            <w:tcBorders>
              <w:top w:val="single" w:color="CFCFCF" w:sz="4"/>
              <w:left w:val="single" w:color="CFCFCF" w:sz="4"/>
              <w:bottom w:val="single" w:color="CFCFCF" w:sz="4"/>
              <w:right w:val="single" w:color="CFCFCF" w:sz="4"/>
            </w:tcBorders>
            <w:shd w:fill="1B3A5C" w:val="clear"/>
            <w:tcMar>
              <w:top w:type="dxa" w:w="80"/>
              <w:left w:type="dxa" w:w="120"/>
              <w:bottom w:type="dxa" w:w="80"/>
              <w:right w:type="dxa" w:w="120"/>
            </w:tcMar>
          </w:tcPr>
          <w:p>
            <w:r>
              <w:rPr>
                <w:b/>
                <w:bCs/>
                <w:color w:val="FFFFFF"/>
                <w:sz w:val="20"/>
                <w:szCs w:val="20"/>
              </w:rPr>
              <w:t xml:space="preserve">Symptom</w:t>
            </w:r>
          </w:p>
        </w:tc>
        <w:tc>
          <w:tcPr>
            <w:tcW w:type="dxa" w:w="6580"/>
            <w:tcBorders>
              <w:top w:val="single" w:color="CFCFCF" w:sz="4"/>
              <w:left w:val="single" w:color="CFCFCF" w:sz="4"/>
              <w:bottom w:val="single" w:color="CFCFCF" w:sz="4"/>
              <w:right w:val="single" w:color="CFCFCF" w:sz="4"/>
            </w:tcBorders>
            <w:shd w:fill="1B3A5C" w:val="clear"/>
            <w:tcMar>
              <w:top w:type="dxa" w:w="80"/>
              <w:left w:type="dxa" w:w="120"/>
              <w:bottom w:type="dxa" w:w="80"/>
              <w:right w:type="dxa" w:w="120"/>
            </w:tcMar>
          </w:tcPr>
          <w:p>
            <w:r>
              <w:rPr>
                <w:b/>
                <w:bCs/>
                <w:color w:val="FFFFFF"/>
                <w:sz w:val="20"/>
                <w:szCs w:val="20"/>
              </w:rPr>
              <w:t xml:space="preserve">Likely cause / fix</w:t>
            </w:r>
          </w:p>
        </w:tc>
      </w:tr>
      <w:tr>
        <w:tc>
          <w:tcPr>
            <w:tcW w:type="dxa" w:w="3500"/>
            <w:tcBorders>
              <w:top w:val="single" w:color="CFCFCF" w:sz="4"/>
              <w:left w:val="single" w:color="CFCFCF" w:sz="4"/>
              <w:bottom w:val="single" w:color="CFCFCF" w:sz="4"/>
              <w:right w:val="single" w:color="CFCFCF" w:sz="4"/>
            </w:tcBorders>
            <w:tcMar>
              <w:top w:type="dxa" w:w="80"/>
              <w:left w:type="dxa" w:w="120"/>
              <w:bottom w:type="dxa" w:w="80"/>
              <w:right w:type="dxa" w:w="120"/>
            </w:tcMar>
          </w:tcPr>
          <w:p>
            <w:r>
              <w:rPr>
                <w:sz w:val="20"/>
                <w:szCs w:val="20"/>
              </w:rPr>
              <w:t xml:space="preserve">A sector comes back with no data or an obviously incomplete chart</w:t>
            </w:r>
          </w:p>
        </w:tc>
        <w:tc>
          <w:tcPr>
            <w:tcW w:type="dxa" w:w="6580"/>
            <w:tcBorders>
              <w:top w:val="single" w:color="CFCFCF" w:sz="4"/>
              <w:left w:val="single" w:color="CFCFCF" w:sz="4"/>
              <w:bottom w:val="single" w:color="CFCFCF" w:sz="4"/>
              <w:right w:val="single" w:color="CFCFCF" w:sz="4"/>
            </w:tcBorders>
            <w:tcMar>
              <w:top w:type="dxa" w:w="80"/>
              <w:left w:type="dxa" w:w="120"/>
              <w:bottom w:type="dxa" w:w="80"/>
              <w:right w:type="dxa" w:w="120"/>
            </w:tcMar>
          </w:tcPr>
          <w:p>
            <w:r>
              <w:rPr>
                <w:sz w:val="20"/>
                <w:szCs w:val="20"/>
              </w:rPr>
              <w:t xml:space="preserve">Check the on-screen diagnostic message and the *_errors.log file written alongside the workbook — usually either the DGCIS group name doesn't match the mapping file, or there genuinely was no recorded trade for that HS code/year/flow combination.</w:t>
            </w:r>
          </w:p>
        </w:tc>
      </w:tr>
      <w:tr>
        <w:tc>
          <w:tcPr>
            <w:tcW w:type="dxa" w:w="3500"/>
            <w:tcBorders>
              <w:top w:val="single" w:color="CFCFCF" w:sz="4"/>
              <w:left w:val="single" w:color="CFCFCF" w:sz="4"/>
              <w:bottom w:val="single" w:color="CFCFCF" w:sz="4"/>
              <w:right w:val="single" w:color="CFCFCF" w:sz="4"/>
            </w:tcBorders>
            <w:tcMar>
              <w:top w:type="dxa" w:w="80"/>
              <w:left w:type="dxa" w:w="120"/>
              <w:bottom w:type="dxa" w:w="80"/>
              <w:right w:type="dxa" w:w="120"/>
            </w:tcMar>
          </w:tcPr>
          <w:p>
            <w:r>
              <w:rPr>
                <w:sz w:val="20"/>
                <w:szCs w:val="20"/>
              </w:rPr>
              <w:t xml:space="preserve">“API Key is required” error when clicking Run Pipeline</w:t>
            </w:r>
          </w:p>
        </w:tc>
        <w:tc>
          <w:tcPr>
            <w:tcW w:type="dxa" w:w="6580"/>
            <w:tcBorders>
              <w:top w:val="single" w:color="CFCFCF" w:sz="4"/>
              <w:left w:val="single" w:color="CFCFCF" w:sz="4"/>
              <w:bottom w:val="single" w:color="CFCFCF" w:sz="4"/>
              <w:right w:val="single" w:color="CFCFCF" w:sz="4"/>
            </w:tcBorders>
            <w:tcMar>
              <w:top w:type="dxa" w:w="80"/>
              <w:left w:type="dxa" w:w="120"/>
              <w:bottom w:type="dxa" w:w="80"/>
              <w:right w:type="dxa" w:w="120"/>
            </w:tcMar>
          </w:tcPr>
          <w:p>
            <w:r>
              <w:rPr>
                <w:sz w:val="20"/>
                <w:szCs w:val="20"/>
              </w:rPr>
              <w:t xml:space="preserve">No key is set in the field and none was found in .env or the environment. Paste a key in Step 3, or set it in .env (Section 6).</w:t>
            </w:r>
          </w:p>
        </w:tc>
      </w:tr>
      <w:tr>
        <w:tc>
          <w:tcPr>
            <w:tcW w:type="dxa" w:w="3500"/>
            <w:tcBorders>
              <w:top w:val="single" w:color="CFCFCF" w:sz="4"/>
              <w:left w:val="single" w:color="CFCFCF" w:sz="4"/>
              <w:bottom w:val="single" w:color="CFCFCF" w:sz="4"/>
              <w:right w:val="single" w:color="CFCFCF" w:sz="4"/>
            </w:tcBorders>
            <w:tcMar>
              <w:top w:type="dxa" w:w="80"/>
              <w:left w:type="dxa" w:w="120"/>
              <w:bottom w:type="dxa" w:w="80"/>
              <w:right w:type="dxa" w:w="120"/>
            </w:tcMar>
          </w:tcPr>
          <w:p>
            <w:r>
              <w:rPr>
                <w:sz w:val="20"/>
                <w:szCs w:val="20"/>
              </w:rPr>
              <w:t xml:space="preserve">A red “No secrets files found”-style banner appears</w:t>
            </w:r>
          </w:p>
        </w:tc>
        <w:tc>
          <w:tcPr>
            <w:tcW w:type="dxa" w:w="6580"/>
            <w:tcBorders>
              <w:top w:val="single" w:color="CFCFCF" w:sz="4"/>
              <w:left w:val="single" w:color="CFCFCF" w:sz="4"/>
              <w:bottom w:val="single" w:color="CFCFCF" w:sz="4"/>
              <w:right w:val="single" w:color="CFCFCF" w:sz="4"/>
            </w:tcBorders>
            <w:tcMar>
              <w:top w:type="dxa" w:w="80"/>
              <w:left w:type="dxa" w:w="120"/>
              <w:bottom w:type="dxa" w:w="80"/>
              <w:right w:type="dxa" w:w="120"/>
            </w:tcMar>
          </w:tcPr>
          <w:p>
            <w:r>
              <w:rPr>
                <w:sz w:val="20"/>
                <w:szCs w:val="20"/>
              </w:rPr>
              <w:t xml:space="preserve">This is a harmless Streamlit notice about an optional Streamlit Cloud feature (Secrets) not being configured. It does not affect local runs — the API key still loads correctly from .env. It will not appear at all once a .env value is set, or can be ignored otherwise.</w:t>
            </w:r>
          </w:p>
        </w:tc>
      </w:tr>
      <w:tr>
        <w:tc>
          <w:tcPr>
            <w:tcW w:type="dxa" w:w="3500"/>
            <w:tcBorders>
              <w:top w:val="single" w:color="CFCFCF" w:sz="4"/>
              <w:left w:val="single" w:color="CFCFCF" w:sz="4"/>
              <w:bottom w:val="single" w:color="CFCFCF" w:sz="4"/>
              <w:right w:val="single" w:color="CFCFCF" w:sz="4"/>
            </w:tcBorders>
            <w:tcMar>
              <w:top w:type="dxa" w:w="80"/>
              <w:left w:type="dxa" w:w="120"/>
              <w:bottom w:type="dxa" w:w="80"/>
              <w:right w:type="dxa" w:w="120"/>
            </w:tcMar>
          </w:tcPr>
          <w:p>
            <w:r>
              <w:rPr>
                <w:sz w:val="20"/>
                <w:szCs w:val="20"/>
              </w:rPr>
              <w:t xml:space="preserve">The run looks frozen at a particular HS code/flow</w:t>
            </w:r>
          </w:p>
        </w:tc>
        <w:tc>
          <w:tcPr>
            <w:tcW w:type="dxa" w:w="6580"/>
            <w:tcBorders>
              <w:top w:val="single" w:color="CFCFCF" w:sz="4"/>
              <w:left w:val="single" w:color="CFCFCF" w:sz="4"/>
              <w:bottom w:val="single" w:color="CFCFCF" w:sz="4"/>
              <w:right w:val="single" w:color="CFCFCF" w:sz="4"/>
            </w:tcBorders>
            <w:tcMar>
              <w:top w:type="dxa" w:w="80"/>
              <w:left w:type="dxa" w:w="120"/>
              <w:bottom w:type="dxa" w:w="80"/>
              <w:right w:type="dxa" w:w="120"/>
            </w:tcMar>
          </w:tcPr>
          <w:p>
            <w:r>
              <w:rPr>
                <w:sz w:val="20"/>
                <w:szCs w:val="20"/>
              </w:rPr>
              <w:t xml:space="preserve">Large sectors pull many HS codes across several trade flows and years — each one is a live API call. Multi-minute runs are normal; the progress bar and log lines update as each HS code finishes.</w:t>
            </w:r>
          </w:p>
        </w:tc>
      </w:tr>
      <w:tr>
        <w:tc>
          <w:tcPr>
            <w:tcW w:type="dxa" w:w="3500"/>
            <w:tcBorders>
              <w:top w:val="single" w:color="CFCFCF" w:sz="4"/>
              <w:left w:val="single" w:color="CFCFCF" w:sz="4"/>
              <w:bottom w:val="single" w:color="CFCFCF" w:sz="4"/>
              <w:right w:val="single" w:color="CFCFCF" w:sz="4"/>
            </w:tcBorders>
            <w:tcMar>
              <w:top w:type="dxa" w:w="80"/>
              <w:left w:type="dxa" w:w="120"/>
              <w:bottom w:type="dxa" w:w="80"/>
              <w:right w:type="dxa" w:w="120"/>
            </w:tcMar>
          </w:tcPr>
          <w:p>
            <w:r>
              <w:rPr>
                <w:sz w:val="20"/>
                <w:szCs w:val="20"/>
              </w:rPr>
              <w:t xml:space="preserve">Terminal says “No such file or directory”</w:t>
            </w:r>
          </w:p>
        </w:tc>
        <w:tc>
          <w:tcPr>
            <w:tcW w:type="dxa" w:w="6580"/>
            <w:tcBorders>
              <w:top w:val="single" w:color="CFCFCF" w:sz="4"/>
              <w:left w:val="single" w:color="CFCFCF" w:sz="4"/>
              <w:bottom w:val="single" w:color="CFCFCF" w:sz="4"/>
              <w:right w:val="single" w:color="CFCFCF" w:sz="4"/>
            </w:tcBorders>
            <w:tcMar>
              <w:top w:type="dxa" w:w="80"/>
              <w:left w:type="dxa" w:w="120"/>
              <w:bottom w:type="dxa" w:w="80"/>
              <w:right w:type="dxa" w:w="120"/>
            </w:tcMar>
          </w:tcPr>
          <w:p>
            <w:r>
              <w:rPr>
                <w:sz w:val="20"/>
                <w:szCs w:val="20"/>
              </w:rPr>
              <w:t xml:space="preserve">You are not inside the Comtrade_Automation_Final folder. See Section 4.2.</w:t>
            </w:r>
          </w:p>
        </w:tc>
      </w:tr>
    </w:tbl>
    <w:p>
      <w:pPr>
        <w:pStyle w:val="Heading1"/>
        <w:pageBreakBefore/>
      </w:pPr>
      <w:r>
        <w:rPr>
          <w:color w:val="1B3A5C"/>
        </w:rPr>
        <w:t xml:space="preserve">8. Known Caveats</w:t>
      </w:r>
    </w:p>
    <w:p>
      <w:pPr>
        <w:pStyle w:val="ListParagraph"/>
        <w:numPr>
          <w:ilvl w:val="0"/>
          <w:numId w:val="2"/>
        </w:numPr>
        <w:spacing w:after="100"/>
      </w:pPr>
      <w:r>
        <w:t xml:space="preserve">All sector presets and pipeline modes were validated end-to-end against the live UN Comtrade API for at least one sector (Textiles &amp; Apparel); run a real pull for any other sector you plan to rely on before trusting the numbers in production.</w:t>
      </w:r>
    </w:p>
    <w:p>
      <w:pPr>
        <w:pStyle w:val="ListParagraph"/>
        <w:numPr>
          <w:ilvl w:val="0"/>
          <w:numId w:val="2"/>
        </w:numPr>
        <w:spacing w:after="100"/>
      </w:pPr>
      <w:r>
        <w:t xml:space="preserve">Trade data availability varies by country, year, and HS code at the source (UN Comtrade) — gaps are a data-availability issue, not a bug in this app, and will be flagged in the Errors_Log sheet and on-screen diagnostics.</w:t>
      </w:r>
    </w:p>
    <w:p>
      <w:pPr>
        <w:pStyle w:val="ListParagraph"/>
        <w:numPr>
          <w:ilvl w:val="0"/>
          <w:numId w:val="2"/>
        </w:numPr>
        <w:spacing w:after="100"/>
      </w:pPr>
      <w:r>
        <w:t xml:space="preserve">This package is fully independent of any other Comtrade automation pipeline elsewhere on this computer — running it does not read from or write to any other such folder.</w:t>
      </w:r>
    </w:p>
    <w:p>
      <w:pPr>
        <w:pStyle w:val="ListParagraph"/>
        <w:numPr>
          <w:ilvl w:val="0"/>
          <w:numId w:val="2"/>
        </w:numPr>
        <w:spacing w:after="100"/>
      </w:pPr>
      <w:r>
        <w:t xml:space="preserve">Geography Drill-Down (Section 5.4), including both bilateral lookup modes and “Find top partners,” has also been confirmed against the live UN Comtrade API and returns correctly ranked, real trade figures — the same “run a real pull before trusting the numbers” advice above still applies to any sector/country combination you haven’t personally tried yet.</w:t>
      </w:r>
    </w:p>
    <w:p>
      <w:pPr>
        <w:pStyle w:val="ListParagraph"/>
        <w:numPr>
          <w:ilvl w:val="0"/>
          <w:numId w:val="2"/>
        </w:numPr>
        <w:spacing w:after="100"/>
      </w:pPr>
      <w:r>
        <w:t xml:space="preserve">Each sector’s raw intermediate pull files are named with that sector’s own slug (e.g. out_{slug}_world_exports.xlsx), so running two different sectors in the same folder no longer overwrites either one’s raw data.</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Page </w:t>
    </w:r>
    <w:r>
      <w:rPr>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595959"/>
        <w:sz w:val="18"/>
        <w:szCs w:val="18"/>
      </w:rPr>
      <w:t xml:space="preserve">Comtrade Sector Pipeline — Setup &amp; Usage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B3A5C" w:sz="6" w:space="4"/>
      </w:pBdr>
      <w:spacing w:after="200" w:before="320"/>
      <w:outlineLvl w:val="0"/>
    </w:pPr>
    <w:rPr>
      <w:rFonts w:ascii="Calibri" w:cs="Calibri" w:eastAsia="Calibri" w:hAnsi="Calibri"/>
      <w:b/>
      <w:bCs/>
      <w:color w:val="1B3A5C"/>
      <w:sz w:val="32"/>
      <w:szCs w:val="32"/>
    </w:rPr>
  </w:style>
  <w:style w:type="paragraph" w:styleId="Heading2">
    <w:name w:val="Heading 2"/>
    <w:basedOn w:val="Normal"/>
    <w:next w:val="Normal"/>
    <w:qFormat/>
    <w:pPr>
      <w:spacing w:after="140" w:before="260"/>
      <w:outlineLvl w:val="1"/>
    </w:pPr>
    <w:rPr>
      <w:rFonts w:ascii="Calibri" w:cs="Calibri" w:eastAsia="Calibri" w:hAnsi="Calibri"/>
      <w:b/>
      <w:bCs/>
      <w:color w:val="1B3A5C"/>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0F6E5C"/>
      <w:sz w:val="23"/>
      <w:szCs w:val="23"/>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footnotes" Target="footnote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customXml" Target="../customXml/item1.xml"/><Relationship Id="rId4" Type="http://schemas.openxmlformats.org/officeDocument/2006/relationships/endnotes" Target="endnotes.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C04C866DC076B49BFC0418193BB9586" ma:contentTypeVersion="18" ma:contentTypeDescription="Create a new document." ma:contentTypeScope="" ma:versionID="eb04a7564d06c346533960dc58351d7a">
  <xsd:schema xmlns:xsd="http://www.w3.org/2001/XMLSchema" xmlns:xs="http://www.w3.org/2001/XMLSchema" xmlns:p="http://schemas.microsoft.com/office/2006/metadata/properties" xmlns:ns2="0ad99c62-4d08-486e-a79b-61df7dcdea4b" xmlns:ns3="40531b67-d43b-44b2-8a85-b5d649c1956e" targetNamespace="http://schemas.microsoft.com/office/2006/metadata/properties" ma:root="true" ma:fieldsID="337fbbe7de0e2c732ba0479f851b47a8" ns2:_="" ns3:_="">
    <xsd:import namespace="0ad99c62-4d08-486e-a79b-61df7dcdea4b"/>
    <xsd:import namespace="40531b67-d43b-44b2-8a85-b5d649c1956e"/>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DateTaken" minOccurs="0"/>
                <xsd:element ref="ns2:MediaLengthInSeconds" minOccurs="0"/>
                <xsd:element ref="ns3:SharedWithUsers" minOccurs="0"/>
                <xsd:element ref="ns3:SharedWithDetails" minOccurs="0"/>
                <xsd:element ref="ns2:MediaServiceObjectDetectorVersions" minOccurs="0"/>
                <xsd:element ref="ns2:MediaServiceLocation" minOccurs="0"/>
                <xsd:element ref="ns2:MediaServiceSearchProperties" minOccurs="0"/>
                <xsd:element ref="ns2:Desc" minOccurs="0"/>
                <xsd:element ref="ns2:Desc2"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d99c62-4d08-486e-a79b-61df7dcdea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f9128ac3-94cc-4356-9a33-983a879b9acd" ma:termSetId="09814cd3-568e-fe90-9814-8d621ff8fb84" ma:anchorId="fba54fb3-c3e1-fe81-a776-ca4b69148c4d" ma:open="true" ma:isKeyword="false">
      <xsd:complexType>
        <xsd:sequence>
          <xsd:element ref="pc:Terms" minOccurs="0" maxOccurs="1"/>
        </xsd:sequence>
      </xsd:complex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Desc" ma:index="23" nillable="true" ma:displayName="Desc" ma:description="Slide 1 data up till 2022" ma:format="Dropdown" ma:internalName="Desc">
      <xsd:simpleType>
        <xsd:restriction base="dms:Text">
          <xsd:maxLength value="255"/>
        </xsd:restriction>
      </xsd:simpleType>
    </xsd:element>
    <xsd:element name="Desc2" ma:index="24" nillable="true" ma:displayName="Desc2" ma:description="Slide 1 (data till 2022)" ma:format="Dropdown" ma:internalName="Desc2">
      <xsd:simpleType>
        <xsd:restriction base="dms:Text">
          <xsd:maxLength value="255"/>
        </xsd:restriction>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0531b67-d43b-44b2-8a85-b5d649c1956e"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cda000b8-5594-4c7e-842b-c7db6c304ba6}" ma:internalName="TaxCatchAll" ma:showField="CatchAllData" ma:web="40531b67-d43b-44b2-8a85-b5d649c1956e">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ad99c62-4d08-486e-a79b-61df7dcdea4b">
      <Terms xmlns="http://schemas.microsoft.com/office/infopath/2007/PartnerControls"/>
    </lcf76f155ced4ddcb4097134ff3c332f>
    <Desc xmlns="0ad99c62-4d08-486e-a79b-61df7dcdea4b" xsi:nil="true"/>
    <Desc2 xmlns="0ad99c62-4d08-486e-a79b-61df7dcdea4b" xsi:nil="true"/>
    <TaxCatchAll xmlns="40531b67-d43b-44b2-8a85-b5d649c1956e" xsi:nil="true"/>
  </documentManagement>
</p:properties>
</file>

<file path=customXml/itemProps1.xml><?xml version="1.0" encoding="utf-8"?>
<ds:datastoreItem xmlns:ds="http://schemas.openxmlformats.org/officeDocument/2006/customXml" ds:itemID="{24EA7DFB-5B7C-4F79-85E5-CEAE3B585D3C}"/>
</file>

<file path=customXml/itemProps2.xml><?xml version="1.0" encoding="utf-8"?>
<ds:datastoreItem xmlns:ds="http://schemas.openxmlformats.org/officeDocument/2006/customXml" ds:itemID="{6FD0F61C-9E3D-4B47-A171-81540588E960}"/>
</file>

<file path=customXml/itemProps3.xml><?xml version="1.0" encoding="utf-8"?>
<ds:datastoreItem xmlns:ds="http://schemas.openxmlformats.org/officeDocument/2006/customXml" ds:itemID="{0DEABE60-EC0B-4FFF-B058-417318EB952A}"/>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2026-06-18T11:35:04Z</dcterms:created>
  <dcterms:modified xsi:type="dcterms:W3CDTF">2026-06-18T11:35:04Z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0x0101009C04C866DC076B49BFC0418193BB9586</vt:lpwstr>
  </property>
</Properties>
</file>