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854B7D">
        <w:tc>
          <w:tcPr>
            <w:tcW w:w="4621" w:type="dxa"/>
          </w:tcPr>
          <w:p w:rsidR="009E5A7B" w:rsidRPr="0076082D" w:rsidRDefault="009E5A7B" w:rsidP="00854B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854B7D">
            <w:pPr>
              <w:jc w:val="center"/>
              <w:rPr>
                <w:rFonts w:asciiTheme="majorHAnsi" w:hAnsiTheme="majorHAnsi"/>
                <w:b/>
              </w:rPr>
            </w:pPr>
            <w:r w:rsidRPr="0076082D">
              <w:rPr>
                <w:rFonts w:asciiTheme="majorHAnsi" w:hAnsiTheme="majorHAnsi"/>
                <w:b/>
              </w:rPr>
              <w:t>Student ID</w:t>
            </w:r>
          </w:p>
        </w:tc>
      </w:tr>
      <w:tr w:rsidR="009E5A7B" w:rsidRPr="0076082D" w:rsidTr="00854B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854B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854B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854B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r w:rsidRPr="0076082D">
        <w:rPr>
          <w:rFonts w:asciiTheme="majorHAnsi" w:hAnsiTheme="majorHAnsi"/>
          <w:b/>
          <w:bCs/>
          <w:sz w:val="36"/>
          <w:szCs w:val="36"/>
        </w:rPr>
        <w:t>BottleRocket</w:t>
      </w:r>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r w:rsidRPr="0076082D">
        <w:rPr>
          <w:rFonts w:asciiTheme="majorHAnsi" w:hAnsiTheme="majorHAnsi"/>
        </w:rPr>
        <w:t xml:space="preserve">BottleRocket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8E5536" w:rsidRPr="0076082D" w:rsidRDefault="008E5536" w:rsidP="008E5536">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p>
    <w:p w:rsidR="00AC41CF" w:rsidRPr="0076082D" w:rsidRDefault="00DC4C29" w:rsidP="00141D35">
      <w:pPr>
        <w:ind w:left="720"/>
        <w:rPr>
          <w:rFonts w:asciiTheme="majorHAnsi" w:hAnsiTheme="majorHAnsi"/>
        </w:rPr>
      </w:pPr>
      <w:r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r w:rsidRPr="0076082D">
        <w:rPr>
          <w:rFonts w:asciiTheme="majorHAnsi" w:hAnsiTheme="majorHAnsi"/>
        </w:rPr>
        <w:t>BottleRocket is an entertainment mashup, a concept that was foreign to many only a couple of years ago, but is now extremely common on the web. By taking advantage of massive open datasets, provided by various services through their APIs, and the increasing power of client-side web technologies, BottleRocket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BottleRocket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r w:rsidRPr="0076082D">
        <w:rPr>
          <w:rFonts w:asciiTheme="majorHAnsi" w:hAnsiTheme="majorHAnsi"/>
        </w:rPr>
        <w:t xml:space="preserve">BottleRocket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By utilising web technologies, BottleRocket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582736" w:rsidRDefault="00582736" w:rsidP="00582736">
      <w:pPr>
        <w:ind w:left="720"/>
        <w:rPr>
          <w:rFonts w:asciiTheme="majorHAnsi" w:hAnsiTheme="majorHAnsi"/>
        </w:rPr>
      </w:pPr>
      <w:r w:rsidRPr="0076082D">
        <w:rPr>
          <w:rFonts w:asciiTheme="majorHAnsi" w:hAnsiTheme="majorHAnsi"/>
          <w:highlight w:val="yellow"/>
        </w:rPr>
        <w:t>Investigation into current practice</w:t>
      </w:r>
      <w:r w:rsidRPr="0076082D">
        <w:rPr>
          <w:rFonts w:asciiTheme="majorHAnsi" w:hAnsiTheme="majorHAnsi"/>
          <w:highlight w:val="yellow"/>
        </w:rPr>
        <w:br/>
        <w:t>Case Studies (Seevl?)</w:t>
      </w:r>
      <w:r w:rsidRPr="0076082D">
        <w:rPr>
          <w:rFonts w:asciiTheme="majorHAnsi" w:hAnsiTheme="majorHAnsi"/>
          <w:highlight w:val="yellow"/>
        </w:rPr>
        <w:br/>
        <w:t>Academic/Industrial Research</w:t>
      </w:r>
      <w:r w:rsidRPr="0076082D">
        <w:rPr>
          <w:rFonts w:asciiTheme="majorHAnsi" w:hAnsiTheme="majorHAnsi"/>
          <w:highlight w:val="yellow"/>
        </w:rPr>
        <w:br/>
        <w:t>Critical Analysis of selected approach</w:t>
      </w:r>
      <w:r w:rsidRPr="0076082D">
        <w:rPr>
          <w:rFonts w:asciiTheme="majorHAnsi" w:hAnsiTheme="majorHAnsi"/>
          <w:highlight w:val="yellow"/>
        </w:rPr>
        <w:br/>
        <w:t>Informed decision about innovation undertaken and technologies</w:t>
      </w:r>
    </w:p>
    <w:p w:rsidR="0076082D" w:rsidRPr="0076082D" w:rsidRDefault="0076082D" w:rsidP="00582736">
      <w:pPr>
        <w:ind w:left="720"/>
        <w:rPr>
          <w:rFonts w:asciiTheme="majorHAnsi" w:hAnsiTheme="majorHAnsi"/>
        </w:rPr>
      </w:pPr>
      <w:r>
        <w:rPr>
          <w:rFonts w:asciiTheme="majorHAnsi" w:hAnsiTheme="majorHAnsi"/>
        </w:rPr>
        <w:t>Structure, Modularity, Testability</w:t>
      </w:r>
      <w:r w:rsidR="00E91D47">
        <w:rPr>
          <w:rFonts w:asciiTheme="majorHAnsi" w:hAnsiTheme="majorHAnsi"/>
        </w:rPr>
        <w:t>, MVC/MVW/MV*</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lastRenderedPageBreak/>
        <w:t xml:space="preserve">• This section should outline how you arrived at the design of your UI. You should include a detailed analysis of how the controls in your application deliver a successful UI experience. </w:t>
      </w:r>
    </w:p>
    <w:p w:rsidR="00582736" w:rsidRPr="0076082D" w:rsidRDefault="00582736" w:rsidP="00AC41CF">
      <w:pPr>
        <w:ind w:left="720"/>
        <w:rPr>
          <w:rFonts w:asciiTheme="majorHAnsi" w:hAnsiTheme="majorHAnsi"/>
        </w:rPr>
      </w:pPr>
      <w:r w:rsidRPr="0076082D">
        <w:rPr>
          <w:rFonts w:asciiTheme="majorHAnsi" w:hAnsiTheme="majorHAnsi"/>
          <w:highlight w:val="yellow"/>
        </w:rPr>
        <w:t>Mark and Paul</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bookmarkStart w:id="0" w:name="_GoBack"/>
      <w:bookmarkEnd w:id="0"/>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BottleRocket application using the AngularJS toolset, the application architecture was very easy to decide upon. AngularJS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available from the AngularJS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AngularJS, allowing for efficient modularity and testability.</w:t>
      </w:r>
    </w:p>
    <w:p w:rsidR="00666CA4" w:rsidRDefault="00666CA4" w:rsidP="008060FC">
      <w:pPr>
        <w:rPr>
          <w:rFonts w:asciiTheme="majorHAnsi" w:hAnsiTheme="majorHAnsi"/>
        </w:rPr>
      </w:pPr>
      <w:r>
        <w:rPr>
          <w:rFonts w:asciiTheme="majorHAnsi" w:hAnsiTheme="majorHAnsi"/>
        </w:rPr>
        <w:t>Angular-Seed creates a scaffolded application with separate Configuration, Service, Controller, Directive, Filter and Presentation modules. The app configuration file, app.js in BottleRocket,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lastRenderedPageBreak/>
        <w:t>The Service module is where most of the business logic of the application lives. In the case of BottleRocket, most of the services are AJAX requests using Angular’s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Directives are unique to Angular and allow encapsulation of HTML and CSS element templates with JavaScript functionality, allowing users to create their own custom elements and call them in the view code e.g &lt;custom-element&gt;&lt;/custom-element&gt;. Directives are one of Angular’s “wow” features but are not used extensively in the BottleRocket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Angular’s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Evaluate industry standard error handling, and outline how you integrated these approaches within your application. </w:t>
      </w:r>
    </w:p>
    <w:p w:rsidR="00DC4C29" w:rsidRPr="0076082D" w:rsidRDefault="00DC4C29" w:rsidP="008060FC">
      <w:pPr>
        <w:rPr>
          <w:rFonts w:asciiTheme="majorHAnsi" w:hAnsiTheme="majorHAnsi"/>
        </w:rPr>
      </w:pPr>
      <w:r w:rsidRPr="0076082D">
        <w:rPr>
          <w:rFonts w:asciiTheme="majorHAnsi" w:hAnsiTheme="majorHAnsi"/>
        </w:rPr>
        <w:t>JavaScript Error Handling?</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lastRenderedPageBreak/>
        <w:t xml:space="preserve">• Toolkits and Frameworks: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Discuss the toolkits and frameworks used and the justification for using them. </w:t>
      </w:r>
    </w:p>
    <w:p w:rsidR="00DC4C29" w:rsidRPr="0076082D" w:rsidRDefault="00DC4C29" w:rsidP="008060FC">
      <w:pPr>
        <w:rPr>
          <w:rFonts w:asciiTheme="majorHAnsi" w:hAnsiTheme="majorHAnsi"/>
        </w:rPr>
      </w:pPr>
      <w:r w:rsidRPr="0076082D">
        <w:rPr>
          <w:rFonts w:asciiTheme="majorHAnsi" w:hAnsiTheme="majorHAnsi"/>
        </w:rPr>
        <w:t>Angular, angular-seed</w:t>
      </w:r>
      <w:r w:rsidR="008E5536" w:rsidRPr="0076082D">
        <w:rPr>
          <w:rFonts w:asciiTheme="majorHAnsi" w:hAnsiTheme="majorHAnsi"/>
        </w:rPr>
        <w:t>, Zurb Foundation</w:t>
      </w:r>
      <w:r w:rsidRPr="0076082D">
        <w:rPr>
          <w:rFonts w:asciiTheme="majorHAnsi" w:hAnsiTheme="majorHAnsi"/>
        </w:rPr>
        <w:br/>
        <w:t>Justification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looks at the access and transporting of data to be consumed/created by the RIA. </w:t>
      </w:r>
    </w:p>
    <w:p w:rsidR="00A214C5" w:rsidRPr="0076082D" w:rsidRDefault="00DC4C29" w:rsidP="008060FC">
      <w:pPr>
        <w:rPr>
          <w:rFonts w:asciiTheme="majorHAnsi" w:hAnsiTheme="majorHAnsi"/>
        </w:rPr>
      </w:pPr>
      <w:r w:rsidRPr="0076082D">
        <w:rPr>
          <w:rFonts w:asciiTheme="majorHAnsi" w:hAnsiTheme="majorHAnsi"/>
        </w:rPr>
        <w:t>Angular’s $http service</w:t>
      </w:r>
      <w:r w:rsidR="00A214C5" w:rsidRPr="0076082D">
        <w:rPr>
          <w:rFonts w:asciiTheme="majorHAnsi" w:hAnsiTheme="majorHAnsi"/>
        </w:rPr>
        <w:t>, Soundcloud SDK, Seevl, YouTube SDK, BandsInTown, SongKick, Rotten Tomatoes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Pr="0076082D"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DC4C29" w:rsidRPr="0076082D" w:rsidRDefault="00DC4C29" w:rsidP="008060FC">
      <w:pPr>
        <w:rPr>
          <w:rFonts w:asciiTheme="majorHAnsi" w:hAnsiTheme="majorHAnsi"/>
        </w:rPr>
      </w:pPr>
      <w:r w:rsidRPr="0076082D">
        <w:rPr>
          <w:rFonts w:asciiTheme="majorHAnsi" w:hAnsiTheme="majorHAnsi"/>
        </w:rPr>
        <w:lastRenderedPageBreak/>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References [10%] </w:t>
      </w:r>
    </w:p>
    <w:p w:rsidR="00AC41CF" w:rsidRPr="0076082D" w:rsidRDefault="00AC41CF" w:rsidP="00AC41CF">
      <w:pPr>
        <w:ind w:left="720"/>
        <w:rPr>
          <w:rFonts w:asciiTheme="majorHAnsi" w:hAnsiTheme="majorHAnsi"/>
        </w:rPr>
      </w:pPr>
      <w:r w:rsidRPr="0076082D">
        <w:rPr>
          <w:rFonts w:asciiTheme="majorHAnsi" w:hAnsiTheme="majorHAnsi"/>
        </w:rPr>
        <w:t xml:space="preserve">• Please refer to the Harvard guidebook. Ensure to correctly reference all resources using the Harvard style of referencing. </w:t>
      </w:r>
    </w:p>
    <w:sectPr w:rsidR="00AC41CF"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A5C25"/>
    <w:rsid w:val="000D238E"/>
    <w:rsid w:val="000F0395"/>
    <w:rsid w:val="00141D35"/>
    <w:rsid w:val="00146608"/>
    <w:rsid w:val="0017306D"/>
    <w:rsid w:val="00196BD9"/>
    <w:rsid w:val="001A3C54"/>
    <w:rsid w:val="001A4743"/>
    <w:rsid w:val="001A5FD8"/>
    <w:rsid w:val="001B069C"/>
    <w:rsid w:val="001B708B"/>
    <w:rsid w:val="001C227F"/>
    <w:rsid w:val="001E18D0"/>
    <w:rsid w:val="001E6B0D"/>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4699"/>
    <w:rsid w:val="00487187"/>
    <w:rsid w:val="0049195F"/>
    <w:rsid w:val="004A2E4C"/>
    <w:rsid w:val="004B5F07"/>
    <w:rsid w:val="004B779B"/>
    <w:rsid w:val="004E2683"/>
    <w:rsid w:val="00501CDD"/>
    <w:rsid w:val="00544DE6"/>
    <w:rsid w:val="005603A6"/>
    <w:rsid w:val="00582736"/>
    <w:rsid w:val="00594DD6"/>
    <w:rsid w:val="005B014E"/>
    <w:rsid w:val="005B0834"/>
    <w:rsid w:val="005D5176"/>
    <w:rsid w:val="005F39AA"/>
    <w:rsid w:val="005F6763"/>
    <w:rsid w:val="0061220F"/>
    <w:rsid w:val="00666CA4"/>
    <w:rsid w:val="006844BF"/>
    <w:rsid w:val="006876F8"/>
    <w:rsid w:val="006A4E8B"/>
    <w:rsid w:val="006C3E56"/>
    <w:rsid w:val="006D5BEF"/>
    <w:rsid w:val="0076082D"/>
    <w:rsid w:val="00766990"/>
    <w:rsid w:val="00781B00"/>
    <w:rsid w:val="008060FC"/>
    <w:rsid w:val="00812C6C"/>
    <w:rsid w:val="00821863"/>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A5DA6"/>
    <w:rsid w:val="00BE065F"/>
    <w:rsid w:val="00BF0C56"/>
    <w:rsid w:val="00C1410D"/>
    <w:rsid w:val="00C26F85"/>
    <w:rsid w:val="00C44703"/>
    <w:rsid w:val="00CC59D3"/>
    <w:rsid w:val="00CE0A5E"/>
    <w:rsid w:val="00D20A0A"/>
    <w:rsid w:val="00D75A48"/>
    <w:rsid w:val="00D777A8"/>
    <w:rsid w:val="00D86460"/>
    <w:rsid w:val="00D91F2F"/>
    <w:rsid w:val="00D92461"/>
    <w:rsid w:val="00DB1C2E"/>
    <w:rsid w:val="00DC4C29"/>
    <w:rsid w:val="00E00B1A"/>
    <w:rsid w:val="00E0477B"/>
    <w:rsid w:val="00E13ED5"/>
    <w:rsid w:val="00E305E4"/>
    <w:rsid w:val="00E35004"/>
    <w:rsid w:val="00E4462D"/>
    <w:rsid w:val="00E80737"/>
    <w:rsid w:val="00E91D47"/>
    <w:rsid w:val="00EC5794"/>
    <w:rsid w:val="00F032AB"/>
    <w:rsid w:val="00F3290F"/>
    <w:rsid w:val="00F40218"/>
    <w:rsid w:val="00F43E35"/>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28</cp:revision>
  <dcterms:created xsi:type="dcterms:W3CDTF">2014-04-01T14:39:00Z</dcterms:created>
  <dcterms:modified xsi:type="dcterms:W3CDTF">2014-04-30T15:06:00Z</dcterms:modified>
</cp:coreProperties>
</file>