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40"/>
        </w:rPr>
        <w:t>Acuerdo de Nivel de Servicio (SLA)</w:t>
      </w:r>
    </w:p>
    <w:p>
      <w:pPr>
        <w:jc w:val="center"/>
      </w:pPr>
      <w:r>
        <w:rPr>
          <w:color w:val="6B7280"/>
          <w:sz w:val="24"/>
        </w:rPr>
        <w:t>Portal B2B · RC Repuestos — Versión inicial · 20/05/2026</w:t>
      </w:r>
    </w:p>
    <w:p>
      <w:pPr>
        <w:jc w:val="center"/>
      </w:pPr>
      <w:r>
        <w:rPr>
          <w:color w:val="9CA3AF"/>
          <w:sz w:val="20"/>
        </w:rPr>
        <w:t>RC Repuestos  ·  Generado: 20/05/2026</w:t>
      </w:r>
    </w:p>
    <w:p/>
    <w:p>
      <w:pPr>
        <w:pStyle w:val="Heading1"/>
      </w:pPr>
      <w:r>
        <w:rPr>
          <w:color w:val="1A56DB"/>
        </w:rPr>
        <w:t>1. Partes del acuerdo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Rol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Nombre / Empresa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Contacto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t>Cliente</w:t>
            </w:r>
          </w:p>
        </w:tc>
        <w:tc>
          <w:tcPr>
            <w:tcW w:type="dxa" w:w="3041"/>
          </w:tcPr>
          <w:p>
            <w:r>
              <w:t>RC Repuestos — Pagliero Juan Ludovico</w:t>
            </w:r>
          </w:p>
        </w:tc>
        <w:tc>
          <w:tcPr>
            <w:tcW w:type="dxa" w:w="3041"/>
          </w:tcPr>
          <w:p>
            <w:r>
              <w:t>—</w:t>
            </w:r>
          </w:p>
        </w:tc>
      </w:tr>
      <w:tr>
        <w:tc>
          <w:tcPr>
            <w:tcW w:type="dxa" w:w="3041"/>
          </w:tcPr>
          <w:p>
            <w:r>
              <w:t>Proveedor técnico</w:t>
            </w:r>
          </w:p>
        </w:tc>
        <w:tc>
          <w:tcPr>
            <w:tcW w:type="dxa" w:w="3041"/>
          </w:tcPr>
          <w:p>
            <w:r>
              <w:t>Luis Giannasi — ManIAco</w:t>
            </w:r>
          </w:p>
        </w:tc>
        <w:tc>
          <w:tcPr>
            <w:tcW w:type="dxa" w:w="3041"/>
          </w:tcPr>
          <w:p>
            <w:r>
              <w:t>3516009131 · luis.giannasi@maniaco.online</w:t>
            </w:r>
          </w:p>
        </w:tc>
      </w:tr>
    </w:tbl>
    <w:p/>
    <w:p>
      <w:pPr>
        <w:pStyle w:val="Heading1"/>
      </w:pPr>
      <w:r>
        <w:rPr>
          <w:color w:val="1A56DB"/>
        </w:rPr>
        <w:t>2. Alcance del servicio</w:t>
      </w:r>
    </w:p>
    <w:p>
      <w:r>
        <w:t>Este acuerdo cubre el mantenimiento, soporte y disponibilidad de la plataforma Portal B2B desarrollada para RC Repuestos, que incluye:</w:t>
      </w:r>
    </w:p>
    <w:p>
      <w:pPr>
        <w:pStyle w:val="ListBullet"/>
        <w:ind w:left="0"/>
      </w:pPr>
      <w:r>
        <w:t>Sitio web y API alojados en Vercel</w:t>
      </w:r>
    </w:p>
    <w:p>
      <w:pPr>
        <w:pStyle w:val="ListBullet"/>
        <w:ind w:left="0"/>
      </w:pPr>
      <w:r>
        <w:t>Base de datos alojada en Supabase</w:t>
      </w:r>
    </w:p>
    <w:p>
      <w:pPr>
        <w:pStyle w:val="ListBullet"/>
        <w:ind w:left="0"/>
      </w:pPr>
      <w:r>
        <w:t>Bot de Telegram para notificaciones y comandos de gestión</w:t>
      </w:r>
    </w:p>
    <w:p>
      <w:pPr>
        <w:pStyle w:val="ListBullet"/>
        <w:ind w:left="0"/>
      </w:pPr>
      <w:r>
        <w:t>Panel de administración, gestión de pedidos, cotizaciones y conflictos</w:t>
      </w:r>
    </w:p>
    <w:p>
      <w:pPr>
        <w:pStyle w:val="Heading1"/>
      </w:pPr>
      <w:r>
        <w:rPr>
          <w:color w:val="1A56DB"/>
        </w:rPr>
        <w:t>3. Infraestructura y costos actuales</w:t>
      </w:r>
    </w:p>
    <w:p>
      <w:r>
        <w:t>El sistema opera sobre capas gratuitas de proveedores en la nube. No existen costos fijos mensuales en la configuración actual.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Servicio</w:t>
            </w:r>
          </w:p>
        </w:tc>
        <w:tc>
          <w:tcPr>
            <w:tcW w:type="dxa" w:w="2280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22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280"/>
          </w:tcPr>
          <w:p>
            <w:r>
              <w:rPr>
                <w:b/>
              </w:rPr>
              <w:t>Costo mensual</w:t>
            </w:r>
          </w:p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  <w:tc>
          <w:tcPr>
            <w:tcW w:type="dxa" w:w="2280"/>
          </w:tcPr>
          <w:p/>
        </w:tc>
      </w:tr>
      <w:tr>
        <w:tc>
          <w:tcPr>
            <w:tcW w:type="dxa" w:w="2280"/>
          </w:tcPr>
          <w:p>
            <w:r>
              <w:t>Hosting web y API</w:t>
            </w:r>
          </w:p>
        </w:tc>
        <w:tc>
          <w:tcPr>
            <w:tcW w:type="dxa" w:w="2280"/>
          </w:tcPr>
          <w:p>
            <w:r>
              <w:t>Vercel</w:t>
            </w:r>
          </w:p>
        </w:tc>
        <w:tc>
          <w:tcPr>
            <w:tcW w:type="dxa" w:w="2280"/>
          </w:tcPr>
          <w:p>
            <w:r>
              <w:t>Hobby (Free)</w:t>
            </w:r>
          </w:p>
        </w:tc>
        <w:tc>
          <w:tcPr>
            <w:tcW w:type="dxa" w:w="2280"/>
          </w:tcPr>
          <w:p>
            <w:r>
              <w:t>$0</w:t>
            </w:r>
          </w:p>
        </w:tc>
      </w:tr>
      <w:tr>
        <w:tc>
          <w:tcPr>
            <w:tcW w:type="dxa" w:w="2280"/>
          </w:tcPr>
          <w:p>
            <w:r>
              <w:t>Base de datos</w:t>
            </w:r>
          </w:p>
        </w:tc>
        <w:tc>
          <w:tcPr>
            <w:tcW w:type="dxa" w:w="2280"/>
          </w:tcPr>
          <w:p>
            <w:r>
              <w:t>Supabase</w:t>
            </w:r>
          </w:p>
        </w:tc>
        <w:tc>
          <w:tcPr>
            <w:tcW w:type="dxa" w:w="2280"/>
          </w:tcPr>
          <w:p>
            <w:r>
              <w:t>Free Tier</w:t>
            </w:r>
          </w:p>
        </w:tc>
        <w:tc>
          <w:tcPr>
            <w:tcW w:type="dxa" w:w="2280"/>
          </w:tcPr>
          <w:p>
            <w:r>
              <w:t>$0</w:t>
            </w:r>
          </w:p>
        </w:tc>
      </w:tr>
      <w:tr>
        <w:tc>
          <w:tcPr>
            <w:tcW w:type="dxa" w:w="2280"/>
          </w:tcPr>
          <w:p>
            <w:r>
              <w:t>Notificaciones</w:t>
            </w:r>
          </w:p>
        </w:tc>
        <w:tc>
          <w:tcPr>
            <w:tcW w:type="dxa" w:w="2280"/>
          </w:tcPr>
          <w:p>
            <w:r>
              <w:t>Telegram</w:t>
            </w:r>
          </w:p>
        </w:tc>
        <w:tc>
          <w:tcPr>
            <w:tcW w:type="dxa" w:w="2280"/>
          </w:tcPr>
          <w:p>
            <w:r>
              <w:t>API gratuita</w:t>
            </w:r>
          </w:p>
        </w:tc>
        <w:tc>
          <w:tcPr>
            <w:tcW w:type="dxa" w:w="2280"/>
          </w:tcPr>
          <w:p>
            <w:r>
              <w:t>$0</w:t>
            </w:r>
          </w:p>
        </w:tc>
      </w:tr>
      <w:tr>
        <w:tc>
          <w:tcPr>
            <w:tcW w:type="dxa" w:w="2280"/>
          </w:tcPr>
          <w:p>
            <w:r>
              <w:t>Mail transaccional</w:t>
            </w:r>
          </w:p>
        </w:tc>
        <w:tc>
          <w:tcPr>
            <w:tcW w:type="dxa" w:w="2280"/>
          </w:tcPr>
          <w:p>
            <w:r>
              <w:t>—</w:t>
            </w:r>
          </w:p>
        </w:tc>
        <w:tc>
          <w:tcPr>
            <w:tcW w:type="dxa" w:w="2280"/>
          </w:tcPr>
          <w:p>
            <w:r>
              <w:t>No aplica (eliminado)</w:t>
            </w:r>
          </w:p>
        </w:tc>
        <w:tc>
          <w:tcPr>
            <w:tcW w:type="dxa" w:w="2280"/>
          </w:tcPr>
          <w:p>
            <w:r>
              <w:t>$0</w:t>
            </w:r>
          </w:p>
        </w:tc>
      </w:tr>
    </w:tbl>
    <w:p/>
    <w:p>
      <w:r>
        <w:t>Limitaciones del Free Tier a tener en cuenta:</w:t>
        <w:br/>
        <w:t xml:space="preserve">  · Vercel Hobby: proyectos no comerciales; 100 GB de ancho de banda/mes</w:t>
        <w:br/>
        <w:t xml:space="preserve">  · Supabase Free: 500 MB de base de datos; 2 GB de transferencia/mes; el proyecto se pausa si no tiene actividad por 7 días en el plan gratuito</w:t>
        <w:br/>
        <w:br/>
        <w:t>Si el volumen de uso supera estos límites, se migra a planes pagos. Esa decisión se toma al finalizar el período de prueba.</w:t>
      </w:r>
    </w:p>
    <w:p>
      <w:pPr>
        <w:pStyle w:val="Heading1"/>
      </w:pPr>
      <w:r>
        <w:rPr>
          <w:color w:val="1A56DB"/>
        </w:rPr>
        <w:t>4. Período de prueba inicial</w:t>
      </w:r>
    </w:p>
    <w:p>
      <w:r>
        <w:t>Se establece un período de prueba de 1 (un) mes a partir de la puesta en producción. Durante ese mes:</w:t>
      </w:r>
    </w:p>
    <w:p>
      <w:pPr>
        <w:pStyle w:val="ListBullet"/>
        <w:ind w:left="0"/>
      </w:pPr>
      <w:r>
        <w:t>El proveedor técnico atiende bugs y errores de forma prioritaria sin costo adicional</w:t>
      </w:r>
    </w:p>
    <w:p>
      <w:pPr>
        <w:pStyle w:val="ListBullet"/>
        <w:ind w:left="0"/>
      </w:pPr>
      <w:r>
        <w:t>Se detectan y corrigen inconsistencias de datos, errores de lógica y problemas de UX</w:t>
      </w:r>
    </w:p>
    <w:p>
      <w:pPr>
        <w:pStyle w:val="ListBullet"/>
        <w:ind w:left="0"/>
      </w:pPr>
      <w:r>
        <w:t>No se cobran horas de soporte por correcciones derivadas del desarrollo inicial</w:t>
      </w:r>
    </w:p>
    <w:p>
      <w:r>
        <w:t>Al finalizar el mes de prueba, las partes definen comercialmente las condiciones de mantenimiento y soporte continuo: tarifa mensual, horas incluidas, SLA de respuesta, etc.</w:t>
      </w:r>
    </w:p>
    <w:p>
      <w:pPr>
        <w:pStyle w:val="Heading1"/>
      </w:pPr>
      <w:r>
        <w:rPr>
          <w:color w:val="1A56DB"/>
        </w:rPr>
        <w:t>5. Disponibilidad</w:t>
      </w:r>
    </w:p>
    <w:p>
      <w:r>
        <w:t>Durante el período de prueba, el objetivo de disponibilidad es del 95% mensual (aproximadamente 36 horas de caída toleradas por mes). Este objetivo está sujeto a las limitaciones de los proveedores gratuitos (Vercel y Supabase).</w:t>
      </w:r>
    </w:p>
    <w:p>
      <w:r>
        <w:t>Las interrupciones causadas por mantenimiento planificado, caídas de los proveedores de infraestructura o fuerza mayor no cuentan como tiempo de inactividad del SLA.</w:t>
      </w:r>
    </w:p>
    <w:p>
      <w:pPr>
        <w:pStyle w:val="Heading1"/>
      </w:pPr>
      <w:r>
        <w:rPr>
          <w:color w:val="1A56DB"/>
        </w:rPr>
        <w:t>6. Comandos de Telegram para el administrador</w:t>
      </w:r>
    </w:p>
    <w:p>
      <w:r>
        <w:t>Juan (administrador) tiene acceso a tres comandos de gestión en el bot de Telegram. Estos comandos responden ÚNICAMENTE al chat de Juan; cualquier otro usuario recibe silencio.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Comando</w:t>
            </w:r>
          </w:p>
        </w:tc>
        <w:tc>
          <w:tcPr>
            <w:tcW w:type="dxa" w:w="4561"/>
          </w:tcPr>
          <w:p>
            <w:r>
              <w:rPr>
                <w:b/>
              </w:rPr>
              <w:t>Descripción</w:t>
            </w:r>
          </w:p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t>/hoy</w:t>
            </w:r>
          </w:p>
        </w:tc>
        <w:tc>
          <w:tcPr>
            <w:tcW w:type="dxa" w:w="4561"/>
          </w:tcPr>
          <w:p>
            <w:r>
              <w:t>Resumen del día actual: facturación, pedidos entregados y nuevos, comparados con el día anterior. También muestra pendientes totales y conflictos activos.</w:t>
            </w:r>
          </w:p>
        </w:tc>
      </w:tr>
      <w:tr>
        <w:tc>
          <w:tcPr>
            <w:tcW w:type="dxa" w:w="4561"/>
          </w:tcPr>
          <w:p>
            <w:r>
              <w:t>/vendedores</w:t>
            </w:r>
          </w:p>
        </w:tc>
        <w:tc>
          <w:tcPr>
            <w:tcW w:type="dxa" w:w="4561"/>
          </w:tcPr>
          <w:p>
            <w:r>
              <w:t>Ranking mensual de vendedores por facturación y entregas. Incluye comparativa con el mes anterior (crecimiento porcentual) y resumen de la semana en curso.</w:t>
            </w:r>
          </w:p>
        </w:tc>
      </w:tr>
      <w:tr>
        <w:tc>
          <w:tcPr>
            <w:tcW w:type="dxa" w:w="4561"/>
          </w:tcPr>
          <w:p>
            <w:r>
              <w:t>/alertas</w:t>
            </w:r>
          </w:p>
        </w:tc>
        <w:tc>
          <w:tcPr>
            <w:tcW w:type="dxa" w:w="4561"/>
          </w:tcPr>
          <w:p>
            <w:r>
              <w:t>Lista de pedidos sin vendedor asignado, pedidos en conflicto activo (con enlace directo a cada uno) y pedidos trabados hace más de 48 horas sin movimiento.</w:t>
            </w:r>
          </w:p>
        </w:tc>
      </w:tr>
    </w:tbl>
    <w:p/>
    <w:p>
      <w:pPr>
        <w:pStyle w:val="Heading1"/>
      </w:pPr>
      <w:r>
        <w:rPr>
          <w:color w:val="1A56DB"/>
        </w:rPr>
        <w:t>7. Soporte y tiempos de respuesta</w:t>
      </w:r>
    </w:p>
    <w:p>
      <w:r>
        <w:t>Durante el período de prueba (primer mes):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Tipo de incidencia</w:t>
            </w:r>
          </w:p>
        </w:tc>
        <w:tc>
          <w:tcPr>
            <w:tcW w:type="dxa" w:w="4561"/>
          </w:tcPr>
          <w:p>
            <w:r>
              <w:rPr>
                <w:b/>
              </w:rPr>
              <w:t>Tiempo de respuesta objetivo</w:t>
            </w:r>
          </w:p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t>Error crítico (sistema caído, pérdida de datos)</w:t>
            </w:r>
          </w:p>
        </w:tc>
        <w:tc>
          <w:tcPr>
            <w:tcW w:type="dxa" w:w="4561"/>
          </w:tcPr>
          <w:p>
            <w:r>
              <w:t>4 horas hábiles</w:t>
            </w:r>
          </w:p>
        </w:tc>
      </w:tr>
      <w:tr>
        <w:tc>
          <w:tcPr>
            <w:tcW w:type="dxa" w:w="4561"/>
          </w:tcPr>
          <w:p>
            <w:r>
              <w:t>Error funcional (feature no funciona)</w:t>
            </w:r>
          </w:p>
        </w:tc>
        <w:tc>
          <w:tcPr>
            <w:tcW w:type="dxa" w:w="4561"/>
          </w:tcPr>
          <w:p>
            <w:r>
              <w:t>24 horas hábiles</w:t>
            </w:r>
          </w:p>
        </w:tc>
      </w:tr>
      <w:tr>
        <w:tc>
          <w:tcPr>
            <w:tcW w:type="dxa" w:w="4561"/>
          </w:tcPr>
          <w:p>
            <w:r>
              <w:t>Consulta o mejora menor</w:t>
            </w:r>
          </w:p>
        </w:tc>
        <w:tc>
          <w:tcPr>
            <w:tcW w:type="dxa" w:w="4561"/>
          </w:tcPr>
          <w:p>
            <w:r>
              <w:t>48 a 72 horas hábiles</w:t>
            </w:r>
          </w:p>
        </w:tc>
      </w:tr>
    </w:tbl>
    <w:p/>
    <w:p>
      <w:r>
        <w:t>Canal de contacto: WhatsApp al 3516009131 (Luis Giannasi). Mail alternativo: luis.giannasi@maniaco.online</w:t>
      </w:r>
    </w:p>
    <w:p>
      <w:pPr>
        <w:pStyle w:val="Heading1"/>
      </w:pPr>
      <w:r>
        <w:rPr>
          <w:color w:val="1A56DB"/>
        </w:rPr>
        <w:t>8. Lo que NO cubre este acuerdo</w:t>
      </w:r>
    </w:p>
    <w:p>
      <w:pPr>
        <w:pStyle w:val="ListBullet"/>
        <w:ind w:left="0"/>
      </w:pPr>
      <w:r>
        <w:t>Capacitación de usuarios finales más allá de los manuales entregados</w:t>
      </w:r>
    </w:p>
    <w:p>
      <w:pPr>
        <w:pStyle w:val="ListBullet"/>
        <w:ind w:left="0"/>
      </w:pPr>
      <w:r>
        <w:t>Nuevas funcionalidades no previstas en el desarrollo original</w:t>
      </w:r>
    </w:p>
    <w:p>
      <w:pPr>
        <w:pStyle w:val="ListBullet"/>
        <w:ind w:left="0"/>
      </w:pPr>
      <w:r>
        <w:t>Soporte a usuarios individuales (talleres, vendedores) — eso lo gestiona Juan internamente</w:t>
      </w:r>
    </w:p>
    <w:p>
      <w:pPr>
        <w:pStyle w:val="ListBullet"/>
        <w:ind w:left="0"/>
      </w:pPr>
      <w:r>
        <w:t>Problemas causados por modificaciones al código realizadas por terceros</w:t>
      </w:r>
    </w:p>
    <w:p>
      <w:pPr>
        <w:pStyle w:val="ListBullet"/>
        <w:ind w:left="0"/>
      </w:pPr>
      <w:r>
        <w:t>Caídas de Vercel, Supabase o Telegram fuera del control del proveedor técnico</w:t>
      </w:r>
    </w:p>
    <w:p>
      <w:pPr>
        <w:pStyle w:val="Heading1"/>
      </w:pPr>
      <w:r>
        <w:rPr>
          <w:color w:val="1A56DB"/>
        </w:rPr>
        <w:t>9. Definición comercial post-prueba</w:t>
      </w:r>
    </w:p>
    <w:p>
      <w:r>
        <w:t>Al cumplirse el mes de prueba, las partes se reúnen para definir:</w:t>
        <w:br/>
        <w:t xml:space="preserve">  · Continuidad del servicio y tarifa mensual de mantenimiento</w:t>
        <w:br/>
        <w:t xml:space="preserve">  · Migración a planes pagos de Vercel y/o Supabase si el uso lo requiere</w:t>
        <w:br/>
        <w:t xml:space="preserve">  · Alcance de futuras mejoras y su cotización</w:t>
        <w:br/>
        <w:br/>
        <w:t>Si no se llega a un acuerdo comercial, el código fuente queda en propiedad de RC Repuestos y puede ser mantenido por otro proveedor.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Contacto de soporte técnico</w:t>
      </w:r>
    </w:p>
    <w:p>
      <w:r>
        <w:t>Luis Giannasi — ManIAco</w:t>
        <w:br/>
        <w:t>Teléfono / WhatsApp: 3516009131</w:t>
        <w:br/>
        <w:t>Mail: luis.giannasi@maniaco.online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