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5859" w:rsidRDefault="00C75859">
      <w:r>
        <w:rPr>
          <w:noProof/>
        </w:rPr>
        <w:drawing>
          <wp:inline distT="0" distB="0" distL="0" distR="0">
            <wp:extent cx="5943600" cy="48336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aths-from-diarrheal-diseases-by-ag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833620"/>
                    </a:xfrm>
                    <a:prstGeom prst="rect">
                      <a:avLst/>
                    </a:prstGeom>
                  </pic:spPr>
                </pic:pic>
              </a:graphicData>
            </a:graphic>
          </wp:inline>
        </w:drawing>
      </w:r>
    </w:p>
    <w:p w:rsidR="00C75859" w:rsidRDefault="00C75859"/>
    <w:p w:rsidR="00C75859" w:rsidRPr="00C75859" w:rsidRDefault="00C75859" w:rsidP="00C75859">
      <w:pPr>
        <w:rPr>
          <w:rFonts w:ascii="Arial" w:hAnsi="Arial" w:cs="Arial"/>
          <w:b/>
          <w:bCs/>
          <w:sz w:val="24"/>
          <w:szCs w:val="24"/>
        </w:rPr>
      </w:pPr>
      <w:r w:rsidRPr="00C75859">
        <w:rPr>
          <w:rFonts w:ascii="Arial" w:hAnsi="Arial" w:cs="Arial"/>
          <w:b/>
          <w:bCs/>
          <w:sz w:val="24"/>
          <w:szCs w:val="24"/>
        </w:rPr>
        <w:t>1. Main visualization goal and audience</w:t>
      </w:r>
    </w:p>
    <w:p w:rsidR="00C75859" w:rsidRPr="00C75859" w:rsidRDefault="00C75859" w:rsidP="00C75859">
      <w:pPr>
        <w:rPr>
          <w:rFonts w:ascii="Arial" w:hAnsi="Arial" w:cs="Arial"/>
        </w:rPr>
      </w:pPr>
      <w:r w:rsidRPr="00C75859">
        <w:rPr>
          <w:rFonts w:ascii="Arial" w:hAnsi="Arial" w:cs="Arial"/>
        </w:rPr>
        <w:t>The chart targets a broad, non-specialist public audience — the kind reached by Our World in Data's mission of making global development data accessible. The goal is explicitly communicative: to show, at a glance, that global deaths from diarrheal diseases have fallen dramatically over four decades, and that children under 5 were historically the dominant victims but that reduction has been the greatest success story. The stacked area form prioritizes emotional impact (the collapsing blue mass) over precise readout of individual values.</w:t>
      </w:r>
    </w:p>
    <w:p w:rsidR="00C75859" w:rsidRDefault="00C75859"/>
    <w:p w:rsidR="008A721C" w:rsidRPr="008A721C" w:rsidRDefault="008A721C" w:rsidP="008A721C">
      <w:pPr>
        <w:rPr>
          <w:rFonts w:ascii="Arial" w:hAnsi="Arial" w:cs="Arial"/>
          <w:b/>
          <w:bCs/>
          <w:sz w:val="24"/>
          <w:szCs w:val="24"/>
        </w:rPr>
      </w:pPr>
      <w:r w:rsidRPr="008A721C">
        <w:rPr>
          <w:rFonts w:ascii="Arial" w:hAnsi="Arial" w:cs="Arial"/>
          <w:b/>
          <w:bCs/>
          <w:sz w:val="24"/>
          <w:szCs w:val="24"/>
        </w:rPr>
        <w:t>2</w:t>
      </w:r>
      <w:r w:rsidRPr="008A721C">
        <w:rPr>
          <w:rFonts w:ascii="Arial" w:hAnsi="Arial" w:cs="Arial"/>
          <w:b/>
          <w:bCs/>
          <w:sz w:val="24"/>
          <w:szCs w:val="24"/>
        </w:rPr>
        <w:t>. Visualization Dimensions Using Alberto Cairo's Visualization Wheel</w:t>
      </w:r>
    </w:p>
    <w:p w:rsidR="00C75859" w:rsidRPr="008A721C" w:rsidRDefault="008A721C">
      <w:pPr>
        <w:rPr>
          <w:rFonts w:ascii="Arial" w:hAnsi="Arial" w:cs="Arial"/>
        </w:rPr>
      </w:pPr>
      <w:r w:rsidRPr="008A721C">
        <w:rPr>
          <w:rFonts w:ascii="Arial" w:hAnsi="Arial" w:cs="Arial"/>
        </w:rPr>
        <w:t xml:space="preserve">The visualization </w:t>
      </w:r>
      <w:r w:rsidRPr="008A721C">
        <w:rPr>
          <w:rFonts w:ascii="Arial" w:hAnsi="Arial" w:cs="Arial"/>
          <w:i/>
          <w:iCs/>
        </w:rPr>
        <w:t>"Diarrheal Disease Deaths, by Age, World"</w:t>
      </w:r>
      <w:r w:rsidRPr="008A721C">
        <w:rPr>
          <w:rFonts w:ascii="Arial" w:hAnsi="Arial" w:cs="Arial"/>
        </w:rPr>
        <w:t xml:space="preserve"> can be analyzed using Alberto Cairo's Visualization Wheel, which evaluates the balance between opposing design dimensions</w:t>
      </w:r>
    </w:p>
    <w:p w:rsidR="00E63E7C" w:rsidRDefault="00E63E7C">
      <w:r>
        <w:rPr>
          <w:noProof/>
        </w:rPr>
        <w:lastRenderedPageBreak/>
        <w:drawing>
          <wp:inline distT="0" distB="0" distL="0" distR="0" wp14:anchorId="3C60A4C8">
            <wp:extent cx="5954657" cy="526732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2246" cy="5300575"/>
                    </a:xfrm>
                    <a:prstGeom prst="rect">
                      <a:avLst/>
                    </a:prstGeom>
                    <a:noFill/>
                  </pic:spPr>
                </pic:pic>
              </a:graphicData>
            </a:graphic>
          </wp:inline>
        </w:drawing>
      </w:r>
    </w:p>
    <w:p w:rsidR="008A721C" w:rsidRPr="008A721C" w:rsidRDefault="008A721C" w:rsidP="008A721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1"/>
        <w:gridCol w:w="5271"/>
      </w:tblGrid>
      <w:tr w:rsidR="008A721C" w:rsidRPr="008A721C" w:rsidTr="008801DC">
        <w:trPr>
          <w:tblHeader/>
          <w:tblCellSpacing w:w="15" w:type="dxa"/>
        </w:trPr>
        <w:tc>
          <w:tcPr>
            <w:tcW w:w="0" w:type="auto"/>
            <w:vAlign w:val="center"/>
            <w:hideMark/>
          </w:tcPr>
          <w:p w:rsidR="008A721C" w:rsidRPr="008A721C" w:rsidRDefault="008A721C" w:rsidP="008801DC">
            <w:pPr>
              <w:rPr>
                <w:rFonts w:ascii="Arial" w:hAnsi="Arial" w:cs="Arial"/>
                <w:b/>
                <w:bCs/>
              </w:rPr>
            </w:pPr>
            <w:r w:rsidRPr="008A721C">
              <w:rPr>
                <w:rFonts w:ascii="Arial" w:hAnsi="Arial" w:cs="Arial"/>
                <w:b/>
                <w:bCs/>
              </w:rPr>
              <w:t>Dimension Pair</w:t>
            </w:r>
          </w:p>
        </w:tc>
        <w:tc>
          <w:tcPr>
            <w:tcW w:w="0" w:type="auto"/>
            <w:vAlign w:val="center"/>
            <w:hideMark/>
          </w:tcPr>
          <w:p w:rsidR="008A721C" w:rsidRPr="008A721C" w:rsidRDefault="008A721C" w:rsidP="008801DC">
            <w:pPr>
              <w:rPr>
                <w:rFonts w:ascii="Arial" w:hAnsi="Arial" w:cs="Arial"/>
                <w:b/>
                <w:bCs/>
              </w:rPr>
            </w:pPr>
            <w:r w:rsidRPr="008A721C">
              <w:rPr>
                <w:rFonts w:ascii="Arial" w:hAnsi="Arial" w:cs="Arial"/>
                <w:b/>
                <w:bCs/>
              </w:rPr>
              <w:t>Assessment</w:t>
            </w:r>
          </w:p>
        </w:tc>
      </w:tr>
      <w:tr w:rsidR="008A721C" w:rsidRPr="008A721C" w:rsidTr="008801DC">
        <w:trPr>
          <w:tblCellSpacing w:w="15" w:type="dxa"/>
        </w:trPr>
        <w:tc>
          <w:tcPr>
            <w:tcW w:w="0" w:type="auto"/>
            <w:vAlign w:val="center"/>
            <w:hideMark/>
          </w:tcPr>
          <w:p w:rsidR="008A721C" w:rsidRPr="008A721C" w:rsidRDefault="008A721C" w:rsidP="008801DC">
            <w:pPr>
              <w:rPr>
                <w:rFonts w:ascii="Arial" w:hAnsi="Arial" w:cs="Arial"/>
              </w:rPr>
            </w:pPr>
            <w:r w:rsidRPr="008A721C">
              <w:rPr>
                <w:rFonts w:ascii="Arial" w:hAnsi="Arial" w:cs="Arial"/>
              </w:rPr>
              <w:t>Abstraction vs. Figuration</w:t>
            </w:r>
          </w:p>
        </w:tc>
        <w:tc>
          <w:tcPr>
            <w:tcW w:w="0" w:type="auto"/>
            <w:vAlign w:val="center"/>
            <w:hideMark/>
          </w:tcPr>
          <w:p w:rsidR="008A721C" w:rsidRPr="008A721C" w:rsidRDefault="008A721C" w:rsidP="008801DC">
            <w:pPr>
              <w:rPr>
                <w:rFonts w:ascii="Arial" w:hAnsi="Arial" w:cs="Arial"/>
              </w:rPr>
            </w:pPr>
            <w:r w:rsidRPr="008A721C">
              <w:rPr>
                <w:rFonts w:ascii="Arial" w:hAnsi="Arial" w:cs="Arial"/>
                <w:b/>
                <w:bCs/>
              </w:rPr>
              <w:t>95% Abstraction – 5% Figuration</w:t>
            </w:r>
          </w:p>
        </w:tc>
      </w:tr>
      <w:tr w:rsidR="008A721C" w:rsidRPr="008A721C" w:rsidTr="008801DC">
        <w:trPr>
          <w:tblCellSpacing w:w="15" w:type="dxa"/>
        </w:trPr>
        <w:tc>
          <w:tcPr>
            <w:tcW w:w="0" w:type="auto"/>
            <w:vAlign w:val="center"/>
            <w:hideMark/>
          </w:tcPr>
          <w:p w:rsidR="008A721C" w:rsidRPr="008A721C" w:rsidRDefault="008A721C" w:rsidP="008801DC">
            <w:pPr>
              <w:rPr>
                <w:rFonts w:ascii="Arial" w:hAnsi="Arial" w:cs="Arial"/>
              </w:rPr>
            </w:pPr>
            <w:r w:rsidRPr="008A721C">
              <w:rPr>
                <w:rFonts w:ascii="Arial" w:hAnsi="Arial" w:cs="Arial"/>
              </w:rPr>
              <w:t>Functionality vs. Decoration</w:t>
            </w:r>
          </w:p>
        </w:tc>
        <w:tc>
          <w:tcPr>
            <w:tcW w:w="0" w:type="auto"/>
            <w:vAlign w:val="center"/>
            <w:hideMark/>
          </w:tcPr>
          <w:p w:rsidR="008A721C" w:rsidRPr="008A721C" w:rsidRDefault="008A721C" w:rsidP="008801DC">
            <w:pPr>
              <w:rPr>
                <w:rFonts w:ascii="Arial" w:hAnsi="Arial" w:cs="Arial"/>
              </w:rPr>
            </w:pPr>
            <w:r w:rsidRPr="008A721C">
              <w:rPr>
                <w:rFonts w:ascii="Arial" w:hAnsi="Arial" w:cs="Arial"/>
                <w:b/>
                <w:bCs/>
              </w:rPr>
              <w:t>90% Functionality – 10% Decoration</w:t>
            </w:r>
          </w:p>
        </w:tc>
      </w:tr>
      <w:tr w:rsidR="008A721C" w:rsidRPr="008A721C" w:rsidTr="008801DC">
        <w:trPr>
          <w:tblCellSpacing w:w="15" w:type="dxa"/>
        </w:trPr>
        <w:tc>
          <w:tcPr>
            <w:tcW w:w="0" w:type="auto"/>
            <w:vAlign w:val="center"/>
            <w:hideMark/>
          </w:tcPr>
          <w:p w:rsidR="008A721C" w:rsidRPr="008A721C" w:rsidRDefault="008A721C" w:rsidP="008801DC">
            <w:pPr>
              <w:rPr>
                <w:rFonts w:ascii="Arial" w:hAnsi="Arial" w:cs="Arial"/>
              </w:rPr>
            </w:pPr>
            <w:r w:rsidRPr="008A721C">
              <w:rPr>
                <w:rFonts w:ascii="Arial" w:hAnsi="Arial" w:cs="Arial"/>
              </w:rPr>
              <w:t>Density vs. Lightness</w:t>
            </w:r>
          </w:p>
        </w:tc>
        <w:tc>
          <w:tcPr>
            <w:tcW w:w="0" w:type="auto"/>
            <w:vAlign w:val="center"/>
            <w:hideMark/>
          </w:tcPr>
          <w:p w:rsidR="008A721C" w:rsidRPr="008A721C" w:rsidRDefault="008A721C" w:rsidP="008801DC">
            <w:pPr>
              <w:rPr>
                <w:rFonts w:ascii="Arial" w:hAnsi="Arial" w:cs="Arial"/>
              </w:rPr>
            </w:pPr>
            <w:r w:rsidRPr="008A721C">
              <w:rPr>
                <w:rFonts w:ascii="Arial" w:hAnsi="Arial" w:cs="Arial"/>
                <w:b/>
                <w:bCs/>
              </w:rPr>
              <w:t>40% Density – 60% Lightness</w:t>
            </w:r>
          </w:p>
        </w:tc>
      </w:tr>
      <w:tr w:rsidR="008A721C" w:rsidRPr="008A721C" w:rsidTr="008801DC">
        <w:trPr>
          <w:tblCellSpacing w:w="15" w:type="dxa"/>
        </w:trPr>
        <w:tc>
          <w:tcPr>
            <w:tcW w:w="0" w:type="auto"/>
            <w:vAlign w:val="center"/>
            <w:hideMark/>
          </w:tcPr>
          <w:p w:rsidR="008A721C" w:rsidRPr="008A721C" w:rsidRDefault="008A721C" w:rsidP="008801DC">
            <w:pPr>
              <w:rPr>
                <w:rFonts w:ascii="Arial" w:hAnsi="Arial" w:cs="Arial"/>
              </w:rPr>
            </w:pPr>
            <w:r w:rsidRPr="008A721C">
              <w:rPr>
                <w:rFonts w:ascii="Arial" w:hAnsi="Arial" w:cs="Arial"/>
              </w:rPr>
              <w:t xml:space="preserve">Multidimensionality vs. </w:t>
            </w:r>
            <w:proofErr w:type="spellStart"/>
            <w:r w:rsidRPr="008A721C">
              <w:rPr>
                <w:rFonts w:ascii="Arial" w:hAnsi="Arial" w:cs="Arial"/>
              </w:rPr>
              <w:t>Unidimensionality</w:t>
            </w:r>
            <w:proofErr w:type="spellEnd"/>
          </w:p>
        </w:tc>
        <w:tc>
          <w:tcPr>
            <w:tcW w:w="0" w:type="auto"/>
            <w:vAlign w:val="center"/>
            <w:hideMark/>
          </w:tcPr>
          <w:p w:rsidR="008A721C" w:rsidRPr="008A721C" w:rsidRDefault="008A721C" w:rsidP="008801DC">
            <w:pPr>
              <w:rPr>
                <w:rFonts w:ascii="Arial" w:hAnsi="Arial" w:cs="Arial"/>
              </w:rPr>
            </w:pPr>
            <w:r w:rsidRPr="008A721C">
              <w:rPr>
                <w:rFonts w:ascii="Arial" w:hAnsi="Arial" w:cs="Arial"/>
                <w:b/>
                <w:bCs/>
              </w:rPr>
              <w:t xml:space="preserve">70% Multidimensionality – 30% </w:t>
            </w:r>
            <w:proofErr w:type="spellStart"/>
            <w:r w:rsidRPr="008A721C">
              <w:rPr>
                <w:rFonts w:ascii="Arial" w:hAnsi="Arial" w:cs="Arial"/>
                <w:b/>
                <w:bCs/>
              </w:rPr>
              <w:t>Unidimensionality</w:t>
            </w:r>
            <w:proofErr w:type="spellEnd"/>
          </w:p>
        </w:tc>
      </w:tr>
      <w:tr w:rsidR="008A721C" w:rsidRPr="008A721C" w:rsidTr="008801DC">
        <w:trPr>
          <w:tblCellSpacing w:w="15" w:type="dxa"/>
        </w:trPr>
        <w:tc>
          <w:tcPr>
            <w:tcW w:w="0" w:type="auto"/>
            <w:vAlign w:val="center"/>
            <w:hideMark/>
          </w:tcPr>
          <w:p w:rsidR="008A721C" w:rsidRPr="008A721C" w:rsidRDefault="008A721C" w:rsidP="008801DC">
            <w:pPr>
              <w:rPr>
                <w:rFonts w:ascii="Arial" w:hAnsi="Arial" w:cs="Arial"/>
              </w:rPr>
            </w:pPr>
            <w:r w:rsidRPr="008A721C">
              <w:rPr>
                <w:rFonts w:ascii="Arial" w:hAnsi="Arial" w:cs="Arial"/>
              </w:rPr>
              <w:t>Originality vs. Familiarity</w:t>
            </w:r>
          </w:p>
        </w:tc>
        <w:tc>
          <w:tcPr>
            <w:tcW w:w="0" w:type="auto"/>
            <w:vAlign w:val="center"/>
            <w:hideMark/>
          </w:tcPr>
          <w:p w:rsidR="008A721C" w:rsidRPr="008A721C" w:rsidRDefault="008A721C" w:rsidP="008801DC">
            <w:pPr>
              <w:rPr>
                <w:rFonts w:ascii="Arial" w:hAnsi="Arial" w:cs="Arial"/>
              </w:rPr>
            </w:pPr>
            <w:r w:rsidRPr="008A721C">
              <w:rPr>
                <w:rFonts w:ascii="Arial" w:hAnsi="Arial" w:cs="Arial"/>
                <w:b/>
                <w:bCs/>
              </w:rPr>
              <w:t>20% Originality – 80% Familiarity</w:t>
            </w:r>
          </w:p>
        </w:tc>
      </w:tr>
      <w:tr w:rsidR="008A721C" w:rsidRPr="008A721C" w:rsidTr="008801DC">
        <w:trPr>
          <w:tblCellSpacing w:w="15" w:type="dxa"/>
        </w:trPr>
        <w:tc>
          <w:tcPr>
            <w:tcW w:w="0" w:type="auto"/>
            <w:vAlign w:val="center"/>
            <w:hideMark/>
          </w:tcPr>
          <w:p w:rsidR="008A721C" w:rsidRPr="008A721C" w:rsidRDefault="008A721C" w:rsidP="008801DC">
            <w:pPr>
              <w:rPr>
                <w:rFonts w:ascii="Arial" w:hAnsi="Arial" w:cs="Arial"/>
              </w:rPr>
            </w:pPr>
            <w:r w:rsidRPr="008A721C">
              <w:rPr>
                <w:rFonts w:ascii="Arial" w:hAnsi="Arial" w:cs="Arial"/>
              </w:rPr>
              <w:t>Novelty vs. Redundancy</w:t>
            </w:r>
          </w:p>
        </w:tc>
        <w:tc>
          <w:tcPr>
            <w:tcW w:w="0" w:type="auto"/>
            <w:vAlign w:val="center"/>
            <w:hideMark/>
          </w:tcPr>
          <w:p w:rsidR="008A721C" w:rsidRPr="008A721C" w:rsidRDefault="008A721C" w:rsidP="008801DC">
            <w:pPr>
              <w:rPr>
                <w:rFonts w:ascii="Arial" w:hAnsi="Arial" w:cs="Arial"/>
              </w:rPr>
            </w:pPr>
            <w:r w:rsidRPr="008A721C">
              <w:rPr>
                <w:rFonts w:ascii="Arial" w:hAnsi="Arial" w:cs="Arial"/>
                <w:b/>
                <w:bCs/>
              </w:rPr>
              <w:t>30% Novelty – 70% Redundancy</w:t>
            </w:r>
          </w:p>
        </w:tc>
      </w:tr>
    </w:tbl>
    <w:p w:rsidR="00071223" w:rsidRDefault="00071223" w:rsidP="008A721C">
      <w:pPr>
        <w:rPr>
          <w:rFonts w:ascii="Arial" w:hAnsi="Arial" w:cs="Arial"/>
        </w:rPr>
      </w:pPr>
    </w:p>
    <w:p w:rsidR="008A721C" w:rsidRPr="008A721C" w:rsidRDefault="008A721C" w:rsidP="008A721C">
      <w:pPr>
        <w:rPr>
          <w:rFonts w:ascii="Arial" w:hAnsi="Arial" w:cs="Arial"/>
        </w:rPr>
      </w:pPr>
      <w:r w:rsidRPr="008A721C">
        <w:rPr>
          <w:rFonts w:ascii="Arial" w:hAnsi="Arial" w:cs="Arial"/>
        </w:rPr>
        <w:lastRenderedPageBreak/>
        <w:t>The chart strongly favors abstraction because it uses a statistical representation rather than pictorial elements. It is highly functional, as nearly all graphical elements contribute to communicating the data. The design leans toward lightness, presenting a large amount of information without overwhelming the reader. It is moderately multidimensional, displaying mortality counts, age groups, and temporal changes simultaneously. The visualization is highly familiar, employing a standard stacked area chart that most readers can easily understand. Finally, it contains a degree of redundancy through labels, colors, and ordering that reinforce comprehension.</w:t>
      </w:r>
    </w:p>
    <w:p w:rsidR="008A721C" w:rsidRDefault="008A721C" w:rsidP="008A721C"/>
    <w:p w:rsidR="008A721C" w:rsidRPr="008A721C" w:rsidRDefault="008A721C" w:rsidP="008A721C">
      <w:pPr>
        <w:rPr>
          <w:rFonts w:ascii="Arial" w:hAnsi="Arial" w:cs="Arial"/>
          <w:b/>
          <w:bCs/>
          <w:sz w:val="24"/>
          <w:szCs w:val="24"/>
        </w:rPr>
      </w:pPr>
      <w:r w:rsidRPr="001360DA">
        <w:rPr>
          <w:rFonts w:ascii="Arial" w:hAnsi="Arial" w:cs="Arial"/>
          <w:b/>
          <w:bCs/>
          <w:sz w:val="24"/>
          <w:szCs w:val="24"/>
        </w:rPr>
        <w:t>3</w:t>
      </w:r>
      <w:r w:rsidRPr="008A721C">
        <w:rPr>
          <w:rFonts w:ascii="Arial" w:hAnsi="Arial" w:cs="Arial"/>
          <w:b/>
          <w:bCs/>
          <w:sz w:val="24"/>
          <w:szCs w:val="24"/>
        </w:rPr>
        <w:t>. Main Drawbacks Following Alberto Cairo and Edward Tufte's Principles</w:t>
      </w:r>
    </w:p>
    <w:p w:rsidR="008A721C" w:rsidRPr="008A721C" w:rsidRDefault="008A721C" w:rsidP="008A721C">
      <w:pPr>
        <w:rPr>
          <w:rFonts w:ascii="Arial" w:hAnsi="Arial" w:cs="Arial"/>
        </w:rPr>
      </w:pPr>
      <w:r w:rsidRPr="008A721C">
        <w:rPr>
          <w:rFonts w:ascii="Arial" w:hAnsi="Arial" w:cs="Arial"/>
        </w:rPr>
        <w:t>Although the visualization is effective, several limitations can be identified based on the recommendations of Alberto Cairo and Edward Tufte.</w:t>
      </w:r>
    </w:p>
    <w:p w:rsidR="008A721C" w:rsidRPr="00E208ED" w:rsidRDefault="00071223" w:rsidP="00E208ED">
      <w:pPr>
        <w:pStyle w:val="ListParagraph"/>
        <w:numPr>
          <w:ilvl w:val="0"/>
          <w:numId w:val="2"/>
        </w:numPr>
        <w:rPr>
          <w:rFonts w:ascii="Arial" w:hAnsi="Arial" w:cs="Arial"/>
        </w:rPr>
      </w:pPr>
      <w:r w:rsidRPr="00E208ED">
        <w:rPr>
          <w:rFonts w:ascii="Arial" w:hAnsi="Arial" w:cs="Arial"/>
          <w:b/>
          <w:bCs/>
        </w:rPr>
        <w:t>Difficult disaggregation:</w:t>
      </w:r>
      <w:r w:rsidRPr="00E208ED">
        <w:rPr>
          <w:rFonts w:ascii="Arial" w:hAnsi="Arial" w:cs="Arial"/>
        </w:rPr>
        <w:t xml:space="preserve"> Stacked areas make it nearly impossible to read the </w:t>
      </w:r>
      <w:r w:rsidRPr="00E208ED">
        <w:rPr>
          <w:rFonts w:ascii="Arial" w:hAnsi="Arial" w:cs="Arial"/>
          <w:i/>
          <w:iCs/>
        </w:rPr>
        <w:t>absolute</w:t>
      </w:r>
      <w:r w:rsidRPr="00E208ED">
        <w:rPr>
          <w:rFonts w:ascii="Arial" w:hAnsi="Arial" w:cs="Arial"/>
        </w:rPr>
        <w:t xml:space="preserve"> values of middle layers (50–69 years, 15–49 years) accurately, since their baseline shifts with the layer below. The reader can see</w:t>
      </w:r>
      <w:r w:rsidR="001360DA" w:rsidRPr="00E208ED">
        <w:rPr>
          <w:rFonts w:ascii="Arial" w:hAnsi="Arial" w:cs="Arial"/>
        </w:rPr>
        <w:t xml:space="preserve"> </w:t>
      </w:r>
      <w:r w:rsidR="001360DA" w:rsidRPr="00E208ED">
        <w:rPr>
          <w:rFonts w:ascii="Arial" w:hAnsi="Arial" w:cs="Arial"/>
        </w:rPr>
        <w:t>trends</w:t>
      </w:r>
      <w:r w:rsidR="001360DA" w:rsidRPr="00E208ED">
        <w:rPr>
          <w:rFonts w:ascii="Arial" w:hAnsi="Arial" w:cs="Arial"/>
        </w:rPr>
        <w:t xml:space="preserve"> </w:t>
      </w:r>
      <w:r w:rsidRPr="00E208ED">
        <w:rPr>
          <w:rFonts w:ascii="Arial" w:hAnsi="Arial" w:cs="Arial"/>
        </w:rPr>
        <w:t xml:space="preserve">but not </w:t>
      </w:r>
      <w:r w:rsidRPr="00E208ED">
        <w:rPr>
          <w:rFonts w:ascii="Arial" w:hAnsi="Arial" w:cs="Arial"/>
          <w:i/>
          <w:iCs/>
        </w:rPr>
        <w:t>values</w:t>
      </w:r>
      <w:r w:rsidRPr="00E208ED">
        <w:rPr>
          <w:rFonts w:ascii="Arial" w:hAnsi="Arial" w:cs="Arial"/>
        </w:rPr>
        <w:t>. Cairo would flag this as a trade-off between the "whole picture" and individual accuracy.</w:t>
      </w:r>
    </w:p>
    <w:p w:rsidR="00071223" w:rsidRPr="00E208ED" w:rsidRDefault="00071223" w:rsidP="00E208ED">
      <w:pPr>
        <w:pStyle w:val="ListParagraph"/>
        <w:numPr>
          <w:ilvl w:val="0"/>
          <w:numId w:val="2"/>
        </w:numPr>
        <w:rPr>
          <w:rFonts w:ascii="Arial" w:hAnsi="Arial" w:cs="Arial"/>
        </w:rPr>
      </w:pPr>
      <w:r w:rsidRPr="00E208ED">
        <w:rPr>
          <w:rFonts w:ascii="Arial" w:hAnsi="Arial" w:cs="Arial"/>
          <w:b/>
          <w:bCs/>
        </w:rPr>
        <w:t>Color accessibility:</w:t>
      </w:r>
      <w:r w:rsidRPr="00E208ED">
        <w:rPr>
          <w:rFonts w:ascii="Arial" w:hAnsi="Arial" w:cs="Arial"/>
        </w:rPr>
        <w:t xml:space="preserve"> The palette — a brownish orange, a warm orange-red, a muted green, a muted pink, and a steel blue — does not follow colorblind-safe conventions. The 5–14 and 15–49 bands (pink and green) are particularly hard to distinguish for deuteranopic viewers, violating Cairo's principle of accessibility.</w:t>
      </w:r>
    </w:p>
    <w:p w:rsidR="00071223" w:rsidRPr="00E208ED" w:rsidRDefault="00071223" w:rsidP="00E208ED">
      <w:pPr>
        <w:pStyle w:val="ListParagraph"/>
        <w:numPr>
          <w:ilvl w:val="0"/>
          <w:numId w:val="2"/>
        </w:numPr>
        <w:rPr>
          <w:rFonts w:ascii="Arial" w:hAnsi="Arial" w:cs="Arial"/>
        </w:rPr>
      </w:pPr>
      <w:r w:rsidRPr="00E208ED">
        <w:rPr>
          <w:rFonts w:ascii="Arial" w:hAnsi="Arial" w:cs="Arial"/>
          <w:b/>
          <w:bCs/>
        </w:rPr>
        <w:t>No reference lines or annotations:</w:t>
      </w:r>
      <w:r w:rsidRPr="00E208ED">
        <w:rPr>
          <w:rFonts w:ascii="Arial" w:hAnsi="Arial" w:cs="Arial"/>
        </w:rPr>
        <w:t xml:space="preserve"> The chart misses opportunities to mark key events that would transform a trend chart into an </w:t>
      </w:r>
      <w:r w:rsidRPr="00E208ED">
        <w:rPr>
          <w:rFonts w:ascii="Arial" w:hAnsi="Arial" w:cs="Arial"/>
          <w:i/>
          <w:iCs/>
        </w:rPr>
        <w:t>insight</w:t>
      </w:r>
      <w:r w:rsidRPr="00E208ED">
        <w:rPr>
          <w:rFonts w:ascii="Arial" w:hAnsi="Arial" w:cs="Arial"/>
        </w:rPr>
        <w:t xml:space="preserve"> chart, which Cairo would consider a missed step toward enlightenment.</w:t>
      </w:r>
    </w:p>
    <w:p w:rsidR="001360DA" w:rsidRPr="00E208ED" w:rsidRDefault="001360DA" w:rsidP="00E208ED">
      <w:pPr>
        <w:pStyle w:val="ListParagraph"/>
        <w:numPr>
          <w:ilvl w:val="0"/>
          <w:numId w:val="2"/>
        </w:numPr>
        <w:rPr>
          <w:rFonts w:ascii="Arial" w:hAnsi="Arial" w:cs="Arial"/>
          <w:b/>
          <w:bCs/>
        </w:rPr>
      </w:pPr>
      <w:r w:rsidRPr="00E208ED">
        <w:rPr>
          <w:rFonts w:ascii="Arial" w:hAnsi="Arial" w:cs="Arial"/>
          <w:b/>
          <w:bCs/>
        </w:rPr>
        <w:t>Limited Exploration</w:t>
      </w:r>
      <w:r w:rsidRPr="00E208ED">
        <w:rPr>
          <w:rFonts w:ascii="Arial" w:hAnsi="Arial" w:cs="Arial"/>
          <w:b/>
          <w:bCs/>
        </w:rPr>
        <w:t xml:space="preserve">: </w:t>
      </w:r>
      <w:r w:rsidRPr="00E208ED">
        <w:rPr>
          <w:rFonts w:ascii="Arial" w:hAnsi="Arial" w:cs="Arial"/>
        </w:rPr>
        <w:t>The visualization is primarily explanatory rather than exploratory. Users can identify the main message—the decline in diarrheal disease deaths—but have limited opportunities to investigate detailed patterns or relationships.</w:t>
      </w:r>
      <w:r w:rsidRPr="00E208ED">
        <w:rPr>
          <w:rFonts w:ascii="Arial" w:hAnsi="Arial" w:cs="Arial"/>
        </w:rPr>
        <w:t xml:space="preserve"> </w:t>
      </w:r>
      <w:bookmarkStart w:id="0" w:name="_Hlk232086183"/>
      <w:r w:rsidRPr="00E208ED">
        <w:rPr>
          <w:rFonts w:ascii="Arial" w:hAnsi="Arial" w:cs="Arial"/>
        </w:rPr>
        <w:t>trends</w:t>
      </w:r>
      <w:bookmarkEnd w:id="0"/>
    </w:p>
    <w:p w:rsidR="001360DA" w:rsidRPr="001360DA" w:rsidRDefault="001360DA" w:rsidP="001360DA">
      <w:pPr>
        <w:rPr>
          <w:rFonts w:ascii="Arial" w:hAnsi="Arial" w:cs="Arial"/>
        </w:rPr>
      </w:pPr>
      <w:r w:rsidRPr="001360DA">
        <w:rPr>
          <w:rFonts w:ascii="Arial" w:hAnsi="Arial" w:cs="Arial"/>
          <w:b/>
          <w:bCs/>
        </w:rPr>
        <w:t>Edward Tufte</w:t>
      </w:r>
      <w:r w:rsidRPr="001360DA">
        <w:rPr>
          <w:rFonts w:ascii="Arial" w:hAnsi="Arial" w:cs="Arial"/>
        </w:rPr>
        <w:t xml:space="preserve"> would focus on data-ink ratio and graphical integrity:</w:t>
      </w:r>
    </w:p>
    <w:p w:rsidR="001360DA" w:rsidRPr="001360DA" w:rsidRDefault="001360DA" w:rsidP="001360DA">
      <w:pPr>
        <w:numPr>
          <w:ilvl w:val="0"/>
          <w:numId w:val="1"/>
        </w:numPr>
        <w:rPr>
          <w:rFonts w:ascii="Arial" w:hAnsi="Arial" w:cs="Arial"/>
        </w:rPr>
      </w:pPr>
      <w:r w:rsidRPr="001360DA">
        <w:rPr>
          <w:rFonts w:ascii="Arial" w:hAnsi="Arial" w:cs="Arial"/>
          <w:b/>
          <w:bCs/>
        </w:rPr>
        <w:t>The stacked form inflates visual complexity:</w:t>
      </w:r>
      <w:r w:rsidRPr="001360DA">
        <w:rPr>
          <w:rFonts w:ascii="Arial" w:hAnsi="Arial" w:cs="Arial"/>
        </w:rPr>
        <w:t xml:space="preserve"> Tufte generally prefers small multiples over stacking, because each area's shape is distorted by the layers beneath it. A panel-per-age-group would preserve each individual trend more honestly.</w:t>
      </w:r>
    </w:p>
    <w:p w:rsidR="001360DA" w:rsidRPr="001360DA" w:rsidRDefault="001360DA" w:rsidP="001360DA">
      <w:pPr>
        <w:numPr>
          <w:ilvl w:val="0"/>
          <w:numId w:val="1"/>
        </w:numPr>
        <w:rPr>
          <w:rFonts w:ascii="Arial" w:hAnsi="Arial" w:cs="Arial"/>
        </w:rPr>
      </w:pPr>
      <w:r w:rsidRPr="001360DA">
        <w:rPr>
          <w:rFonts w:ascii="Arial" w:hAnsi="Arial" w:cs="Arial"/>
          <w:b/>
          <w:bCs/>
        </w:rPr>
        <w:t>Lie factor / perceptual distortion:</w:t>
      </w:r>
      <w:r w:rsidRPr="001360DA">
        <w:rPr>
          <w:rFonts w:ascii="Arial" w:hAnsi="Arial" w:cs="Arial"/>
        </w:rPr>
        <w:t xml:space="preserve"> The area of the under-5 band visually dominates (it is the bottom, widest band with a stable baseline), which correctly reflects the data. But the upper bands appear to show almost no change because their </w:t>
      </w:r>
      <w:r w:rsidRPr="001360DA">
        <w:rPr>
          <w:rFonts w:ascii="Arial" w:hAnsi="Arial" w:cs="Arial"/>
          <w:i/>
          <w:iCs/>
        </w:rPr>
        <w:t>relative</w:t>
      </w:r>
      <w:r w:rsidRPr="001360DA">
        <w:rPr>
          <w:rFonts w:ascii="Arial" w:hAnsi="Arial" w:cs="Arial"/>
        </w:rPr>
        <w:t xml:space="preserve"> share of a shrinking total remains roughly constant. This can mislead a reader into thinking, say, deaths among 50–69-year-olds barely changed, when in absolute terms they also fell substantially before 2010.</w:t>
      </w:r>
    </w:p>
    <w:p w:rsidR="001360DA" w:rsidRPr="001360DA" w:rsidRDefault="001360DA" w:rsidP="001360DA">
      <w:pPr>
        <w:numPr>
          <w:ilvl w:val="0"/>
          <w:numId w:val="1"/>
        </w:numPr>
        <w:rPr>
          <w:rFonts w:ascii="Arial" w:hAnsi="Arial" w:cs="Arial"/>
        </w:rPr>
      </w:pPr>
      <w:r w:rsidRPr="001360DA">
        <w:rPr>
          <w:rFonts w:ascii="Arial" w:hAnsi="Arial" w:cs="Arial"/>
          <w:b/>
          <w:bCs/>
        </w:rPr>
        <w:t>Good data-ink ratio overall:</w:t>
      </w:r>
      <w:r w:rsidRPr="001360DA">
        <w:rPr>
          <w:rFonts w:ascii="Arial" w:hAnsi="Arial" w:cs="Arial"/>
        </w:rPr>
        <w:t xml:space="preserve"> Tufte would approve of the absence of gridline clutter, the use of dashed horizontal guides at meaningful values, and the clean typography.</w:t>
      </w:r>
    </w:p>
    <w:p w:rsidR="001360DA" w:rsidRPr="001360DA" w:rsidRDefault="001360DA" w:rsidP="001360DA">
      <w:pPr>
        <w:numPr>
          <w:ilvl w:val="0"/>
          <w:numId w:val="1"/>
        </w:numPr>
        <w:rPr>
          <w:rFonts w:ascii="Arial" w:hAnsi="Arial" w:cs="Arial"/>
        </w:rPr>
      </w:pPr>
      <w:r w:rsidRPr="001360DA">
        <w:rPr>
          <w:rFonts w:ascii="Arial" w:hAnsi="Arial" w:cs="Arial"/>
          <w:b/>
          <w:bCs/>
        </w:rPr>
        <w:t>Redundant legend:</w:t>
      </w:r>
      <w:r w:rsidRPr="001360DA">
        <w:rPr>
          <w:rFonts w:ascii="Arial" w:hAnsi="Arial" w:cs="Arial"/>
        </w:rPr>
        <w:t xml:space="preserve"> The legend sits outside the chart area rather than directly labeling the bands. Tufte strongly prefers direct labeling inside the chart, which would eliminate the eye-travel between legend and bands.</w:t>
      </w:r>
    </w:p>
    <w:p w:rsidR="00071223" w:rsidRDefault="00071223" w:rsidP="008A721C"/>
    <w:p w:rsidR="00E208ED" w:rsidRPr="00E208ED" w:rsidRDefault="00E208ED" w:rsidP="00E208ED">
      <w:pPr>
        <w:rPr>
          <w:rFonts w:ascii="Arial" w:hAnsi="Arial" w:cs="Arial"/>
          <w:b/>
          <w:bCs/>
          <w:sz w:val="24"/>
          <w:szCs w:val="24"/>
        </w:rPr>
      </w:pPr>
      <w:r w:rsidRPr="007E0BEB">
        <w:rPr>
          <w:rFonts w:ascii="Arial" w:hAnsi="Arial" w:cs="Arial"/>
          <w:b/>
          <w:bCs/>
          <w:sz w:val="24"/>
          <w:szCs w:val="24"/>
        </w:rPr>
        <w:t>4</w:t>
      </w:r>
      <w:r w:rsidRPr="00E208ED">
        <w:rPr>
          <w:rFonts w:ascii="Arial" w:hAnsi="Arial" w:cs="Arial"/>
          <w:b/>
          <w:bCs/>
          <w:sz w:val="24"/>
          <w:szCs w:val="24"/>
        </w:rPr>
        <w:t>. Graphical Variables Used and Their Suitability</w:t>
      </w:r>
    </w:p>
    <w:p w:rsidR="00E208ED" w:rsidRPr="00E208ED" w:rsidRDefault="00E208ED" w:rsidP="00E208ED">
      <w:pPr>
        <w:rPr>
          <w:rFonts w:ascii="Arial" w:hAnsi="Arial" w:cs="Arial"/>
        </w:rPr>
      </w:pPr>
      <w:r w:rsidRPr="00E208ED">
        <w:rPr>
          <w:rFonts w:ascii="Arial" w:hAnsi="Arial" w:cs="Arial"/>
        </w:rPr>
        <w:t xml:space="preserve">According to </w:t>
      </w:r>
      <w:proofErr w:type="spellStart"/>
      <w:r w:rsidRPr="00E208ED">
        <w:rPr>
          <w:rFonts w:ascii="Arial" w:hAnsi="Arial" w:cs="Arial"/>
        </w:rPr>
        <w:t>Bertin's</w:t>
      </w:r>
      <w:proofErr w:type="spellEnd"/>
      <w:r w:rsidRPr="00E208ED">
        <w:rPr>
          <w:rFonts w:ascii="Arial" w:hAnsi="Arial" w:cs="Arial"/>
        </w:rPr>
        <w:t xml:space="preserve"> graphical variables, the visualization employs several visual encoding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2411"/>
        <w:gridCol w:w="4709"/>
      </w:tblGrid>
      <w:tr w:rsidR="00F9470A" w:rsidRPr="00E208ED" w:rsidTr="00E208ED">
        <w:trPr>
          <w:tblHeader/>
          <w:tblCellSpacing w:w="15" w:type="dxa"/>
        </w:trPr>
        <w:tc>
          <w:tcPr>
            <w:tcW w:w="0" w:type="auto"/>
            <w:vAlign w:val="center"/>
            <w:hideMark/>
          </w:tcPr>
          <w:p w:rsidR="00E208ED" w:rsidRPr="00E208ED" w:rsidRDefault="00E208ED" w:rsidP="00E208ED">
            <w:pPr>
              <w:rPr>
                <w:rFonts w:ascii="Arial" w:hAnsi="Arial" w:cs="Arial"/>
                <w:b/>
                <w:bCs/>
              </w:rPr>
            </w:pPr>
            <w:r w:rsidRPr="00E208ED">
              <w:rPr>
                <w:rFonts w:ascii="Arial" w:hAnsi="Arial" w:cs="Arial"/>
                <w:b/>
                <w:bCs/>
              </w:rPr>
              <w:t>Graphical Variable</w:t>
            </w:r>
          </w:p>
        </w:tc>
        <w:tc>
          <w:tcPr>
            <w:tcW w:w="0" w:type="auto"/>
            <w:vAlign w:val="center"/>
            <w:hideMark/>
          </w:tcPr>
          <w:p w:rsidR="00E208ED" w:rsidRPr="00E208ED" w:rsidRDefault="00E208ED" w:rsidP="00E208ED">
            <w:pPr>
              <w:rPr>
                <w:rFonts w:ascii="Arial" w:hAnsi="Arial" w:cs="Arial"/>
                <w:b/>
                <w:bCs/>
              </w:rPr>
            </w:pPr>
            <w:r w:rsidRPr="00E208ED">
              <w:rPr>
                <w:rFonts w:ascii="Arial" w:hAnsi="Arial" w:cs="Arial"/>
                <w:b/>
                <w:bCs/>
              </w:rPr>
              <w:t>Usage</w:t>
            </w:r>
          </w:p>
        </w:tc>
        <w:tc>
          <w:tcPr>
            <w:tcW w:w="0" w:type="auto"/>
            <w:vAlign w:val="center"/>
            <w:hideMark/>
          </w:tcPr>
          <w:p w:rsidR="00E208ED" w:rsidRPr="00E208ED" w:rsidRDefault="00E208ED" w:rsidP="00E208ED">
            <w:pPr>
              <w:rPr>
                <w:rFonts w:ascii="Arial" w:hAnsi="Arial" w:cs="Arial"/>
                <w:b/>
                <w:bCs/>
              </w:rPr>
            </w:pPr>
            <w:r w:rsidRPr="00E208ED">
              <w:rPr>
                <w:rFonts w:ascii="Arial" w:hAnsi="Arial" w:cs="Arial"/>
                <w:b/>
                <w:bCs/>
              </w:rPr>
              <w:t>Suitability</w:t>
            </w:r>
          </w:p>
        </w:tc>
      </w:tr>
      <w:tr w:rsidR="00F9470A" w:rsidRPr="00E208ED" w:rsidTr="00E208ED">
        <w:trPr>
          <w:tblCellSpacing w:w="15" w:type="dxa"/>
        </w:trPr>
        <w:tc>
          <w:tcPr>
            <w:tcW w:w="0" w:type="auto"/>
            <w:vAlign w:val="center"/>
            <w:hideMark/>
          </w:tcPr>
          <w:p w:rsidR="00E208ED" w:rsidRPr="00E208ED" w:rsidRDefault="00E208ED" w:rsidP="00E208ED">
            <w:pPr>
              <w:rPr>
                <w:rFonts w:ascii="Arial" w:hAnsi="Arial" w:cs="Arial"/>
              </w:rPr>
            </w:pPr>
            <w:r w:rsidRPr="00E208ED">
              <w:rPr>
                <w:rFonts w:ascii="Arial" w:hAnsi="Arial" w:cs="Arial"/>
              </w:rPr>
              <w:t>Position (X-axis)</w:t>
            </w:r>
          </w:p>
        </w:tc>
        <w:tc>
          <w:tcPr>
            <w:tcW w:w="0" w:type="auto"/>
            <w:vAlign w:val="center"/>
            <w:hideMark/>
          </w:tcPr>
          <w:p w:rsidR="00E208ED" w:rsidRPr="00E208ED" w:rsidRDefault="00E208ED" w:rsidP="00E208ED">
            <w:pPr>
              <w:rPr>
                <w:rFonts w:ascii="Arial" w:hAnsi="Arial" w:cs="Arial"/>
              </w:rPr>
            </w:pPr>
            <w:r w:rsidRPr="00E208ED">
              <w:rPr>
                <w:rFonts w:ascii="Arial" w:hAnsi="Arial" w:cs="Arial"/>
              </w:rPr>
              <w:t>Represents years from 1980 to 2023</w:t>
            </w:r>
          </w:p>
        </w:tc>
        <w:tc>
          <w:tcPr>
            <w:tcW w:w="0" w:type="auto"/>
            <w:vAlign w:val="center"/>
            <w:hideMark/>
          </w:tcPr>
          <w:p w:rsidR="00E208ED" w:rsidRPr="00E208ED" w:rsidRDefault="00E208ED" w:rsidP="00E208ED">
            <w:pPr>
              <w:rPr>
                <w:rFonts w:ascii="Arial" w:hAnsi="Arial" w:cs="Arial"/>
              </w:rPr>
            </w:pPr>
            <w:r w:rsidRPr="00E208ED">
              <w:rPr>
                <w:rFonts w:ascii="Arial" w:hAnsi="Arial" w:cs="Arial"/>
              </w:rPr>
              <w:t>Highly suitable because time series are best represented spatially along a horizontal axis.</w:t>
            </w:r>
          </w:p>
        </w:tc>
      </w:tr>
      <w:tr w:rsidR="00F9470A" w:rsidRPr="00E208ED" w:rsidTr="00E208ED">
        <w:trPr>
          <w:tblCellSpacing w:w="15" w:type="dxa"/>
        </w:trPr>
        <w:tc>
          <w:tcPr>
            <w:tcW w:w="0" w:type="auto"/>
            <w:vAlign w:val="center"/>
            <w:hideMark/>
          </w:tcPr>
          <w:p w:rsidR="00E208ED" w:rsidRPr="00E208ED" w:rsidRDefault="00E208ED" w:rsidP="00E208ED">
            <w:pPr>
              <w:rPr>
                <w:rFonts w:ascii="Arial" w:hAnsi="Arial" w:cs="Arial"/>
              </w:rPr>
            </w:pPr>
            <w:r w:rsidRPr="00E208ED">
              <w:rPr>
                <w:rFonts w:ascii="Arial" w:hAnsi="Arial" w:cs="Arial"/>
              </w:rPr>
              <w:t>Position (Y-axis)</w:t>
            </w:r>
          </w:p>
        </w:tc>
        <w:tc>
          <w:tcPr>
            <w:tcW w:w="0" w:type="auto"/>
            <w:vAlign w:val="center"/>
            <w:hideMark/>
          </w:tcPr>
          <w:p w:rsidR="00E208ED" w:rsidRPr="00E208ED" w:rsidRDefault="00E208ED" w:rsidP="00E208ED">
            <w:pPr>
              <w:rPr>
                <w:rFonts w:ascii="Arial" w:hAnsi="Arial" w:cs="Arial"/>
              </w:rPr>
            </w:pPr>
            <w:r w:rsidRPr="00E208ED">
              <w:rPr>
                <w:rFonts w:ascii="Arial" w:hAnsi="Arial" w:cs="Arial"/>
              </w:rPr>
              <w:t>Represents annual number of deaths</w:t>
            </w:r>
          </w:p>
        </w:tc>
        <w:tc>
          <w:tcPr>
            <w:tcW w:w="0" w:type="auto"/>
            <w:vAlign w:val="center"/>
            <w:hideMark/>
          </w:tcPr>
          <w:p w:rsidR="00E208ED" w:rsidRPr="00E208ED" w:rsidRDefault="00E208ED" w:rsidP="00E208ED">
            <w:pPr>
              <w:rPr>
                <w:rFonts w:ascii="Arial" w:hAnsi="Arial" w:cs="Arial"/>
              </w:rPr>
            </w:pPr>
            <w:r w:rsidRPr="00E208ED">
              <w:rPr>
                <w:rFonts w:ascii="Arial" w:hAnsi="Arial" w:cs="Arial"/>
              </w:rPr>
              <w:t xml:space="preserve">Highly suitable because </w:t>
            </w:r>
            <w:bookmarkStart w:id="1" w:name="_GoBack"/>
            <w:bookmarkEnd w:id="1"/>
            <w:r w:rsidRPr="00E208ED">
              <w:rPr>
                <w:rFonts w:ascii="Arial" w:hAnsi="Arial" w:cs="Arial"/>
              </w:rPr>
              <w:t>position is one of the most accurate visual channels for quantitative data.</w:t>
            </w:r>
          </w:p>
        </w:tc>
      </w:tr>
      <w:tr w:rsidR="00F9470A" w:rsidRPr="00E208ED" w:rsidTr="00E208ED">
        <w:trPr>
          <w:tblCellSpacing w:w="15" w:type="dxa"/>
        </w:trPr>
        <w:tc>
          <w:tcPr>
            <w:tcW w:w="0" w:type="auto"/>
            <w:vAlign w:val="center"/>
            <w:hideMark/>
          </w:tcPr>
          <w:p w:rsidR="00F9470A" w:rsidRPr="00E208ED" w:rsidRDefault="00F9470A" w:rsidP="00E208ED">
            <w:pPr>
              <w:rPr>
                <w:rFonts w:ascii="Arial" w:hAnsi="Arial" w:cs="Arial"/>
              </w:rPr>
            </w:pPr>
            <w:r>
              <w:rPr>
                <w:rFonts w:ascii="Arial" w:hAnsi="Arial" w:cs="Arial"/>
              </w:rPr>
              <w:t>Color(Value/lightness)</w:t>
            </w:r>
          </w:p>
        </w:tc>
        <w:tc>
          <w:tcPr>
            <w:tcW w:w="0" w:type="auto"/>
            <w:vAlign w:val="center"/>
            <w:hideMark/>
          </w:tcPr>
          <w:p w:rsidR="00E208ED" w:rsidRPr="00E208ED" w:rsidRDefault="00F9470A" w:rsidP="00E208ED">
            <w:pPr>
              <w:rPr>
                <w:rFonts w:ascii="Arial" w:hAnsi="Arial" w:cs="Arial"/>
              </w:rPr>
            </w:pPr>
            <w:r w:rsidRPr="00F9470A">
              <w:rPr>
                <w:rFonts w:ascii="Arial" w:hAnsi="Arial" w:cs="Arial"/>
              </w:rPr>
              <w:t>Not used systematically</w:t>
            </w:r>
          </w:p>
        </w:tc>
        <w:tc>
          <w:tcPr>
            <w:tcW w:w="0" w:type="auto"/>
            <w:vAlign w:val="center"/>
            <w:hideMark/>
          </w:tcPr>
          <w:p w:rsidR="00E208ED" w:rsidRPr="00E208ED" w:rsidRDefault="00F9470A" w:rsidP="00E208ED">
            <w:pPr>
              <w:rPr>
                <w:rFonts w:ascii="Arial" w:hAnsi="Arial" w:cs="Arial"/>
              </w:rPr>
            </w:pPr>
            <w:r w:rsidRPr="00F9470A">
              <w:rPr>
                <w:rFonts w:ascii="Arial" w:hAnsi="Arial" w:cs="Arial"/>
              </w:rPr>
              <w:t>The warm-to-cool ordering of hues implies a vague age sequence (blue = youngest, orange = oldest), which is intuitive but not explicit</w:t>
            </w:r>
          </w:p>
        </w:tc>
      </w:tr>
      <w:tr w:rsidR="00F9470A" w:rsidRPr="00E208ED" w:rsidTr="00E208ED">
        <w:trPr>
          <w:tblCellSpacing w:w="15" w:type="dxa"/>
        </w:trPr>
        <w:tc>
          <w:tcPr>
            <w:tcW w:w="0" w:type="auto"/>
            <w:vAlign w:val="center"/>
            <w:hideMark/>
          </w:tcPr>
          <w:p w:rsidR="00E208ED" w:rsidRPr="00E208ED" w:rsidRDefault="00E208ED" w:rsidP="00E208ED">
            <w:pPr>
              <w:rPr>
                <w:rFonts w:ascii="Arial" w:hAnsi="Arial" w:cs="Arial"/>
              </w:rPr>
            </w:pPr>
            <w:r w:rsidRPr="00E208ED">
              <w:rPr>
                <w:rFonts w:ascii="Arial" w:hAnsi="Arial" w:cs="Arial"/>
              </w:rPr>
              <w:t>Color Hue</w:t>
            </w:r>
          </w:p>
        </w:tc>
        <w:tc>
          <w:tcPr>
            <w:tcW w:w="0" w:type="auto"/>
            <w:vAlign w:val="center"/>
            <w:hideMark/>
          </w:tcPr>
          <w:p w:rsidR="00E208ED" w:rsidRPr="00E208ED" w:rsidRDefault="00E208ED" w:rsidP="00E208ED">
            <w:pPr>
              <w:rPr>
                <w:rFonts w:ascii="Arial" w:hAnsi="Arial" w:cs="Arial"/>
              </w:rPr>
            </w:pPr>
            <w:r w:rsidRPr="00E208ED">
              <w:rPr>
                <w:rFonts w:ascii="Arial" w:hAnsi="Arial" w:cs="Arial"/>
              </w:rPr>
              <w:t>Differentiates age groups</w:t>
            </w:r>
          </w:p>
        </w:tc>
        <w:tc>
          <w:tcPr>
            <w:tcW w:w="0" w:type="auto"/>
            <w:vAlign w:val="center"/>
            <w:hideMark/>
          </w:tcPr>
          <w:p w:rsidR="00E208ED" w:rsidRPr="00E208ED" w:rsidRDefault="00E208ED" w:rsidP="00E208ED">
            <w:pPr>
              <w:rPr>
                <w:rFonts w:ascii="Arial" w:hAnsi="Arial" w:cs="Arial"/>
              </w:rPr>
            </w:pPr>
            <w:r w:rsidRPr="00E208ED">
              <w:rPr>
                <w:rFonts w:ascii="Arial" w:hAnsi="Arial" w:cs="Arial"/>
              </w:rPr>
              <w:t>Suitable because distinct colors help identify categories</w:t>
            </w:r>
            <w:r w:rsidR="007E0BEB" w:rsidRPr="007E0BEB">
              <w:rPr>
                <w:rFonts w:ascii="Arial" w:hAnsi="Arial" w:cs="Arial"/>
              </w:rPr>
              <w:t>.</w:t>
            </w:r>
          </w:p>
        </w:tc>
      </w:tr>
      <w:tr w:rsidR="00F9470A" w:rsidRPr="00E208ED" w:rsidTr="00E208ED">
        <w:trPr>
          <w:tblCellSpacing w:w="15" w:type="dxa"/>
        </w:trPr>
        <w:tc>
          <w:tcPr>
            <w:tcW w:w="0" w:type="auto"/>
            <w:vAlign w:val="center"/>
            <w:hideMark/>
          </w:tcPr>
          <w:p w:rsidR="00E208ED" w:rsidRPr="00E208ED" w:rsidRDefault="00E208ED" w:rsidP="00E208ED">
            <w:pPr>
              <w:rPr>
                <w:rFonts w:ascii="Arial" w:hAnsi="Arial" w:cs="Arial"/>
              </w:rPr>
            </w:pPr>
            <w:r w:rsidRPr="00E208ED">
              <w:rPr>
                <w:rFonts w:ascii="Arial" w:hAnsi="Arial" w:cs="Arial"/>
              </w:rPr>
              <w:t>Length/Height</w:t>
            </w:r>
          </w:p>
        </w:tc>
        <w:tc>
          <w:tcPr>
            <w:tcW w:w="0" w:type="auto"/>
            <w:vAlign w:val="center"/>
            <w:hideMark/>
          </w:tcPr>
          <w:p w:rsidR="00E208ED" w:rsidRPr="00E208ED" w:rsidRDefault="00E208ED" w:rsidP="00E208ED">
            <w:pPr>
              <w:rPr>
                <w:rFonts w:ascii="Arial" w:hAnsi="Arial" w:cs="Arial"/>
              </w:rPr>
            </w:pPr>
            <w:r w:rsidRPr="00E208ED">
              <w:rPr>
                <w:rFonts w:ascii="Arial" w:hAnsi="Arial" w:cs="Arial"/>
              </w:rPr>
              <w:t>Indicates changes in mortality levels over time</w:t>
            </w:r>
          </w:p>
        </w:tc>
        <w:tc>
          <w:tcPr>
            <w:tcW w:w="0" w:type="auto"/>
            <w:vAlign w:val="center"/>
            <w:hideMark/>
          </w:tcPr>
          <w:p w:rsidR="00E208ED" w:rsidRPr="00E208ED" w:rsidRDefault="00E208ED" w:rsidP="00E208ED">
            <w:pPr>
              <w:rPr>
                <w:rFonts w:ascii="Arial" w:hAnsi="Arial" w:cs="Arial"/>
              </w:rPr>
            </w:pPr>
            <w:r w:rsidRPr="00E208ED">
              <w:rPr>
                <w:rFonts w:ascii="Arial" w:hAnsi="Arial" w:cs="Arial"/>
              </w:rPr>
              <w:t>Suitable and easy to perceive for the bottom layer.</w:t>
            </w:r>
          </w:p>
        </w:tc>
      </w:tr>
      <w:tr w:rsidR="00F9470A" w:rsidRPr="00E208ED" w:rsidTr="00E208ED">
        <w:trPr>
          <w:tblCellSpacing w:w="15" w:type="dxa"/>
        </w:trPr>
        <w:tc>
          <w:tcPr>
            <w:tcW w:w="0" w:type="auto"/>
            <w:vAlign w:val="center"/>
            <w:hideMark/>
          </w:tcPr>
          <w:p w:rsidR="00E208ED" w:rsidRPr="00E208ED" w:rsidRDefault="00E208ED" w:rsidP="00E208ED">
            <w:pPr>
              <w:rPr>
                <w:rFonts w:ascii="Arial" w:hAnsi="Arial" w:cs="Arial"/>
              </w:rPr>
            </w:pPr>
            <w:r w:rsidRPr="00E208ED">
              <w:rPr>
                <w:rFonts w:ascii="Arial" w:hAnsi="Arial" w:cs="Arial"/>
              </w:rPr>
              <w:t>Ordering</w:t>
            </w:r>
          </w:p>
        </w:tc>
        <w:tc>
          <w:tcPr>
            <w:tcW w:w="0" w:type="auto"/>
            <w:vAlign w:val="center"/>
            <w:hideMark/>
          </w:tcPr>
          <w:p w:rsidR="00E208ED" w:rsidRPr="00E208ED" w:rsidRDefault="00E208ED" w:rsidP="00E208ED">
            <w:pPr>
              <w:rPr>
                <w:rFonts w:ascii="Arial" w:hAnsi="Arial" w:cs="Arial"/>
              </w:rPr>
            </w:pPr>
            <w:r w:rsidRPr="00E208ED">
              <w:rPr>
                <w:rFonts w:ascii="Arial" w:hAnsi="Arial" w:cs="Arial"/>
              </w:rPr>
              <w:t>Age groups are stacked consistently across time</w:t>
            </w:r>
          </w:p>
        </w:tc>
        <w:tc>
          <w:tcPr>
            <w:tcW w:w="0" w:type="auto"/>
            <w:vAlign w:val="center"/>
            <w:hideMark/>
          </w:tcPr>
          <w:p w:rsidR="00E208ED" w:rsidRPr="00E208ED" w:rsidRDefault="00E208ED" w:rsidP="00E208ED">
            <w:pPr>
              <w:rPr>
                <w:rFonts w:ascii="Arial" w:hAnsi="Arial" w:cs="Arial"/>
              </w:rPr>
            </w:pPr>
            <w:r w:rsidRPr="00E208ED">
              <w:rPr>
                <w:rFonts w:ascii="Arial" w:hAnsi="Arial" w:cs="Arial"/>
              </w:rPr>
              <w:t>Suitable because it supports pattern recognition and trend tracking.</w:t>
            </w:r>
          </w:p>
        </w:tc>
      </w:tr>
    </w:tbl>
    <w:p w:rsidR="00E208ED" w:rsidRPr="00E208ED" w:rsidRDefault="00E208ED" w:rsidP="00E208ED">
      <w:pPr>
        <w:rPr>
          <w:rFonts w:ascii="Arial" w:hAnsi="Arial" w:cs="Arial"/>
          <w:b/>
          <w:bCs/>
          <w:sz w:val="24"/>
          <w:szCs w:val="24"/>
        </w:rPr>
      </w:pPr>
      <w:r w:rsidRPr="00E208ED">
        <w:rPr>
          <w:rFonts w:ascii="Arial" w:hAnsi="Arial" w:cs="Arial"/>
          <w:b/>
          <w:bCs/>
          <w:sz w:val="24"/>
          <w:szCs w:val="24"/>
        </w:rPr>
        <w:t>Overall Evaluation of Graphical Variables</w:t>
      </w:r>
    </w:p>
    <w:p w:rsidR="00E208ED" w:rsidRPr="00E208ED" w:rsidRDefault="00E208ED" w:rsidP="00E208ED">
      <w:pPr>
        <w:rPr>
          <w:rFonts w:ascii="Arial" w:hAnsi="Arial" w:cs="Arial"/>
        </w:rPr>
      </w:pPr>
      <w:r w:rsidRPr="00E208ED">
        <w:rPr>
          <w:rFonts w:ascii="Arial" w:hAnsi="Arial" w:cs="Arial"/>
        </w:rPr>
        <w:t>The most effective graphical variables used are position and color, which clearly communicate trends and categorical distinctions. The use of area is appropriate for showing contributions to the total number of deaths but is less effective for precise comparisons among age groups. Consequently, while the stacked area chart successfully communicates the overall decline in diarrheal disease mortality, a grouped line chart or multiple small-multiple charts could improve detailed comparisons between age groups.</w:t>
      </w:r>
    </w:p>
    <w:p w:rsidR="008A721C" w:rsidRPr="008A721C" w:rsidRDefault="008A721C" w:rsidP="008A721C"/>
    <w:sectPr w:rsidR="008A721C" w:rsidRPr="008A72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43AC" w:rsidRDefault="001643AC" w:rsidP="008A721C">
      <w:pPr>
        <w:spacing w:after="0" w:line="240" w:lineRule="auto"/>
      </w:pPr>
      <w:r>
        <w:separator/>
      </w:r>
    </w:p>
  </w:endnote>
  <w:endnote w:type="continuationSeparator" w:id="0">
    <w:p w:rsidR="001643AC" w:rsidRDefault="001643AC" w:rsidP="008A7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43AC" w:rsidRDefault="001643AC" w:rsidP="008A721C">
      <w:pPr>
        <w:spacing w:after="0" w:line="240" w:lineRule="auto"/>
      </w:pPr>
      <w:r>
        <w:separator/>
      </w:r>
    </w:p>
  </w:footnote>
  <w:footnote w:type="continuationSeparator" w:id="0">
    <w:p w:rsidR="001643AC" w:rsidRDefault="001643AC" w:rsidP="008A72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2C3C73"/>
    <w:multiLevelType w:val="multilevel"/>
    <w:tmpl w:val="A05C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F004DB"/>
    <w:multiLevelType w:val="hybridMultilevel"/>
    <w:tmpl w:val="C94A9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E7C"/>
    <w:rsid w:val="00071223"/>
    <w:rsid w:val="000C1968"/>
    <w:rsid w:val="001360DA"/>
    <w:rsid w:val="001643AC"/>
    <w:rsid w:val="004A01AA"/>
    <w:rsid w:val="007E0BEB"/>
    <w:rsid w:val="008A721C"/>
    <w:rsid w:val="008F6B7B"/>
    <w:rsid w:val="00C75859"/>
    <w:rsid w:val="00E208ED"/>
    <w:rsid w:val="00E63E7C"/>
    <w:rsid w:val="00F94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A959"/>
  <w15:chartTrackingRefBased/>
  <w15:docId w15:val="{60C1CE81-1BDF-4CCE-9FDB-DC8D61D1F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208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360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2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21C"/>
  </w:style>
  <w:style w:type="paragraph" w:styleId="Footer">
    <w:name w:val="footer"/>
    <w:basedOn w:val="Normal"/>
    <w:link w:val="FooterChar"/>
    <w:uiPriority w:val="99"/>
    <w:unhideWhenUsed/>
    <w:rsid w:val="008A72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21C"/>
  </w:style>
  <w:style w:type="character" w:customStyle="1" w:styleId="Heading3Char">
    <w:name w:val="Heading 3 Char"/>
    <w:basedOn w:val="DefaultParagraphFont"/>
    <w:link w:val="Heading3"/>
    <w:uiPriority w:val="9"/>
    <w:rsid w:val="001360D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360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E208E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208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1525369">
      <w:bodyDiv w:val="1"/>
      <w:marLeft w:val="0"/>
      <w:marRight w:val="0"/>
      <w:marTop w:val="0"/>
      <w:marBottom w:val="0"/>
      <w:divBdr>
        <w:top w:val="none" w:sz="0" w:space="0" w:color="auto"/>
        <w:left w:val="none" w:sz="0" w:space="0" w:color="auto"/>
        <w:bottom w:val="none" w:sz="0" w:space="0" w:color="auto"/>
        <w:right w:val="none" w:sz="0" w:space="0" w:color="auto"/>
      </w:divBdr>
    </w:div>
    <w:div w:id="638538892">
      <w:bodyDiv w:val="1"/>
      <w:marLeft w:val="0"/>
      <w:marRight w:val="0"/>
      <w:marTop w:val="0"/>
      <w:marBottom w:val="0"/>
      <w:divBdr>
        <w:top w:val="none" w:sz="0" w:space="0" w:color="auto"/>
        <w:left w:val="none" w:sz="0" w:space="0" w:color="auto"/>
        <w:bottom w:val="none" w:sz="0" w:space="0" w:color="auto"/>
        <w:right w:val="none" w:sz="0" w:space="0" w:color="auto"/>
      </w:divBdr>
    </w:div>
    <w:div w:id="819733101">
      <w:bodyDiv w:val="1"/>
      <w:marLeft w:val="0"/>
      <w:marRight w:val="0"/>
      <w:marTop w:val="0"/>
      <w:marBottom w:val="0"/>
      <w:divBdr>
        <w:top w:val="none" w:sz="0" w:space="0" w:color="auto"/>
        <w:left w:val="none" w:sz="0" w:space="0" w:color="auto"/>
        <w:bottom w:val="none" w:sz="0" w:space="0" w:color="auto"/>
        <w:right w:val="none" w:sz="0" w:space="0" w:color="auto"/>
      </w:divBdr>
    </w:div>
    <w:div w:id="863320574">
      <w:bodyDiv w:val="1"/>
      <w:marLeft w:val="0"/>
      <w:marRight w:val="0"/>
      <w:marTop w:val="0"/>
      <w:marBottom w:val="0"/>
      <w:divBdr>
        <w:top w:val="none" w:sz="0" w:space="0" w:color="auto"/>
        <w:left w:val="none" w:sz="0" w:space="0" w:color="auto"/>
        <w:bottom w:val="none" w:sz="0" w:space="0" w:color="auto"/>
        <w:right w:val="none" w:sz="0" w:space="0" w:color="auto"/>
      </w:divBdr>
    </w:div>
    <w:div w:id="954099456">
      <w:bodyDiv w:val="1"/>
      <w:marLeft w:val="0"/>
      <w:marRight w:val="0"/>
      <w:marTop w:val="0"/>
      <w:marBottom w:val="0"/>
      <w:divBdr>
        <w:top w:val="none" w:sz="0" w:space="0" w:color="auto"/>
        <w:left w:val="none" w:sz="0" w:space="0" w:color="auto"/>
        <w:bottom w:val="none" w:sz="0" w:space="0" w:color="auto"/>
        <w:right w:val="none" w:sz="0" w:space="0" w:color="auto"/>
      </w:divBdr>
    </w:div>
    <w:div w:id="1177160435">
      <w:bodyDiv w:val="1"/>
      <w:marLeft w:val="0"/>
      <w:marRight w:val="0"/>
      <w:marTop w:val="0"/>
      <w:marBottom w:val="0"/>
      <w:divBdr>
        <w:top w:val="none" w:sz="0" w:space="0" w:color="auto"/>
        <w:left w:val="none" w:sz="0" w:space="0" w:color="auto"/>
        <w:bottom w:val="none" w:sz="0" w:space="0" w:color="auto"/>
        <w:right w:val="none" w:sz="0" w:space="0" w:color="auto"/>
      </w:divBdr>
      <w:divsChild>
        <w:div w:id="619649268">
          <w:marLeft w:val="0"/>
          <w:marRight w:val="0"/>
          <w:marTop w:val="0"/>
          <w:marBottom w:val="0"/>
          <w:divBdr>
            <w:top w:val="none" w:sz="0" w:space="0" w:color="auto"/>
            <w:left w:val="none" w:sz="0" w:space="0" w:color="auto"/>
            <w:bottom w:val="none" w:sz="0" w:space="0" w:color="auto"/>
            <w:right w:val="none" w:sz="0" w:space="0" w:color="auto"/>
          </w:divBdr>
          <w:divsChild>
            <w:div w:id="11075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25657">
      <w:bodyDiv w:val="1"/>
      <w:marLeft w:val="0"/>
      <w:marRight w:val="0"/>
      <w:marTop w:val="0"/>
      <w:marBottom w:val="0"/>
      <w:divBdr>
        <w:top w:val="none" w:sz="0" w:space="0" w:color="auto"/>
        <w:left w:val="none" w:sz="0" w:space="0" w:color="auto"/>
        <w:bottom w:val="none" w:sz="0" w:space="0" w:color="auto"/>
        <w:right w:val="none" w:sz="0" w:space="0" w:color="auto"/>
      </w:divBdr>
      <w:divsChild>
        <w:div w:id="1921910627">
          <w:marLeft w:val="0"/>
          <w:marRight w:val="0"/>
          <w:marTop w:val="0"/>
          <w:marBottom w:val="0"/>
          <w:divBdr>
            <w:top w:val="none" w:sz="0" w:space="0" w:color="auto"/>
            <w:left w:val="none" w:sz="0" w:space="0" w:color="auto"/>
            <w:bottom w:val="none" w:sz="0" w:space="0" w:color="auto"/>
            <w:right w:val="none" w:sz="0" w:space="0" w:color="auto"/>
          </w:divBdr>
          <w:divsChild>
            <w:div w:id="4459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644</TotalTime>
  <Pages>4</Pages>
  <Words>890</Words>
  <Characters>5075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Chinaecherem Uzo</dc:creator>
  <cp:keywords/>
  <dc:description/>
  <cp:lastModifiedBy>Francis Chinaecherem Uzo</cp:lastModifiedBy>
  <cp:revision>2</cp:revision>
  <dcterms:created xsi:type="dcterms:W3CDTF">2026-06-12T08:40:00Z</dcterms:created>
  <dcterms:modified xsi:type="dcterms:W3CDTF">2026-06-12T08:40:00Z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332ca8d8-b516-4dca-8bcb-1b81423f62ec</vt:lpwstr>
  </property>
</Properties>
</file>