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Pineapple was an exotic fruit not accessible to everyone due to its scarcity and high cost. When it arrived in America, one pineapple could cost as much as $8000. It was such a lavish fruit that people would rent it for a day just to show it off.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Piano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Around 1700s when the piano was invented, it was considered a luxury item because of how expensive it was. The piano was mainly owned by royalties like kings, expressed as a status symbol and beyond the reach of most people.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Hats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During the 1600s, hats rose as a fashion icon in the Western Europe for both men and women. Quickly becoming a popular trend among the population.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Although more and more dogs were becoming domesticated, there presence became a symbol of status in art. Royalties and well off individuals kept hunting dogs that only they could feed and often gifted to loved ones.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Collars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Keeping a clean pearly white collar and cuffs were a status symbol as it showed that one could afford changing new clothes regularly since cleaning was a tedious process back then that damaged the clothes and thus no wealthy person would let his/her portrait lack collars or cuffs.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Tulips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Flowers that became so popular in Holland that it nearly bankrupted the country. It was used as a sign of wealth by the merchants and traders who surrounded their estates by bright large gardens of tulips. it took nearly 7 years for a bulb to flower making them extremely costly.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Mirror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Due to the immense amount of breakage in production, mirrors were very expensive. They were mainly used by the kings and courtiers as a way to measure themselves against the existing fashion and beauty standards. Along with being a symbol of power and self-confidence.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Halo/Wings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Used as a way to represent deceased children (or Cherub)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Became increasingly common within societies as the reading itself shifted from only a number of people with academic or scholarly background to all classes of society.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Curtains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Had a more practical use, to ensure privacy, separation of a bigger hall or keeping the cold out.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