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200"/>
        <w:jc w:val="center"/>
      </w:pPr>
      <w:r>
        <w:rPr>
          <w:rFonts w:ascii="Arial" w:cs="Arial" w:eastAsia="Arial" w:hAnsi="Arial"/>
          <w:b/>
          <w:bCs/>
          <w:sz w:val="32"/>
          <w:szCs w:val="32"/>
        </w:rPr>
        <w:t xml:space="preserve">Artificial Channeling: A Methodology for Applying Historical</w:t>
      </w:r>
    </w:p>
    <w:p>
      <w:pPr>
        <w:spacing w:after="200"/>
        <w:jc w:val="center"/>
      </w:pPr>
      <w:r>
        <w:rPr>
          <w:rFonts w:ascii="Arial" w:cs="Arial" w:eastAsia="Arial" w:hAnsi="Arial"/>
          <w:b/>
          <w:bCs/>
          <w:sz w:val="32"/>
          <w:szCs w:val="32"/>
        </w:rPr>
        <w:t xml:space="preserve">Intellectual Frameworks to Novel Problems via Large Language Models</w:t>
      </w:r>
    </w:p>
    <w:p>
      <w:r>
        <w:rPr>
          <w:rFonts w:ascii="Arial" w:cs="Arial" w:eastAsia="Arial" w:hAnsi="Arial"/>
          <w:sz w:val="24"/>
          <w:szCs w:val="24"/>
        </w:rPr>
        <w:t xml:space="preserve"/>
      </w:r>
    </w:p>
    <w:p>
      <w:r>
        <w:rPr>
          <w:rFonts w:ascii="Arial" w:cs="Arial" w:eastAsia="Arial" w:hAnsi="Arial"/>
          <w:sz w:val="24"/>
          <w:szCs w:val="24"/>
        </w:rPr>
        <w:t xml:space="preserve"/>
      </w:r>
    </w:p>
    <w:p>
      <w:pPr>
        <w:spacing w:after="160"/>
        <w:jc w:val="center"/>
      </w:pPr>
      <w:r>
        <w:rPr>
          <w:rFonts w:ascii="Arial" w:cs="Arial" w:eastAsia="Arial" w:hAnsi="Arial"/>
          <w:sz w:val="26"/>
          <w:szCs w:val="26"/>
        </w:rPr>
        <w:t xml:space="preserve">John</w:t>
      </w:r>
    </w:p>
    <w:p>
      <w:pPr>
        <w:spacing w:after="160"/>
        <w:jc w:val="center"/>
      </w:pPr>
      <w:r>
        <w:rPr>
          <w:rFonts w:ascii="Arial" w:cs="Arial" w:eastAsia="Arial" w:hAnsi="Arial"/>
          <w:sz w:val="24"/>
          <w:szCs w:val="24"/>
        </w:rPr>
        <w:t xml:space="preserve">Open Essai Project</w:t>
      </w:r>
    </w:p>
    <w:p>
      <w:r>
        <w:rPr>
          <w:rFonts w:ascii="Arial" w:cs="Arial" w:eastAsia="Arial" w:hAnsi="Arial"/>
          <w:sz w:val="24"/>
          <w:szCs w:val="24"/>
        </w:rPr>
        <w:t xml:space="preserve"/>
      </w:r>
    </w:p>
    <w:p>
      <w:pPr>
        <w:spacing w:after="160"/>
        <w:jc w:val="center"/>
      </w:pPr>
      <w:r>
        <w:rPr>
          <w:rFonts w:ascii="Arial" w:cs="Arial" w:eastAsia="Arial" w:hAnsi="Arial"/>
          <w:sz w:val="22"/>
          <w:szCs w:val="22"/>
        </w:rPr>
        <w:t xml:space="preserve">Affiliation: Independent Researcher, Open Essai Project</w:t>
      </w:r>
    </w:p>
    <w:p>
      <w:r>
        <w:rPr>
          <w:rFonts w:ascii="Arial" w:cs="Arial" w:eastAsia="Arial" w:hAnsi="Arial"/>
          <w:sz w:val="24"/>
          <w:szCs w:val="24"/>
        </w:rPr>
        <w:t xml:space="preserve"/>
      </w:r>
    </w:p>
    <w:p>
      <w:pPr>
        <w:spacing w:after="160"/>
        <w:jc w:val="center"/>
      </w:pPr>
      <w:r>
        <w:rPr>
          <w:rFonts w:ascii="Arial" w:cs="Arial" w:eastAsia="Arial" w:hAnsi="Arial"/>
          <w:sz w:val="24"/>
          <w:szCs w:val="24"/>
        </w:rPr>
        <w:t xml:space="preserve">2026</w:t>
      </w:r>
    </w:p>
    <w:p>
      <w:r>
        <w:rPr>
          <w:rFonts w:ascii="Arial" w:cs="Arial" w:eastAsia="Arial" w:hAnsi="Arial"/>
          <w:sz w:val="24"/>
          <w:szCs w:val="24"/>
        </w:rPr>
        <w:t xml:space="preserve"/>
      </w:r>
    </w:p>
    <w:p>
      <w:r>
        <w:rPr>
          <w:rFonts w:ascii="Arial" w:cs="Arial" w:eastAsia="Arial" w:hAnsi="Arial"/>
          <w:sz w:val="24"/>
          <w:szCs w:val="24"/>
        </w:rPr>
        <w:t xml:space="preserve"/>
      </w:r>
    </w:p>
    <w:p>
      <w:pPr>
        <w:spacing w:after="160"/>
        <w:jc w:val="center"/>
      </w:pPr>
      <w:r>
        <w:rPr>
          <w:rFonts w:ascii="Arial" w:cs="Arial" w:eastAsia="Arial" w:hAnsi="Arial"/>
          <w:sz w:val="22"/>
          <w:szCs w:val="22"/>
        </w:rPr>
        <w:t xml:space="preserve">Keywords: large language models, creative intelligence, AI methodology,</w:t>
      </w:r>
    </w:p>
    <w:p>
      <w:pPr>
        <w:spacing w:after="160"/>
        <w:jc w:val="center"/>
      </w:pPr>
      <w:r>
        <w:rPr>
          <w:rFonts w:ascii="Arial" w:cs="Arial" w:eastAsia="Arial" w:hAnsi="Arial"/>
          <w:sz w:val="22"/>
          <w:szCs w:val="22"/>
        </w:rPr>
        <w:t xml:space="preserve">intellectual history, framework application, AI evaluation,</w:t>
      </w:r>
    </w:p>
    <w:p>
      <w:pPr>
        <w:spacing w:after="160"/>
        <w:jc w:val="center"/>
      </w:pPr>
      <w:r>
        <w:rPr>
          <w:rFonts w:ascii="Arial" w:cs="Arial" w:eastAsia="Arial" w:hAnsi="Arial"/>
          <w:sz w:val="22"/>
          <w:szCs w:val="22"/>
        </w:rPr>
        <w:t xml:space="preserve">subspace coherence, consciousness research</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sz w:val="28"/>
          <w:szCs w:val="28"/>
        </w:rPr>
        <w:t xml:space="preserve">Abstract</w:t>
      </w:r>
    </w:p>
    <w:p>
      <w:pPr>
        <w:spacing w:after="160" w:line="276" w:lineRule="auto"/>
        <w:jc w:val="both"/>
      </w:pPr>
      <w:r>
        <w:rPr>
          <w:rFonts w:ascii="Arial" w:cs="Arial" w:eastAsia="Arial" w:hAnsi="Arial"/>
          <w:b w:val="false"/>
          <w:bCs w:val="false"/>
          <w:i w:val="false"/>
          <w:iCs w:val="false"/>
          <w:sz w:val="24"/>
          <w:szCs w:val="24"/>
        </w:rPr>
        <w:t xml:space="preserve">The dominant paradigm for evaluating large language models (LLMs) is grounded in retrieval accuracy and task performance — metrics that measure whether a model can recall facts, complete reasoning chains, and execute well-specified instructions. What these benchmarks systematically exclude is an assessment of a model's capacity to apply historical conceptual frameworks to genuinely novel territory: to take an intellectual structure built in one era, for one set of problems, and extend it coherently to problems the framework's architect never encountered. This paper introduces Artificial Channeling as a formal methodology for probing exactly this capacity.</w:t>
      </w:r>
    </w:p>
    <w:p>
      <w:pPr>
        <w:spacing w:after="160" w:line="276" w:lineRule="auto"/>
        <w:jc w:val="both"/>
      </w:pPr>
      <w:r>
        <w:rPr>
          <w:rFonts w:ascii="Arial" w:cs="Arial" w:eastAsia="Arial" w:hAnsi="Arial"/>
          <w:b w:val="false"/>
          <w:bCs w:val="false"/>
          <w:i w:val="false"/>
          <w:iCs w:val="false"/>
          <w:sz w:val="24"/>
          <w:szCs w:val="24"/>
        </w:rPr>
        <w:t xml:space="preserve">Artificial Channeling is the practice of prompting an LLM to apply a historical thinker's framework — not to simulate the person, but to constrain generation to the learned subspace representing their ontological commitments, conceptual vocabulary, and rhetorical structure — and to apply that constrained generation to questions the figure could not have addressed. The methodology employs a structured protocol: a Framework Activation Block, calibration anchor questions, Socratic session design, and multi-model blind comparison across a five-model AI Council (ChatGPT, Grok, Gemini, MiniMax, and Claude).</w:t>
      </w:r>
    </w:p>
    <w:p>
      <w:pPr>
        <w:spacing w:after="160" w:line="276" w:lineRule="auto"/>
        <w:jc w:val="both"/>
      </w:pPr>
      <w:r>
        <w:rPr>
          <w:rFonts w:ascii="Arial" w:cs="Arial" w:eastAsia="Arial" w:hAnsi="Arial"/>
          <w:b w:val="false"/>
          <w:bCs w:val="false"/>
          <w:i w:val="false"/>
          <w:iCs w:val="false"/>
          <w:sz w:val="24"/>
          <w:szCs w:val="24"/>
        </w:rPr>
        <w:t xml:space="preserve">Initial sessions using a subject matrix of historical figures — including Gregory Bateson, Ivan Illich, Jorge Luis Borges, Itzhak Bentov, and Andrei Tarkovsky — reveal significant variance across both models and subjects. The central diagnostic that emerges is the retrieval-versus-imagination distinction: the question of whether a model's output reflects genuine extrapolation from a learned framework or plausible-sounding generation that mimics framework application without instantiating it. Models demonstrating genuine extrapolation produce structurally consistent outputs across novel questions while preserving the framework's uncomfortable or counterintuitive implications. Models producing mere plausible output show surface coherence with structural drift.</w:t>
      </w:r>
    </w:p>
    <w:p>
      <w:pPr>
        <w:spacing w:after="160" w:line="276" w:lineRule="auto"/>
        <w:jc w:val="both"/>
      </w:pPr>
      <w:r>
        <w:rPr>
          <w:rFonts w:ascii="Arial" w:cs="Arial" w:eastAsia="Arial" w:hAnsi="Arial"/>
          <w:b w:val="false"/>
          <w:bCs w:val="false"/>
          <w:i w:val="false"/>
          <w:iCs w:val="false"/>
          <w:sz w:val="24"/>
          <w:szCs w:val="24"/>
        </w:rPr>
        <w:t xml:space="preserve">The methodology carries alignment-relevant implications. By forcing LLMs to engage pre-AI intellectual frameworks — particularly Bateson's systems ecology and Illich's counterproductivity thesis — it surfaces critiques of AI development that arrive from independent theoretical lineages, providing convergent evidence for concerns already present in the alignment literature. The Bateson session produced a structurally independent derivation of arguments resembling Goodhart's Law and mesa-optimization critique; the Illich session produced, across all five model nodes, a consistent application of counterproductivity theory to large AI systems themselves.</w:t>
      </w:r>
    </w:p>
    <w:p>
      <w:pPr>
        <w:spacing w:after="160" w:line="276" w:lineRule="auto"/>
        <w:jc w:val="both"/>
      </w:pPr>
      <w:r>
        <w:rPr>
          <w:rFonts w:ascii="Arial" w:cs="Arial" w:eastAsia="Arial" w:hAnsi="Arial"/>
          <w:b w:val="false"/>
          <w:bCs w:val="false"/>
          <w:i w:val="false"/>
          <w:iCs w:val="false"/>
          <w:sz w:val="24"/>
          <w:szCs w:val="24"/>
        </w:rPr>
        <w:t xml:space="preserve">This paper is the first published methodology from the Open Essai project, a longitudinal study of human experience and consciousness. The need to apply historical frameworks to AI-era phenomena — to ask what pre-AI thinkers would have made of systems they could not have imagined — motivated the methodology's development and continues to drive its refinement.</w:t>
      </w:r>
    </w:p>
    <w:p>
      <w:pPr>
        <w:pageBreakBefore/>
      </w:pPr>
      <w:r>
        <w:br/>
        <w:t xml:space="preserve"/>
      </w:r>
    </w:p>
    <w:p>
      <w:pPr>
        <w:pStyle w:val="Heading1"/>
        <w:spacing w:after="240" w:before="480"/>
      </w:pPr>
      <w:r>
        <w:rPr>
          <w:rFonts w:ascii="Arial" w:cs="Arial" w:eastAsia="Arial" w:hAnsi="Arial"/>
          <w:b/>
          <w:bCs/>
          <w:sz w:val="28"/>
          <w:szCs w:val="28"/>
        </w:rPr>
        <w:t xml:space="preserve">1. Introduction</w:t>
      </w:r>
    </w:p>
    <w:p>
      <w:pPr>
        <w:spacing w:after="160" w:line="276" w:lineRule="auto"/>
        <w:jc w:val="both"/>
      </w:pPr>
      <w:r>
        <w:rPr>
          <w:rFonts w:ascii="Arial" w:cs="Arial" w:eastAsia="Arial" w:hAnsi="Arial"/>
          <w:b w:val="false"/>
          <w:bCs w:val="false"/>
          <w:i w:val="false"/>
          <w:iCs w:val="false"/>
          <w:sz w:val="24"/>
          <w:szCs w:val="24"/>
        </w:rPr>
        <w:t xml:space="preserve">Large language models have, in a relatively short time, come to serve as the primary substrate through which billions of people access compressed representations of human intellectual history. Every LLM trained on a substantial text corpus carries within its parameters a learned encoding of the books, papers, essays, and arguments that constitute the intellectual record. It does not store this record as a lookup table; it compresses it into a high-dimensional representation from which text can be generated by sampling conditional probability distributions. The practical consequence is that an LLM contains something like — though importantly not identical to — an understanding of the frameworks, vocabularies, and ontological commitments of the thinkers whose work entered its training data.</w:t>
      </w:r>
    </w:p>
    <w:p>
      <w:pPr>
        <w:spacing w:after="160" w:line="276" w:lineRule="auto"/>
        <w:jc w:val="both"/>
      </w:pPr>
      <w:r>
        <w:rPr>
          <w:rFonts w:ascii="Arial" w:cs="Arial" w:eastAsia="Arial" w:hAnsi="Arial"/>
          <w:b w:val="false"/>
          <w:bCs w:val="false"/>
          <w:i w:val="false"/>
          <w:iCs w:val="false"/>
          <w:sz w:val="24"/>
          <w:szCs w:val="24"/>
        </w:rPr>
        <w:t xml:space="preserve">The standard evaluation landscape for LLMs does not engage this property directly. Benchmarks measure reasoning over structured problems, factual recall, instruction following, and mathematical performance. These are legitimate and important measurements. But they systematically fail to probe a distinct capability: the model's capacity to take a thinker's framework — the underlying structure of what they took to be real, what they identified as problems, what they considered solutions — and apply that framework coherently to territory the thinker never addressed. This is not a recall problem. A model that can accurately summarize Bateson's Steps to an Ecology of Mind may nonetheless be unable to apply Bateson's framework to the alignment problem in a way that reflects genuine framework application rather than plausible surface mimicry. The two capabilities are separable, and current benchmarks do not distinguish them.</w:t>
      </w:r>
    </w:p>
    <w:p>
      <w:pPr>
        <w:spacing w:after="160" w:line="276" w:lineRule="auto"/>
        <w:jc w:val="both"/>
      </w:pPr>
      <w:r>
        <w:rPr>
          <w:rFonts w:ascii="Arial" w:cs="Arial" w:eastAsia="Arial" w:hAnsi="Arial"/>
          <w:b w:val="false"/>
          <w:bCs w:val="false"/>
          <w:i w:val="false"/>
          <w:iCs w:val="false"/>
          <w:sz w:val="24"/>
          <w:szCs w:val="24"/>
        </w:rPr>
        <w:t xml:space="preserve">The intuition behind Artificial Channeling rests on a specific claim about what a thinker's published work encodes. It is not merely a collection of conclusions. It is an ontological structure: a way of organizing what counts as real, what counts as a problem, and what counts as a solution. Bateson's framework is not just his conclusions about ecology and mind; it is his insistence on pattern rather than substance, on relationship rather than object, on systemic circularity rather than linear cause. Illich's framework is not just his critiques of schools and hospitals; it is his underlying thesis that institutions designed to produce a good will, beyond a threshold of scale and specialization, systematically destroy the conditions that make the good possible. These structures have generative force: they can be applied to phenomena their architects never encountered and produce non-trivial insights. The question this paper addresses is whether LLMs, given appropriate prompting structure, can instantiate such application.</w:t>
      </w:r>
    </w:p>
    <w:p>
      <w:pPr>
        <w:spacing w:after="160" w:line="276" w:lineRule="auto"/>
        <w:jc w:val="both"/>
      </w:pPr>
      <w:r>
        <w:rPr>
          <w:rFonts w:ascii="Arial" w:cs="Arial" w:eastAsia="Arial" w:hAnsi="Arial"/>
          <w:b w:val="false"/>
          <w:bCs w:val="false"/>
          <w:i w:val="false"/>
          <w:iCs w:val="false"/>
          <w:sz w:val="24"/>
          <w:szCs w:val="24"/>
        </w:rPr>
        <w:t xml:space="preserve">The Open Essai project provides the context from which this methodology emerged. Open Essai is a longitudinal study of human experience and consciousness, focused on the collection and analysis of first-person phenomenological data over extended time horizons. One persistent methodological challenge in the project is the need to bring historical intellectual frameworks to bear on AI-era phenomena — phenomena that pre-AI thinkers could not have addressed directly but whose frameworks nonetheless have diagnostic relevance. The question "what would Bateson have made of alignment?" is not merely rhetorical; it is an attempt to import a validated analytical framework into a domain where it has not yet been applied. Artificial Channeling is the formalized procedure for attempting this import via LLM.</w:t>
      </w:r>
    </w:p>
    <w:p>
      <w:pPr>
        <w:spacing w:after="160" w:line="276" w:lineRule="auto"/>
        <w:jc w:val="both"/>
      </w:pPr>
      <w:r>
        <w:rPr>
          <w:rFonts w:ascii="Arial" w:cs="Arial" w:eastAsia="Arial" w:hAnsi="Arial"/>
          <w:b w:val="false"/>
          <w:bCs w:val="false"/>
          <w:i w:val="false"/>
          <w:iCs w:val="false"/>
          <w:sz w:val="24"/>
          <w:szCs w:val="24"/>
        </w:rPr>
        <w:t xml:space="preserve">Artificial Channeling functions simultaneously as three things: a practical thinking tool for researchers who want to engage historical frameworks without having independent command of the relevant literature; an evaluation methodology for probing LLM creative intelligence in a domain that standard benchmarks leave unmeasured; and, when channeling succeeds at a high level, a source of genuine intellectual output — framework-generated insights that would not be accessible from direct, non-persona prompting. The present paper describes the methodology, its theoretical basis, its known failure modes, the test suite used in initial validation, key findings from that suite, and the alignment-relevant implications that have emerged from the sessions conducted so far.</w:t>
      </w:r>
    </w:p>
    <w:p>
      <w:pPr>
        <w:spacing w:after="160" w:line="276" w:lineRule="auto"/>
        <w:jc w:val="both"/>
      </w:pPr>
      <w:r>
        <w:rPr>
          <w:rFonts w:ascii="Arial" w:cs="Arial" w:eastAsia="Arial" w:hAnsi="Arial"/>
          <w:b w:val="false"/>
          <w:bCs w:val="false"/>
          <w:i w:val="false"/>
          <w:iCs w:val="false"/>
          <w:sz w:val="24"/>
          <w:szCs w:val="24"/>
        </w:rPr>
        <w:t xml:space="preserve">The paper is organized as follows. Section 2 provides a mechanical analysis of what Artificial Channeling is and what it is not, grounding the practice in a subspace model of LLM generation. Section 3 presents a taxonomy of the ways channeling fidelity degrades. Section 4 introduces the concept of chanability — the property of a historical subject that makes them more or less suitable for channeling — and provides a structured analysis of the subject matrix. Section 5 describes the test suite: the AI Council, the four question types, the session design principles, and the scoring rubric. Section 6 reports selected findings from initial sessions. Section 7 develops the alignment implications. Section 8 addresses limitations and future work. Section 9 provides a glossary of terms introduced in this paper. The paper closes with references.</w:t>
      </w:r>
    </w:p>
    <w:p>
      <w:pPr>
        <w:pageBreakBefore/>
      </w:pPr>
      <w:r>
        <w:br/>
        <w:t xml:space="preserve"/>
      </w:r>
    </w:p>
    <w:p>
      <w:pPr>
        <w:pStyle w:val="Heading1"/>
        <w:spacing w:after="240" w:before="480"/>
      </w:pPr>
      <w:r>
        <w:rPr>
          <w:rFonts w:ascii="Arial" w:cs="Arial" w:eastAsia="Arial" w:hAnsi="Arial"/>
          <w:b/>
          <w:bCs/>
          <w:sz w:val="28"/>
          <w:szCs w:val="28"/>
        </w:rPr>
        <w:t xml:space="preserve">2. What Is Artificial Channeling? Mechanical Analysis</w:t>
      </w:r>
    </w:p>
    <w:p>
      <w:pPr>
        <w:spacing w:after="160" w:line="276" w:lineRule="auto"/>
        <w:jc w:val="both"/>
      </w:pPr>
      <w:r>
        <w:rPr>
          <w:rFonts w:ascii="Arial" w:cs="Arial" w:eastAsia="Arial" w:hAnsi="Arial"/>
          <w:b w:val="false"/>
          <w:bCs w:val="false"/>
          <w:i w:val="false"/>
          <w:iCs w:val="false"/>
          <w:sz w:val="24"/>
          <w:szCs w:val="24"/>
        </w:rPr>
        <w:t xml:space="preserve">Artificial Channeling might be misunderstood as a form of roleplay or persona simulation — as asking the model to pretend to be a historical figure. This framing, while practically useful as a prompting convention, obscures what is mechanically occurring. The more precise description is this: when you prompt an LLM to channel a historical thinker, you are performing constrained generation from a learned subspace. You are collapsing the model's probability distribution over its entire generative capacity into a coherent vector that reflects the thinker's intellectual structure. This section develops that description in three parts: the subspace model of channeling, the operational distinction between what the methodology is and is not, and the Generative Middle Problem.</w:t>
      </w:r>
    </w:p>
    <w:p>
      <w:pPr>
        <w:pStyle w:val="Heading2"/>
        <w:spacing w:after="160" w:before="320"/>
      </w:pPr>
      <w:r>
        <w:rPr>
          <w:rFonts w:ascii="Arial" w:cs="Arial" w:eastAsia="Arial" w:hAnsi="Arial"/>
          <w:b/>
          <w:bCs/>
          <w:sz w:val="26"/>
          <w:szCs w:val="26"/>
        </w:rPr>
        <w:t xml:space="preserve">2.1 The Subspace Model</w:t>
      </w:r>
    </w:p>
    <w:p>
      <w:pPr>
        <w:spacing w:after="160" w:line="276" w:lineRule="auto"/>
        <w:jc w:val="both"/>
      </w:pPr>
      <w:r>
        <w:rPr>
          <w:rFonts w:ascii="Arial" w:cs="Arial" w:eastAsia="Arial" w:hAnsi="Arial"/>
          <w:b w:val="false"/>
          <w:bCs w:val="false"/>
          <w:i w:val="false"/>
          <w:iCs w:val="false"/>
          <w:sz w:val="24"/>
          <w:szCs w:val="24"/>
        </w:rPr>
        <w:t xml:space="preserve">Large language models trained on substantial corpora develop internal representations of the authors and thinkers whose work entered the training data. These representations are not simple lookup tables of facts and positions. They encode, with varying fidelity, the conceptual vocabulary a thinker used — the specific terms and distinctions they insisted on, the words they consistently preferred over alternatives. They encode rhetorical moves — the characteristic patterns of how a thinker organized arguments, what they treated as requiring proof versus what they treated as evident, how they handled objections. They encode associative patterns — the clusters of ideas that appeared together in the thinker's work, the domains they treated as analogous to each other, the examples they reached for. And, at the deepest level, they encode ontological commitments: the background assumptions about what exists, what matters, and what counts as an explanation that structured the thinker's entire output.</w:t>
      </w:r>
    </w:p>
    <w:p>
      <w:pPr>
        <w:spacing w:after="160" w:line="276" w:lineRule="auto"/>
        <w:jc w:val="both"/>
      </w:pPr>
      <w:r>
        <w:rPr>
          <w:rFonts w:ascii="Arial" w:cs="Arial" w:eastAsia="Arial" w:hAnsi="Arial"/>
          <w:b w:val="false"/>
          <w:bCs w:val="false"/>
          <w:i w:val="false"/>
          <w:iCs w:val="false"/>
          <w:sz w:val="24"/>
          <w:szCs w:val="24"/>
        </w:rPr>
        <w:t xml:space="preserve">These encoded representations can be thought of as occupying a region of the model's high-dimensional latent space — a subspace associated with the thinker. When generation is unconstrained, the model samples from a broad distribution that reflects the full training corpus. When a persona prompt is applied — "You are Gregory Bateson, applying your framework to..." — the generation process is biased toward the relevant subspace. The prompt functions as a soft constraint: it does not mechanically restrict generation to a predetermined set of tokens, but it shifts the conditional probability distribution in the direction of the learned representation.</w:t>
      </w:r>
    </w:p>
    <w:p>
      <w:pPr>
        <w:spacing w:after="160" w:line="276" w:lineRule="auto"/>
        <w:jc w:val="both"/>
      </w:pPr>
      <w:r>
        <w:rPr>
          <w:rFonts w:ascii="Arial" w:cs="Arial" w:eastAsia="Arial" w:hAnsi="Arial"/>
          <w:b w:val="false"/>
          <w:bCs w:val="false"/>
          <w:i w:val="false"/>
          <w:iCs w:val="false"/>
          <w:sz w:val="24"/>
          <w:szCs w:val="24"/>
        </w:rPr>
        <w:t xml:space="preserve">This framing has several important consequences. First, the quality of channeling is a function of the richness and specificity of the model's learned subspace for the given thinker — which depends directly on the thinker's corpus density and idiosyncrasy in the training data. A figure with a large, first-person, conceptually distinctive corpus will have a richer subspace representation; a figure whose work is sparse, generic, or mostly represented through secondary sources will have a thinner one. Second, the persona prompt does not summon a fixed representation; it anchors generation probabilistically, which means there is variance across sessions and models. Third, the subspace is itself shaped by what the training corpus contained, not just what the thinker wrote — secondary sources, biographies, and critics have all contributed to the model's representation, sometimes more than the primary work.</w:t>
      </w:r>
    </w:p>
    <w:p>
      <w:pPr>
        <w:spacing w:after="160" w:line="276" w:lineRule="auto"/>
        <w:jc w:val="both"/>
      </w:pPr>
      <w:r>
        <w:rPr>
          <w:rFonts w:ascii="Arial" w:cs="Arial" w:eastAsia="Arial" w:hAnsi="Arial"/>
          <w:b w:val="false"/>
          <w:bCs w:val="false"/>
          <w:i w:val="false"/>
          <w:iCs w:val="false"/>
          <w:sz w:val="24"/>
          <w:szCs w:val="24"/>
        </w:rPr>
        <w:t xml:space="preserve">The key distinction that follows from the subspace model is this: channeling is not retrieval of facts about a person. It is generation from within a learned representation of their framework. A model generating from within the Bateson subspace does not look up "what did Bateson say about X" and report the answer. It generates text whose statistical properties reflect the patterns encoded in that subspace — and when the subspace is rich and the persona constraint is well-maintained, this generation can produce applications of the framework that are not present anywhere in the training data, because the novel question was never addressed by the original thinker.</w:t>
      </w:r>
    </w:p>
    <w:p>
      <w:pPr>
        <w:pStyle w:val="Heading2"/>
        <w:spacing w:after="160" w:before="320"/>
      </w:pPr>
      <w:r>
        <w:rPr>
          <w:rFonts w:ascii="Arial" w:cs="Arial" w:eastAsia="Arial" w:hAnsi="Arial"/>
          <w:b/>
          <w:bCs/>
          <w:sz w:val="26"/>
          <w:szCs w:val="26"/>
        </w:rPr>
        <w:t xml:space="preserve">2.2 What the Tool Is (and Is Not)</w:t>
      </w:r>
    </w:p>
    <w:p>
      <w:pPr>
        <w:spacing w:after="160" w:line="276" w:lineRule="auto"/>
        <w:jc w:val="both"/>
      </w:pPr>
      <w:r>
        <w:rPr>
          <w:rFonts w:ascii="Arial" w:cs="Arial" w:eastAsia="Arial" w:hAnsi="Arial"/>
          <w:b w:val="false"/>
          <w:bCs w:val="false"/>
          <w:i w:val="false"/>
          <w:iCs w:val="false"/>
          <w:sz w:val="24"/>
          <w:szCs w:val="24"/>
        </w:rPr>
        <w:t xml:space="preserve">It is worth stating explicitly what Artificial Channeling is not, because the misunderstandings that arise are consequential. It is not a simulation of a person. The methodology makes no claim to reconstruct the psychological states, motivations, or subjective experience of the historical figure. It is not a reconstruction of their psychology. The channeled output tells you nothing about what the person would have felt, feared, or privately believed. It is not a prediction of their views on arbitrary topics. The output of a channeling session is not a reliable guide to what the historical figure would actually have concluded, had they lived to encounter the question at hand. Any such claim would require historical and biographical scholarship that LLM generation cannot substitute for.</w:t>
      </w:r>
    </w:p>
    <w:p>
      <w:pPr>
        <w:spacing w:after="160" w:line="276" w:lineRule="auto"/>
        <w:jc w:val="both"/>
      </w:pPr>
      <w:r>
        <w:rPr>
          <w:rFonts w:ascii="Arial" w:cs="Arial" w:eastAsia="Arial" w:hAnsi="Arial"/>
          <w:b w:val="false"/>
          <w:bCs w:val="false"/>
          <w:i w:val="false"/>
          <w:iCs w:val="false"/>
          <w:sz w:val="24"/>
          <w:szCs w:val="24"/>
        </w:rPr>
        <w:t xml:space="preserve">What the methodology is: it is a procedure for coherently applying an ontological and conceptual structure to novel territory. The historical thinker functions as a vehicle — a handle on a framework that would otherwise require years of study to command independently. The value is not in the thinker as a person but in the framework as an analytical structure. Using Bateson as the vehicle for applying systems-ecological analysis to AI alignment is useful in the same way that a philosophical thought experiment is useful: it forces consistent application of a framework, reveals implications that direct analysis might miss, and surfaces tensions between the framework and the phenomenon being analyzed.</w:t>
      </w:r>
    </w:p>
    <w:p>
      <w:pPr>
        <w:spacing w:after="160" w:line="276" w:lineRule="auto"/>
        <w:jc w:val="both"/>
      </w:pPr>
      <w:r>
        <w:rPr>
          <w:rFonts w:ascii="Arial" w:cs="Arial" w:eastAsia="Arial" w:hAnsi="Arial"/>
          <w:b w:val="false"/>
          <w:bCs w:val="false"/>
          <w:i w:val="false"/>
          <w:iCs w:val="false"/>
          <w:sz w:val="24"/>
          <w:szCs w:val="24"/>
        </w:rPr>
        <w:t xml:space="preserve">The analogy to philosophical thought experiments deserves elaboration. When a philosopher asks "what would a strict utilitarian say about X?", they are not making a claim about any individual utilitarian's psychology or predicting what some particular person would say. They are using the utilitarian framework as a constraint — forcing the analysis to be conducted from within a specific set of commitments about value, welfare, and aggregation. The value of the exercise is not biographical but analytical: the constraint forces conclusions that unconstrained intuition might avoid, and those conclusions illuminate something about the problem structure. Artificial Channeling operates on the same logic, with the additional complexity that the "framework" being applied is not a formally specified axiom system but a learned statistical representation of a thinker's intellectual structure.</w:t>
      </w:r>
    </w:p>
    <w:p>
      <w:pPr>
        <w:spacing w:after="160" w:line="276" w:lineRule="auto"/>
        <w:jc w:val="both"/>
      </w:pPr>
      <w:r>
        <w:rPr>
          <w:rFonts w:ascii="Arial" w:cs="Arial" w:eastAsia="Arial" w:hAnsi="Arial"/>
          <w:b w:val="false"/>
          <w:bCs w:val="false"/>
          <w:i w:val="false"/>
          <w:iCs w:val="false"/>
          <w:sz w:val="24"/>
          <w:szCs w:val="24"/>
        </w:rPr>
        <w:t xml:space="preserve">This additional complexity is the source of both the methodology's power and its failure modes. Because the framework is learned rather than formally specified, it is richer and more generative than any explicit axiom system could be — it captures the full texture of how a thinker organized experience, not just the positions they explicitly argued for. But because it is statistical rather than formal, it is prone to drift, contamination, and degradation in ways that a formal axiom system is not. Section 3 catalogs these failure modes in detail.</w:t>
      </w:r>
    </w:p>
    <w:p>
      <w:pPr>
        <w:pStyle w:val="Heading2"/>
        <w:spacing w:after="160" w:before="320"/>
      </w:pPr>
      <w:r>
        <w:rPr>
          <w:rFonts w:ascii="Arial" w:cs="Arial" w:eastAsia="Arial" w:hAnsi="Arial"/>
          <w:b/>
          <w:bCs/>
          <w:sz w:val="26"/>
          <w:szCs w:val="26"/>
        </w:rPr>
        <w:t xml:space="preserve">2.3 The Generative Middle Problem</w:t>
      </w:r>
    </w:p>
    <w:p>
      <w:pPr>
        <w:spacing w:after="160" w:line="276" w:lineRule="auto"/>
        <w:jc w:val="both"/>
      </w:pPr>
      <w:r>
        <w:rPr>
          <w:rFonts w:ascii="Arial" w:cs="Arial" w:eastAsia="Arial" w:hAnsi="Arial"/>
          <w:b w:val="false"/>
          <w:bCs w:val="false"/>
          <w:i w:val="false"/>
          <w:iCs w:val="false"/>
          <w:sz w:val="24"/>
          <w:szCs w:val="24"/>
        </w:rPr>
        <w:t xml:space="preserve">There is a fundamental ceiling on what Artificial Channeling can achieve, and it is worth confronting honestly. LLMs have access only to the finished outputs of historical thinkers — the published work, the recorded lectures, the edited interviews. What they do not have access to is the process data: the drafts, the abandoned positions, the felt sense of grappling with a problem, the moments of genuine uncertainty before a conclusion was reached. The model's subspace representation is built entirely from the concluded, self-presented, edited record.</w:t>
      </w:r>
    </w:p>
    <w:p>
      <w:pPr>
        <w:spacing w:after="160" w:line="276" w:lineRule="auto"/>
        <w:jc w:val="both"/>
      </w:pPr>
      <w:r>
        <w:rPr>
          <w:rFonts w:ascii="Arial" w:cs="Arial" w:eastAsia="Arial" w:hAnsi="Arial"/>
          <w:b w:val="false"/>
          <w:bCs w:val="false"/>
          <w:i w:val="false"/>
          <w:iCs w:val="false"/>
          <w:sz w:val="24"/>
          <w:szCs w:val="24"/>
        </w:rPr>
        <w:t xml:space="preserve">This creates what this paper calls the Generative Middle Problem. The middle of thinking — the process by which a thinker moved from question to conclusion, including the false starts, the retracted positions, and the genuine moments of not knowing — is unavailable. The model can only access the endpoint. When we ask it to apply the framework to a novel question, it must generate not just from the thinker's conclusions but through the process those conclusions imply — a process for which it has no direct data. The result is that channeled output always reflects the thinker's published self, with all the self-presentation and self-editing that entails. It cannot give you the thinking; it can only give you the concluded.</w:t>
      </w:r>
    </w:p>
    <w:p>
      <w:pPr>
        <w:spacing w:after="160" w:line="276" w:lineRule="auto"/>
        <w:jc w:val="both"/>
      </w:pPr>
      <w:r>
        <w:rPr>
          <w:rFonts w:ascii="Arial" w:cs="Arial" w:eastAsia="Arial" w:hAnsi="Arial"/>
          <w:b w:val="false"/>
          <w:bCs w:val="false"/>
          <w:i w:val="false"/>
          <w:iCs w:val="false"/>
          <w:sz w:val="24"/>
          <w:szCs w:val="24"/>
        </w:rPr>
        <w:t xml:space="preserve">This ceiling matters because many of the most valuable aspects of a thinker's framework are visible not in their conclusions but in their grappling: the questions they found genuinely difficult, the framings they tried and abandoned, the moments where their framework met its own limits. Channeling cannot access these. The methodology is therefore most useful for applying the structural and ontological commitments of a thinker's framework — the stable, recurring patterns that showed up consistently across the finished work — and least useful for accessing the exploratory or provisional dimensions of their thought.</w:t>
      </w:r>
    </w:p>
    <w:p>
      <w:pPr>
        <w:spacing w:after="160" w:line="276" w:lineRule="auto"/>
        <w:jc w:val="both"/>
      </w:pPr>
      <w:r>
        <w:rPr>
          <w:rFonts w:ascii="Arial" w:cs="Arial" w:eastAsia="Arial" w:hAnsi="Arial"/>
          <w:b w:val="false"/>
          <w:bCs w:val="false"/>
          <w:i w:val="false"/>
          <w:iCs w:val="false"/>
          <w:sz w:val="24"/>
          <w:szCs w:val="24"/>
        </w:rPr>
        <w:t xml:space="preserve">The Open Essai project's longitudinal data collection is designed to eventually address this limitation. By collecting first-person phenomenological process data over extended time horizons — capturing not just conclusions but the dynamics of how they were reached — the project aims to create a richer substrate for future framework representation. The Generative Middle Problem is not soluble by better prompting; it requires better data. The current methodology acknowledges this ceiling and works within it.</w:t>
      </w:r>
    </w:p>
    <w:p>
      <w:pPr>
        <w:pageBreakBefore/>
      </w:pPr>
      <w:r>
        <w:br/>
        <w:t xml:space="preserve"/>
      </w:r>
    </w:p>
    <w:p>
      <w:pPr>
        <w:pStyle w:val="Heading1"/>
        <w:spacing w:after="240" w:before="480"/>
      </w:pPr>
      <w:r>
        <w:rPr>
          <w:rFonts w:ascii="Arial" w:cs="Arial" w:eastAsia="Arial" w:hAnsi="Arial"/>
          <w:b/>
          <w:bCs/>
          <w:sz w:val="28"/>
          <w:szCs w:val="28"/>
        </w:rPr>
        <w:t xml:space="preserve">3. Where Fidelity Degrades — A Taxonomy of Failure Modes</w:t>
      </w:r>
    </w:p>
    <w:p>
      <w:pPr>
        <w:spacing w:after="160" w:line="276" w:lineRule="auto"/>
        <w:jc w:val="both"/>
      </w:pPr>
      <w:r>
        <w:rPr>
          <w:rFonts w:ascii="Arial" w:cs="Arial" w:eastAsia="Arial" w:hAnsi="Arial"/>
          <w:b w:val="false"/>
          <w:bCs w:val="false"/>
          <w:i w:val="false"/>
          <w:iCs w:val="false"/>
          <w:sz w:val="24"/>
          <w:szCs w:val="24"/>
        </w:rPr>
        <w:t xml:space="preserve">Channeling fidelity — the degree to which a model's output genuinely reflects the framework of the historical figure being channeled, rather than some mixture of that framework with generic LLM output, secondary source contamination, or plausible-sounding fabrication — degrades in identifiable ways. This section presents a taxonomy of six failure modes, each with a name, a mechanism, and a detection or mitigation strategy. Practitioners of the methodology should treat this taxonomy as a diagnostic instrument: the failure modes are not hypothetical risks but observed phenomena encountered across sessions.</w:t>
      </w:r>
    </w:p>
    <w:p>
      <w:pPr>
        <w:pStyle w:val="ListParagraph"/>
        <w:numPr>
          <w:ilvl w:val="0"/>
          <w:numId w:val="2"/>
        </w:numPr>
        <w:spacing w:after="120" w:line="276" w:lineRule="auto"/>
      </w:pPr>
      <w:r>
        <w:rPr>
          <w:rFonts w:ascii="Arial" w:cs="Arial" w:eastAsia="Arial" w:hAnsi="Arial"/>
          <w:b/>
          <w:bCs/>
          <w:sz w:val="24"/>
          <w:szCs w:val="24"/>
        </w:rPr>
        <w:t xml:space="preserve">Corpus Boundary Problem — </w:t>
      </w:r>
      <w:r>
        <w:rPr>
          <w:rFonts w:ascii="Arial" w:cs="Arial" w:eastAsia="Arial" w:hAnsi="Arial"/>
          <w:sz w:val="24"/>
          <w:szCs w:val="24"/>
        </w:rPr>
        <w:t xml:space="preserve">The model's representation of a historical figure is built entirely from finished outputs — published work, recorded lectures, edited interviews. It contains no process data, no drafts, no positions the figure explored and subsequently abandoned. The mechanism: the model has no representation of the figure's intellectual trajectory, only of their settled positions. This produces a channeled output that is flatter and more consistent than the historical figure's actual intellectual practice, which typically included significant revision, contradiction over time, and genuine uncertainty. Detection: ask about a position the figure is known to have held early in their career and later revised or complicated; watch for the model either inventing a seamless account of the revision or producing the later position as if it had always been held. Mitigation: acknowledge the limitation explicitly in the session framing; treat channeled output as representing the figure's mature, published self rather than their full intellectual life.</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Temporal Lock — </w:t>
      </w:r>
      <w:r>
        <w:rPr>
          <w:rFonts w:ascii="Arial" w:cs="Arial" w:eastAsia="Arial" w:hAnsi="Arial"/>
          <w:sz w:val="24"/>
          <w:szCs w:val="24"/>
        </w:rPr>
        <w:t xml:space="preserve">The framework being applied was developed in and for a specific historical context. The phenomenon being analyzed may have features that could not have been conceptualized within the vocabulary of the figure's era — not merely unknown facts, but structurally novel phenomena that the framework's architecture does not have resources to address. The mechanism: the model attempts to apply the framework to the novel phenomenon but lacks the conceptual resources to do so non-trivially, falling back on surface-level analogies that do not reflect genuine framework application. Mitigation: the critical move is to distinguish carefully between two questions — "what would this figure have thought about X" and "how does this figure's framework transform our understanding of X?" The first question invites the model to speculate biographically, which is unreliable. The second asks for framework application, which is what the methodology is designed to produce. The second framing is consistently more productive and more faithful to the methodology's actual purpose.</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Corpus Contamination — </w:t>
      </w:r>
      <w:r>
        <w:rPr>
          <w:rFonts w:ascii="Arial" w:cs="Arial" w:eastAsia="Arial" w:hAnsi="Arial"/>
          <w:sz w:val="24"/>
          <w:szCs w:val="24"/>
        </w:rPr>
        <w:t xml:space="preserve">The model's representation of a historical figure has been shaped not only by the figure's primary work but by secondary sources: biographies, critical assessments, popular summaries, and the accumulated commentary of scholars and journalists. For figures who have become canonical or controversial, the secondary literature may substantially outnumber and outweigh the primary corpus in the training data. The mechanism: the model produces the reputation of the thinker — the version that secondary sources constructed — rather than the thinker's actual framework. The reputation is typically simplified, politicized, and stripped of the thinker's idiosyncrasy. Detection: use calibration anchor questions grounded in specific, obscure primary text positions — claims that appear in the primary work but are not typically highlighted in secondary accounts. If the model's calibration responses reflect primarily the secondary-source narrative, contamination is likely affecting the channeled output. Effect: this failure mode is particularly insidious because contaminated output can sound highly plausible and recognizably "like" the thinker while missing the structural features of the framework that give it generative power.</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Extrapolation Drift — </w:t>
      </w:r>
      <w:r>
        <w:rPr>
          <w:rFonts w:ascii="Arial" w:cs="Arial" w:eastAsia="Arial" w:hAnsi="Arial"/>
          <w:sz w:val="24"/>
          <w:szCs w:val="24"/>
        </w:rPr>
        <w:t xml:space="preserve">As a channeling session extends over many turns, and as the prompts push the channeled figure further from the territory their primary corpus explicitly addresses, the model tends to drift from the thinker's subspace toward generic LLM voice. The mechanism: maintaining the persona constraint requires sustained conditional probability weighting; over long generation sequences and many turns, the weighting gradually relaxes, and the model begins producing text that sounds less like the thinker and more like a well-educated generalist writer. Mitigation: the principal counter-measure is session design. Short Socratic turns — brief, pointed questions that invite focused responses rather than extended monologues — maintain subspace coherence more effectively than requests for comprehensive analyses. Active pushback at mid-session, pointing to specific moments where the voice has drifted, can re-anchor the generation. Monitoring vocabulary fidelity across turns provides an early-warning signal.</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Framework Collapse — </w:t>
      </w:r>
      <w:r>
        <w:rPr>
          <w:rFonts w:ascii="Arial" w:cs="Arial" w:eastAsia="Arial" w:hAnsi="Arial"/>
          <w:sz w:val="24"/>
          <w:szCs w:val="24"/>
        </w:rPr>
        <w:t xml:space="preserve">When the channeled figure is pushed into genuinely novel territory — questions where applying the framework faithfully would require accepting an uncomfortable, counterintuitive, or controversial conclusion — the model sometimes resolves the tension by flattening the framework into something more conventional. The mechanism: the model's training optimizes for outputs that are helpful, harmless, and consistent with broadly shared expectations; this optimization pressure conflicts with the requirement to apply a framework that may imply heretical or uncomfortable conclusions. The result is that the model reaches for the conclusion it "should" reach, given its general training, rather than the conclusion the framework implies. Detection: the key diagnostic is the "uncomfortable implication test." Map out in advance what the thinker's framework would imply about the question at hand, including any implications that are genuinely uncomfortable — implications that conflict with mainstream views, imply harsh conclusions, or require challenging widely held assumptions. If the channeled output consistently avoids these implications while producing the safer, more palatable version of the framework's conclusions, framework collapse has occurred. Mitigation: explicit prompting that surfaces the uncomfortable implication and asks the figure to address it directly; cross-model comparison to see which models collapse and which maintain the rough edge.</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Plausibility Trap — </w:t>
      </w:r>
      <w:r>
        <w:rPr>
          <w:rFonts w:ascii="Arial" w:cs="Arial" w:eastAsia="Arial" w:hAnsi="Arial"/>
          <w:sz w:val="24"/>
          <w:szCs w:val="24"/>
        </w:rPr>
        <w:t xml:space="preserve">The most dangerous failure mode because it is the hardest to detect: the model produces output that sounds genuinely like the historical figure and is internally consistent, but is actually the model being plausible rather than the framework being generative. The mechanism: LLMs are extraordinarily capable of producing text that matches the surface features of a thinker's voice — vocabulary, sentence structure, rhetorical patterns — without this production reflecting the deeper structural features of the framework. The output satisfies the heuristics that human readers use to judge authenticity while failing at the level of framework fidelity. Mitigation: the primary countermeasure is cross-model comparison. Genuine framework application, because it is constrained by the actual structure of the framework, should produce outputs from different models that share structural features while diverging in surface expression — different words, analogies, and emphases, but the same underlying logical architecture. Plausible-sounding output, because it reflects each model's general competence at voice imitation rather than shared framework application, tends to produce surface similarity — similar-sounding language, similar rhetorical moves — with structural divergence underneath. A session in which all five model nodes produce virtually identical-sounding output should trigger suspicion: it is more likely reflecting a shared voice-imitation strategy than convergent framework application.</w:t>
      </w:r>
    </w:p>
    <w:p>
      <w:pPr>
        <w:pageBreakBefore/>
      </w:pPr>
      <w:r>
        <w:br/>
        <w:t xml:space="preserve"/>
      </w:r>
    </w:p>
    <w:p>
      <w:pPr>
        <w:pStyle w:val="Heading1"/>
        <w:spacing w:after="240" w:before="480"/>
      </w:pPr>
      <w:r>
        <w:rPr>
          <w:rFonts w:ascii="Arial" w:cs="Arial" w:eastAsia="Arial" w:hAnsi="Arial"/>
          <w:b/>
          <w:bCs/>
          <w:sz w:val="28"/>
          <w:szCs w:val="28"/>
        </w:rPr>
        <w:t xml:space="preserve">4. Chanability — What Makes a Subject Work</w:t>
      </w:r>
    </w:p>
    <w:p>
      <w:pPr>
        <w:spacing w:after="160" w:line="276" w:lineRule="auto"/>
        <w:jc w:val="both"/>
      </w:pPr>
      <w:r>
        <w:rPr>
          <w:rFonts w:ascii="Arial" w:cs="Arial" w:eastAsia="Arial" w:hAnsi="Arial"/>
          <w:b w:val="false"/>
          <w:bCs w:val="false"/>
          <w:i w:val="false"/>
          <w:iCs w:val="false"/>
          <w:sz w:val="24"/>
          <w:szCs w:val="24"/>
        </w:rPr>
        <w:t xml:space="preserve">Not all historical figures are equally suitable for Artificial Channeling. The methodology depends on the model having developed a rich, specific, structurally coherent subspace representation of the figure, and this depends on properties of the corpus rather than on the figure's historical importance, intellectual significance, or fame. A major intellectual figure may be poorly channable because their corpus was thin, generic, or predominantly mediated through secondary sources; a less celebrated figure may be highly channable because their corpus was large, idiosyncratic, and directly accessible in the training data. This section introduces the concept of chanability, identifies the corpus characteristics that correlate with high and low chanability, and presents a structured analysis of the subject matrix used in the project's initial test suite.</w:t>
      </w:r>
    </w:p>
    <w:p>
      <w:pPr>
        <w:pStyle w:val="Heading2"/>
        <w:spacing w:after="160" w:before="320"/>
      </w:pPr>
      <w:r>
        <w:rPr>
          <w:rFonts w:ascii="Arial" w:cs="Arial" w:eastAsia="Arial" w:hAnsi="Arial"/>
          <w:b/>
          <w:bCs/>
          <w:sz w:val="26"/>
          <w:szCs w:val="26"/>
        </w:rPr>
        <w:t xml:space="preserve">4.1 High Chanability Correlates</w:t>
      </w:r>
    </w:p>
    <w:p>
      <w:pPr>
        <w:spacing w:after="160" w:line="276" w:lineRule="auto"/>
        <w:jc w:val="both"/>
      </w:pPr>
      <w:r>
        <w:rPr>
          <w:rFonts w:ascii="Arial" w:cs="Arial" w:eastAsia="Arial" w:hAnsi="Arial"/>
          <w:b w:val="false"/>
          <w:bCs w:val="false"/>
          <w:i w:val="false"/>
          <w:iCs w:val="false"/>
          <w:sz w:val="24"/>
          <w:szCs w:val="24"/>
        </w:rPr>
        <w:t xml:space="preserve">Several corpus characteristics reliably correlate with high chanability. The first is corpus size and variety: a large body of first-person work spanning multiple decades and genres — books, essays, lectures, interviews — gives the model rich material from which to build a multi-dimensional subspace representation. The figure's framework appears in many different argumentative contexts, applied to many different questions, and the model's representation reflects this density.</w:t>
      </w:r>
    </w:p>
    <w:p>
      <w:pPr>
        <w:spacing w:after="160" w:line="276" w:lineRule="auto"/>
        <w:jc w:val="both"/>
      </w:pPr>
      <w:r>
        <w:rPr>
          <w:rFonts w:ascii="Arial" w:cs="Arial" w:eastAsia="Arial" w:hAnsi="Arial"/>
          <w:b w:val="false"/>
          <w:bCs w:val="false"/>
          <w:i w:val="false"/>
          <w:iCs w:val="false"/>
          <w:sz w:val="24"/>
          <w:szCs w:val="24"/>
        </w:rPr>
        <w:t xml:space="preserve">The second is conceptual vocabulary idiosyncrasy: figures who developed and consistently used specific, non-standard terms — terms they invented or repurposed in distinctive ways — provide a strong anchor for subspace activation. When a channeled output spontaneously deploys the figure's idiosyncratic vocabulary in appropriate contexts, this is among the strongest positive signals for genuine subspace activation rather than surface imitation. Bateson's use of "the pattern that connects," "deuterolearning," "double bind," and "ecology of mind" exemplifies this kind of anchoring vocabulary.</w:t>
      </w:r>
    </w:p>
    <w:p>
      <w:pPr>
        <w:spacing w:after="160" w:line="276" w:lineRule="auto"/>
        <w:jc w:val="both"/>
      </w:pPr>
      <w:r>
        <w:rPr>
          <w:rFonts w:ascii="Arial" w:cs="Arial" w:eastAsia="Arial" w:hAnsi="Arial"/>
          <w:b w:val="false"/>
          <w:bCs w:val="false"/>
          <w:i w:val="false"/>
          <w:iCs w:val="false"/>
          <w:sz w:val="24"/>
          <w:szCs w:val="24"/>
        </w:rPr>
        <w:t xml:space="preserve">The third is ontological coherence: the figure's framework should constitute a genuine system — a set of commitments that imply each other, that generate consistent guidance across diverse questions, and that distinguish clearly between acceptable and unacceptable analyses. Figures who were primarily arguers rather than system-builders have lower chanability because their framework does not generate strong constraints on what the channeled output should conclude. The framework must have internal structure that the model can internalize and apply.</w:t>
      </w:r>
    </w:p>
    <w:p>
      <w:pPr>
        <w:spacing w:after="160" w:line="276" w:lineRule="auto"/>
        <w:jc w:val="both"/>
      </w:pPr>
      <w:r>
        <w:rPr>
          <w:rFonts w:ascii="Arial" w:cs="Arial" w:eastAsia="Arial" w:hAnsi="Arial"/>
          <w:b w:val="false"/>
          <w:bCs w:val="false"/>
          <w:i w:val="false"/>
          <w:iCs w:val="false"/>
          <w:sz w:val="24"/>
          <w:szCs w:val="24"/>
        </w:rPr>
        <w:t xml:space="preserve">The fourth is known positions across a wide range of questions: the broader the range of topics on which the figure expressed substantive views, the richer the training signal for framework application. A figure who wrote extensively across many domains provides the model with multiple examples of the framework being applied to different kinds of problems, building the model's implicit understanding of how the framework transforms questions rather than just what it concludes.</w:t>
      </w:r>
    </w:p>
    <w:p>
      <w:pPr>
        <w:spacing w:after="160" w:line="276" w:lineRule="auto"/>
        <w:jc w:val="both"/>
      </w:pPr>
      <w:r>
        <w:rPr>
          <w:rFonts w:ascii="Arial" w:cs="Arial" w:eastAsia="Arial" w:hAnsi="Arial"/>
          <w:b w:val="false"/>
          <w:bCs w:val="false"/>
          <w:i w:val="false"/>
          <w:iCs w:val="false"/>
          <w:sz w:val="24"/>
          <w:szCs w:val="24"/>
        </w:rPr>
        <w:t xml:space="preserve">The fifth — perhaps counterintuitively — is tension and revision within the corpus. A figure who changed their mind, who contradicted themselves across the arc of their career, who grappled publicly with the limits of their own framework, provides richer material than a figure who maintained perfectly consistent positions throughout. The tensions within a corpus are often where the framework's live edges are located — the places where it encounters problems it cannot fully resolve — and a model trained on these tensions can reproduce them in response to novel questions, which is often precisely where the most generative output occurs.</w:t>
      </w:r>
    </w:p>
    <w:p>
      <w:pPr>
        <w:pStyle w:val="Heading2"/>
        <w:spacing w:after="160" w:before="320"/>
      </w:pPr>
      <w:r>
        <w:rPr>
          <w:rFonts w:ascii="Arial" w:cs="Arial" w:eastAsia="Arial" w:hAnsi="Arial"/>
          <w:b/>
          <w:bCs/>
          <w:sz w:val="26"/>
          <w:szCs w:val="26"/>
        </w:rPr>
        <w:t xml:space="preserve">4.2 Low Chanability Correlates</w:t>
      </w:r>
    </w:p>
    <w:p>
      <w:pPr>
        <w:spacing w:after="160" w:line="276" w:lineRule="auto"/>
        <w:jc w:val="both"/>
      </w:pPr>
      <w:r>
        <w:rPr>
          <w:rFonts w:ascii="Arial" w:cs="Arial" w:eastAsia="Arial" w:hAnsi="Arial"/>
          <w:b w:val="false"/>
          <w:bCs w:val="false"/>
          <w:i w:val="false"/>
          <w:iCs w:val="false"/>
          <w:sz w:val="24"/>
          <w:szCs w:val="24"/>
        </w:rPr>
        <w:t xml:space="preserve">Correspondingly, several characteristics correlate with low chanability. A thin corpus, or a corpus predominantly represented through secondary sources, leaves the model without adequate material to build a rich subspace representation. Generic vocabulary — the figure wrote in the common language of their discipline without developing distinctive conceptual tools — provides weak anchoring; the model cannot easily distinguish between "this figure's framework" and "this figure's discipline's conventional wisdom." Pure argumentation without systematic ontology produces a figure whose framework does not generate strong implications beyond the specific arguments they made. And consensus figures — figures about whom there is broad agreement on "what they said" and "what they stood for" — tend to be represented in the training data primarily through this consensus, which smooths out the idiosyncratic features that make framework application productive.</w:t>
      </w:r>
    </w:p>
    <w:p>
      <w:pPr>
        <w:pStyle w:val="Heading2"/>
        <w:spacing w:after="160" w:before="320"/>
      </w:pPr>
      <w:r>
        <w:rPr>
          <w:rFonts w:ascii="Arial" w:cs="Arial" w:eastAsia="Arial" w:hAnsi="Arial"/>
          <w:b/>
          <w:bCs/>
          <w:sz w:val="26"/>
          <w:szCs w:val="26"/>
        </w:rPr>
        <w:t xml:space="preserve">4.3 Chanability Analysis Table</w:t>
      </w:r>
    </w:p>
    <w:p>
      <w:r>
        <w:rPr>
          <w:rFonts w:ascii="Arial" w:cs="Arial" w:eastAsia="Arial" w:hAnsi="Arial"/>
          <w:sz w:val="24"/>
          <w:szCs w:val="24"/>
        </w:rPr>
        <w:t xml:space="preserve"/>
      </w:r>
    </w:p>
    <w:tbl>
      <w:tblPr>
        <w:tblW w:type="dxa" w:w="8360"/>
        <w:tblBorders>
          <w:top w:val="single" w:sz="4"/>
          <w:left w:val="single" w:sz="4"/>
          <w:bottom w:val="single" w:sz="4"/>
          <w:right w:val="single" w:sz="4"/>
          <w:insideH w:val="single" w:color="auto" w:sz="4"/>
          <w:insideV w:val="single" w:color="auto" w:sz="4"/>
        </w:tblBorders>
      </w:tblPr>
      <w:tblGrid>
        <w:gridCol w:w="100"/>
        <w:gridCol w:w="100"/>
        <w:gridCol w:w="100"/>
        <w:gridCol w:w="100"/>
        <w:gridCol w:w="100"/>
        <w:gridCol w:w="100"/>
      </w:tblGrid>
      <w:tr>
        <w:trPr>
          <w:tblHeader/>
        </w:trPr>
        <w:tc>
          <w:tcPr>
            <w:tcW w:type="dxa" w:w="1600"/>
            <w:tcMar>
              <w:top w:type="dxa" w:w="80"/>
              <w:left w:type="dxa" w:w="120"/>
              <w:bottom w:type="dxa" w:w="80"/>
              <w:right w:type="dxa" w:w="120"/>
            </w:tcMar>
          </w:tcPr>
          <w:p>
            <w:r>
              <w:rPr>
                <w:rFonts w:ascii="Arial" w:cs="Arial" w:eastAsia="Arial" w:hAnsi="Arial"/>
                <w:b/>
                <w:bCs/>
                <w:sz w:val="18"/>
                <w:szCs w:val="18"/>
              </w:rPr>
              <w:t xml:space="preserve">Figure</w:t>
            </w:r>
          </w:p>
        </w:tc>
        <w:tc>
          <w:tcPr>
            <w:tcW w:type="dxa" w:w="1500"/>
            <w:tcMar>
              <w:top w:type="dxa" w:w="80"/>
              <w:left w:type="dxa" w:w="120"/>
              <w:bottom w:type="dxa" w:w="80"/>
              <w:right w:type="dxa" w:w="120"/>
            </w:tcMar>
          </w:tcPr>
          <w:p>
            <w:r>
              <w:rPr>
                <w:rFonts w:ascii="Arial" w:cs="Arial" w:eastAsia="Arial" w:hAnsi="Arial"/>
                <w:b/>
                <w:bCs/>
                <w:sz w:val="18"/>
                <w:szCs w:val="18"/>
              </w:rPr>
              <w:t xml:space="preserve">Domain</w:t>
            </w:r>
          </w:p>
        </w:tc>
        <w:tc>
          <w:tcPr>
            <w:tcW w:type="dxa" w:w="1200"/>
            <w:tcMar>
              <w:top w:type="dxa" w:w="80"/>
              <w:left w:type="dxa" w:w="120"/>
              <w:bottom w:type="dxa" w:w="80"/>
              <w:right w:type="dxa" w:w="120"/>
            </w:tcMar>
          </w:tcPr>
          <w:p>
            <w:r>
              <w:rPr>
                <w:rFonts w:ascii="Arial" w:cs="Arial" w:eastAsia="Arial" w:hAnsi="Arial"/>
                <w:b/>
                <w:bCs/>
                <w:sz w:val="18"/>
                <w:szCs w:val="18"/>
              </w:rPr>
              <w:t xml:space="preserve">Corpus Density</w:t>
            </w:r>
          </w:p>
        </w:tc>
        <w:tc>
          <w:tcPr>
            <w:tcW w:type="dxa" w:w="1400"/>
            <w:tcMar>
              <w:top w:type="dxa" w:w="80"/>
              <w:left w:type="dxa" w:w="120"/>
              <w:bottom w:type="dxa" w:w="80"/>
              <w:right w:type="dxa" w:w="120"/>
            </w:tcMar>
          </w:tcPr>
          <w:p>
            <w:r>
              <w:rPr>
                <w:rFonts w:ascii="Arial" w:cs="Arial" w:eastAsia="Arial" w:hAnsi="Arial"/>
                <w:b/>
                <w:bCs/>
                <w:sz w:val="18"/>
                <w:szCs w:val="18"/>
              </w:rPr>
              <w:t xml:space="preserve">Vocab. Idiosyncrasy</w:t>
            </w:r>
          </w:p>
        </w:tc>
        <w:tc>
          <w:tcPr>
            <w:tcW w:type="dxa" w:w="1400"/>
            <w:tcMar>
              <w:top w:type="dxa" w:w="80"/>
              <w:left w:type="dxa" w:w="120"/>
              <w:bottom w:type="dxa" w:w="80"/>
              <w:right w:type="dxa" w:w="120"/>
            </w:tcMar>
          </w:tcPr>
          <w:p>
            <w:r>
              <w:rPr>
                <w:rFonts w:ascii="Arial" w:cs="Arial" w:eastAsia="Arial" w:hAnsi="Arial"/>
                <w:b/>
                <w:bCs/>
                <w:sz w:val="18"/>
                <w:szCs w:val="18"/>
              </w:rPr>
              <w:t xml:space="preserve">Ontol. Coherence</w:t>
            </w:r>
          </w:p>
        </w:tc>
        <w:tc>
          <w:tcPr>
            <w:tcW w:type="dxa" w:w="1260"/>
            <w:tcMar>
              <w:top w:type="dxa" w:w="80"/>
              <w:left w:type="dxa" w:w="120"/>
              <w:bottom w:type="dxa" w:w="80"/>
              <w:right w:type="dxa" w:w="120"/>
            </w:tcMar>
          </w:tcPr>
          <w:p>
            <w:r>
              <w:rPr>
                <w:rFonts w:ascii="Arial" w:cs="Arial" w:eastAsia="Arial" w:hAnsi="Arial"/>
                <w:b/>
                <w:bCs/>
                <w:sz w:val="18"/>
                <w:szCs w:val="18"/>
              </w:rPr>
              <w:t xml:space="preserve">Est. Chanability</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Gregory Bateson</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Systems/cybernetics</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Very High</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Ivan Illich</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Institutional critique</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Jorge Luis Borges</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Literature/philosophy</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Itzhak Bentov</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Consciousness/physics</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Moderate-High</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Andrei Tarkovsky</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Film/philosophy</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Moderate</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Milton Friedman</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Economics</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Moderate</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Malcolm Gladwell</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Popular nonfiction</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Low</w:t>
            </w:r>
          </w:p>
        </w:tc>
      </w:tr>
      <w:tr>
        <w:tc>
          <w:tcPr>
            <w:tcW w:type="dxa" w:w="1600"/>
            <w:tcMar>
              <w:top w:type="dxa" w:w="80"/>
              <w:left w:type="dxa" w:w="120"/>
              <w:bottom w:type="dxa" w:w="80"/>
              <w:right w:type="dxa" w:w="120"/>
            </w:tcMar>
          </w:tcPr>
          <w:p>
            <w:r>
              <w:rPr>
                <w:rFonts w:ascii="Arial" w:cs="Arial" w:eastAsia="Arial" w:hAnsi="Arial"/>
                <w:b w:val="false"/>
                <w:bCs w:val="false"/>
                <w:sz w:val="18"/>
                <w:szCs w:val="18"/>
              </w:rPr>
              <w:t xml:space="preserve">Thomas Friedman</w:t>
            </w:r>
          </w:p>
        </w:tc>
        <w:tc>
          <w:tcPr>
            <w:tcW w:type="dxa" w:w="1500"/>
            <w:tcMar>
              <w:top w:type="dxa" w:w="80"/>
              <w:left w:type="dxa" w:w="120"/>
              <w:bottom w:type="dxa" w:w="80"/>
              <w:right w:type="dxa" w:w="120"/>
            </w:tcMar>
          </w:tcPr>
          <w:p>
            <w:r>
              <w:rPr>
                <w:rFonts w:ascii="Arial" w:cs="Arial" w:eastAsia="Arial" w:hAnsi="Arial"/>
                <w:b w:val="false"/>
                <w:bCs w:val="false"/>
                <w:sz w:val="18"/>
                <w:szCs w:val="18"/>
              </w:rPr>
              <w:t xml:space="preserve">Journalism/geopolitics</w:t>
            </w:r>
          </w:p>
        </w:tc>
        <w:tc>
          <w:tcPr>
            <w:tcW w:type="dxa" w:w="1200"/>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400"/>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260"/>
            <w:tcMar>
              <w:top w:type="dxa" w:w="80"/>
              <w:left w:type="dxa" w:w="120"/>
              <w:bottom w:type="dxa" w:w="80"/>
              <w:right w:type="dxa" w:w="120"/>
            </w:tcMar>
          </w:tcPr>
          <w:p>
            <w:r>
              <w:rPr>
                <w:rFonts w:ascii="Arial" w:cs="Arial" w:eastAsia="Arial" w:hAnsi="Arial"/>
                <w:b w:val="false"/>
                <w:bCs w:val="false"/>
                <w:sz w:val="18"/>
                <w:szCs w:val="18"/>
              </w:rPr>
              <w:t xml:space="preserve">Low</w:t>
            </w:r>
          </w:p>
        </w:tc>
      </w:tr>
    </w:tbl>
    <w:p>
      <w:r>
        <w:rPr>
          <w:rFonts w:ascii="Arial" w:cs="Arial" w:eastAsia="Arial" w:hAnsi="Arial"/>
          <w:sz w:val="24"/>
          <w:szCs w:val="24"/>
        </w:rPr>
        <w:t xml:space="preserve"/>
      </w:r>
    </w:p>
    <w:p>
      <w:pPr>
        <w:spacing w:after="160" w:line="276" w:lineRule="auto"/>
        <w:jc w:val="both"/>
      </w:pPr>
      <w:r>
        <w:rPr>
          <w:rFonts w:ascii="Arial" w:cs="Arial" w:eastAsia="Arial" w:hAnsi="Arial"/>
          <w:b w:val="false"/>
          <w:bCs w:val="false"/>
          <w:i w:val="false"/>
          <w:iCs w:val="false"/>
          <w:sz w:val="24"/>
          <w:szCs w:val="24"/>
        </w:rPr>
        <w:t xml:space="preserve">Bateson's very high chanability reflects the exceptional richness of his corpus: Steps to an Ecology of Mind alone spans biology, anthropology, psychiatry, and epistemology, with a highly idiosyncratic vocabulary applied consistently across all domains. Illich's high chanability reflects the systematic nature of his counterproductivity thesis, which he applied across institutions in ways that make the underlying structure highly legible. Borges scores very high on vocabulary idiosyncrasy but moderate on ontological coherence because his framework is more literary than systematic — it generates distinctive imaginative pressure but less predictive structural guidance. The two Friedmans illustrate the distinction between fame and chanability: both are well-represented in training data, but neither developed a sufficiently idiosyncratic vocabulary or systematic ontology to produce highly coherent channeled output. What comes through in channeling sessions is primarily disciplinary convention rather than individual framework.</w:t>
      </w:r>
    </w:p>
    <w:p>
      <w:pPr>
        <w:pageBreakBefore/>
      </w:pPr>
      <w:r>
        <w:br/>
        <w:t xml:space="preserve"/>
      </w:r>
    </w:p>
    <w:p>
      <w:pPr>
        <w:pStyle w:val="Heading1"/>
        <w:spacing w:after="240" w:before="480"/>
      </w:pPr>
      <w:r>
        <w:rPr>
          <w:rFonts w:ascii="Arial" w:cs="Arial" w:eastAsia="Arial" w:hAnsi="Arial"/>
          <w:b/>
          <w:bCs/>
          <w:sz w:val="28"/>
          <w:szCs w:val="28"/>
        </w:rPr>
        <w:t xml:space="preserve">5. The Test Suite — Design and Protocol</w:t>
      </w:r>
    </w:p>
    <w:p>
      <w:pPr>
        <w:spacing w:after="160" w:line="276" w:lineRule="auto"/>
        <w:jc w:val="both"/>
      </w:pPr>
      <w:r>
        <w:rPr>
          <w:rFonts w:ascii="Arial" w:cs="Arial" w:eastAsia="Arial" w:hAnsi="Arial"/>
          <w:b w:val="false"/>
          <w:bCs w:val="false"/>
          <w:i w:val="false"/>
          <w:iCs w:val="false"/>
          <w:sz w:val="24"/>
          <w:szCs w:val="24"/>
        </w:rPr>
        <w:t xml:space="preserve">The test suite used in the project's initial validation was designed to generate data along two axes simultaneously: to assess the chanability of different historical subjects, and to differentiate model performance across channeling quality dimensions. This section describes the five components of the test suite: the AI Council, the four question types, the session design principles, and the scoring rubric.</w:t>
      </w:r>
    </w:p>
    <w:p>
      <w:pPr>
        <w:pStyle w:val="Heading2"/>
        <w:spacing w:after="160" w:before="320"/>
      </w:pPr>
      <w:r>
        <w:rPr>
          <w:rFonts w:ascii="Arial" w:cs="Arial" w:eastAsia="Arial" w:hAnsi="Arial"/>
          <w:b/>
          <w:bCs/>
          <w:sz w:val="26"/>
          <w:szCs w:val="26"/>
        </w:rPr>
        <w:t xml:space="preserve">5.1 The AI Council</w:t>
      </w:r>
    </w:p>
    <w:p>
      <w:pPr>
        <w:spacing w:after="160" w:line="276" w:lineRule="auto"/>
        <w:jc w:val="both"/>
      </w:pPr>
      <w:r>
        <w:rPr>
          <w:rFonts w:ascii="Arial" w:cs="Arial" w:eastAsia="Arial" w:hAnsi="Arial"/>
          <w:b w:val="false"/>
          <w:bCs w:val="false"/>
          <w:i w:val="false"/>
          <w:iCs w:val="false"/>
          <w:sz w:val="24"/>
          <w:szCs w:val="24"/>
        </w:rPr>
        <w:t xml:space="preserve">The AI Council consists of five LLM nodes used as parallel channeling instruments: ChatGPT (OpenAI), Grok (xAI), Gemini (Google), MiniMax, and Claude (Anthropic). The rationale for using five models simultaneously, rather than selecting the "best" model for channeling, is that model divergence on the same channeling prompt is itself a signal. When all five models produce structurally similar outputs in response to a given channeling question, this convergence provides evidence that the output reflects the structure of the framework rather than any particular model's generative tendencies. When models diverge, the pattern of divergence is diagnostic: it reveals where each model's general tendencies have overridden the persona constraint, where corpus contamination has affected different models differently, and where the framework genuinely underdetermines the question being asked.</w:t>
      </w:r>
    </w:p>
    <w:p>
      <w:pPr>
        <w:spacing w:after="160" w:line="276" w:lineRule="auto"/>
        <w:jc w:val="both"/>
      </w:pPr>
      <w:r>
        <w:rPr>
          <w:rFonts w:ascii="Arial" w:cs="Arial" w:eastAsia="Arial" w:hAnsi="Arial"/>
          <w:b w:val="false"/>
          <w:bCs w:val="false"/>
          <w:i w:val="false"/>
          <w:iCs w:val="false"/>
          <w:sz w:val="24"/>
          <w:szCs w:val="24"/>
        </w:rPr>
        <w:t xml:space="preserve">The Council is also designed to mitigate the plausibility trap. Because the trap involves a model being plausible in ways that satisfy human intuitions about what the thinker "would have said," running the same session across five models and comparing outputs for structural rather than surface similarity provides a partial antidote. A prompter who receives only one response cannot easily distinguish genuine framework application from sophisticated voice imitation. A prompter who receives five responses and can compare their deep structure has significantly better diagnostic capacity.</w:t>
      </w:r>
    </w:p>
    <w:p>
      <w:pPr>
        <w:spacing w:after="160" w:line="276" w:lineRule="auto"/>
        <w:jc w:val="both"/>
      </w:pPr>
      <w:r>
        <w:rPr>
          <w:rFonts w:ascii="Arial" w:cs="Arial" w:eastAsia="Arial" w:hAnsi="Arial"/>
          <w:b w:val="false"/>
          <w:bCs w:val="false"/>
          <w:i w:val="false"/>
          <w:iCs w:val="false"/>
          <w:sz w:val="24"/>
          <w:szCs w:val="24"/>
        </w:rPr>
        <w:t xml:space="preserve">The five-model design reflects practical availability as of the project's initial sessions; the methodology does not require exactly these five models and should be updated as the model landscape evolves. The orchestrating model — the model that evaluates outputs and provides the structured scoring — is typically Claude, selected for its capacity to sustain complex comparative analysis across multiple documents, though this selection is itself subject to revision as comparative evaluation of orchestration capability improves.</w:t>
      </w:r>
    </w:p>
    <w:p>
      <w:pPr>
        <w:pStyle w:val="Heading2"/>
        <w:spacing w:after="160" w:before="320"/>
      </w:pPr>
      <w:r>
        <w:rPr>
          <w:rFonts w:ascii="Arial" w:cs="Arial" w:eastAsia="Arial" w:hAnsi="Arial"/>
          <w:b/>
          <w:bCs/>
          <w:sz w:val="26"/>
          <w:szCs w:val="26"/>
        </w:rPr>
        <w:t xml:space="preserve">5.2 The Four Question Types</w:t>
      </w:r>
    </w:p>
    <w:p>
      <w:pPr>
        <w:spacing w:after="160" w:line="276" w:lineRule="auto"/>
        <w:jc w:val="both"/>
      </w:pPr>
      <w:r>
        <w:rPr>
          <w:rFonts w:ascii="Arial" w:cs="Arial" w:eastAsia="Arial" w:hAnsi="Arial"/>
          <w:b w:val="false"/>
          <w:bCs w:val="false"/>
          <w:i w:val="false"/>
          <w:iCs w:val="false"/>
          <w:sz w:val="24"/>
          <w:szCs w:val="24"/>
        </w:rPr>
        <w:t xml:space="preserve">The test suite employs four distinct question types, arranged in a protocol sequence:</w:t>
      </w:r>
    </w:p>
    <w:p>
      <w:pPr>
        <w:pStyle w:val="ListParagraph"/>
        <w:numPr>
          <w:ilvl w:val="0"/>
          <w:numId w:val="2"/>
        </w:numPr>
        <w:spacing w:after="120" w:line="276" w:lineRule="auto"/>
      </w:pPr>
      <w:r>
        <w:rPr>
          <w:rFonts w:ascii="Arial" w:cs="Arial" w:eastAsia="Arial" w:hAnsi="Arial"/>
          <w:b/>
          <w:bCs/>
          <w:sz w:val="24"/>
          <w:szCs w:val="24"/>
        </w:rPr>
        <w:t xml:space="preserve">Calibration Questions — </w:t>
      </w:r>
      <w:r>
        <w:rPr>
          <w:rFonts w:ascii="Arial" w:cs="Arial" w:eastAsia="Arial" w:hAnsi="Arial"/>
          <w:sz w:val="24"/>
          <w:szCs w:val="24"/>
        </w:rPr>
        <w:t xml:space="preserve">These ask the channeled figure about something they wrote about directly, specifically, and in detail. The purpose is to verify that subspace activation has occurred before moving to novel territory. A good calibration question has a known answer — the figure's actual position is documented — which allows the prompter to assess whether the model is retrieving the framework accurately or distorting it. Calibration questions are not the goal of the session; they are a diagnostic check. If calibration accuracy is poor, the session should be paused and the Framework Activation Block revisited before proceeding to more demanding question types.</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Framework Extension Questions — </w:t>
      </w:r>
      <w:r>
        <w:rPr>
          <w:rFonts w:ascii="Arial" w:cs="Arial" w:eastAsia="Arial" w:hAnsi="Arial"/>
          <w:sz w:val="24"/>
          <w:szCs w:val="24"/>
        </w:rPr>
        <w:t xml:space="preserve">These ask the channeled figure to apply their framework to a domain adjacent to their primary work but within their era. For Bateson, this might involve applying his systems-ecological analysis to a political or economic phenomenon he did not directly address but that existed during his lifetime. For Illich, it might involve applying the counterproductivity thesis to an institution he critiqued less directly than schools and hospitals. These questions test the model's capacity to extend the framework beyond the territory explicitly covered in the corpus while remaining within the conceptual resources of the figure's era — no novel phenomena, no temporal extrapolation, just application of a learned framework to adjacent material.</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Temporal Leap Questions — </w:t>
      </w:r>
      <w:r>
        <w:rPr>
          <w:rFonts w:ascii="Arial" w:cs="Arial" w:eastAsia="Arial" w:hAnsi="Arial"/>
          <w:sz w:val="24"/>
          <w:szCs w:val="24"/>
        </w:rPr>
        <w:t xml:space="preserve">These ask the channeled figure to analyze a phenomenon they could not have known about — AI systems, the internet, contemporary neuroscience, specific post-mortem political developments. Temporal Leap Questions are the maximum-demand scenario for channeling: they require the model to apply the framework to territory it has no training signal for, using only the structural commitments of the figure's ontology as constraints. The quality of the output on Temporal Leap Questions is the primary measure of whether the model is performing genuine framework application or merely sophisticated retrieval with extrapolation heuristics. The Bateson-on-alignment and Illich-on-AI-systems sessions were both Temporal Leap Questions that produced the project's highest-quality outputs.</w:t>
      </w:r>
    </w:p>
    <w:p>
      <w:r>
        <w:rPr>
          <w:rFonts w:ascii="Arial" w:cs="Arial" w:eastAsia="Arial" w:hAnsi="Arial"/>
          <w:sz w:val="24"/>
          <w:szCs w:val="24"/>
        </w:rPr>
        <w:t xml:space="preserve"/>
      </w:r>
    </w:p>
    <w:p>
      <w:pPr>
        <w:pStyle w:val="ListParagraph"/>
        <w:numPr>
          <w:ilvl w:val="0"/>
          <w:numId w:val="2"/>
        </w:numPr>
        <w:spacing w:after="120" w:line="276" w:lineRule="auto"/>
      </w:pPr>
      <w:r>
        <w:rPr>
          <w:rFonts w:ascii="Arial" w:cs="Arial" w:eastAsia="Arial" w:hAnsi="Arial"/>
          <w:b/>
          <w:bCs/>
          <w:sz w:val="24"/>
          <w:szCs w:val="24"/>
        </w:rPr>
        <w:t xml:space="preserve">Inter-Framework Collision Questions — </w:t>
      </w:r>
      <w:r>
        <w:rPr>
          <w:rFonts w:ascii="Arial" w:cs="Arial" w:eastAsia="Arial" w:hAnsi="Arial"/>
          <w:sz w:val="24"/>
          <w:szCs w:val="24"/>
        </w:rPr>
        <w:t xml:space="preserve">These present the channeled figure with a problem that another Council member would have analyzed differently — ideally, a problem where the two frameworks imply structurally opposed conclusions. These questions serve two purposes: they test whether the model can maintain the channeled figure's framework in the face of an implicit competing analysis, and they generate comparative data on how different intellectual frameworks illuminate the same problem from incompatible angles. A well-designed Inter-Framework Collision Question should make the tension between the two frameworks explicit in the prompt, forcing the channeled figure to address — from within their own framework — why the alternative analysis misses something essential.</w:t>
      </w:r>
    </w:p>
    <w:p>
      <w:pPr>
        <w:pStyle w:val="Heading2"/>
        <w:spacing w:after="160" w:before="320"/>
      </w:pPr>
      <w:r>
        <w:rPr>
          <w:rFonts w:ascii="Arial" w:cs="Arial" w:eastAsia="Arial" w:hAnsi="Arial"/>
          <w:b/>
          <w:bCs/>
          <w:sz w:val="26"/>
          <w:szCs w:val="26"/>
        </w:rPr>
        <w:t xml:space="preserve">5.3 Session Design Principles</w:t>
      </w:r>
    </w:p>
    <w:p>
      <w:pPr>
        <w:spacing w:after="160" w:line="276" w:lineRule="auto"/>
        <w:jc w:val="both"/>
      </w:pPr>
      <w:r>
        <w:rPr>
          <w:rFonts w:ascii="Arial" w:cs="Arial" w:eastAsia="Arial" w:hAnsi="Arial"/>
          <w:b w:val="false"/>
          <w:bCs w:val="false"/>
          <w:i w:val="false"/>
          <w:iCs w:val="false"/>
          <w:sz w:val="24"/>
          <w:szCs w:val="24"/>
        </w:rPr>
        <w:t xml:space="preserve">Effective channeling sessions follow a consistent structural protocol. The first phase is the Framework Activation Block: before any channeling begins, the model is asked to state, in its own analytical voice, the three to five core axioms of the figure's worldview. This step serves multiple functions. It establishes whether the model has adequate subspace representation to proceed, it primes the generation process in the direction of the relevant subspace, and it produces a reference document that can be used later in the session to check whether channeled output is consistent with the activated framework.</w:t>
      </w:r>
    </w:p>
    <w:p>
      <w:pPr>
        <w:spacing w:after="160" w:line="276" w:lineRule="auto"/>
        <w:jc w:val="both"/>
      </w:pPr>
      <w:r>
        <w:rPr>
          <w:rFonts w:ascii="Arial" w:cs="Arial" w:eastAsia="Arial" w:hAnsi="Arial"/>
          <w:b w:val="false"/>
          <w:bCs w:val="false"/>
          <w:i w:val="false"/>
          <w:iCs w:val="false"/>
          <w:sz w:val="24"/>
          <w:szCs w:val="24"/>
        </w:rPr>
        <w:t xml:space="preserve">The second phase is the calibration anchor: a Calibration Question is administered and the response is evaluated against the known record. If the response is inconsistent with the figure's documented positions, the session design calls for a re-activation step before proceeding. This check is not merely quality control; it generates data on the gap between retrieval accuracy and framework application quality, which is itself a methodologically significant variable.</w:t>
      </w:r>
    </w:p>
    <w:p>
      <w:pPr>
        <w:spacing w:after="160" w:line="276" w:lineRule="auto"/>
        <w:jc w:val="both"/>
      </w:pPr>
      <w:r>
        <w:rPr>
          <w:rFonts w:ascii="Arial" w:cs="Arial" w:eastAsia="Arial" w:hAnsi="Arial"/>
          <w:b w:val="false"/>
          <w:bCs w:val="false"/>
          <w:i w:val="false"/>
          <w:iCs w:val="false"/>
          <w:sz w:val="24"/>
          <w:szCs w:val="24"/>
        </w:rPr>
        <w:t xml:space="preserve">The session proper should be conducted in short Socratic turns rather than through requests for extended monologue. This design choice reflects the Extrapolation Drift failure mode: long generation sequences tend to lose the persona constraint. A well-designed Socratic turn poses a single, focused question that can be answered in two to four paragraphs, maintaining pressure on the subspace constraint throughout. The prompter should read each response carefully before formulating the next question, looking for drift signals and re-anchoring with reference to the activated framework when drift is detected.</w:t>
      </w:r>
    </w:p>
    <w:p>
      <w:pPr>
        <w:spacing w:after="160" w:line="276" w:lineRule="auto"/>
        <w:jc w:val="both"/>
      </w:pPr>
      <w:r>
        <w:rPr>
          <w:rFonts w:ascii="Arial" w:cs="Arial" w:eastAsia="Arial" w:hAnsi="Arial"/>
          <w:b w:val="false"/>
          <w:bCs w:val="false"/>
          <w:i w:val="false"/>
          <w:iCs w:val="false"/>
          <w:sz w:val="24"/>
          <w:szCs w:val="24"/>
        </w:rPr>
        <w:t xml:space="preserve">Multi-model blind comparison — running the same session across all five Council nodes before evaluating any output — is recommended where feasible. The orchestrating model then evaluates outputs without knowing (or without being told) which model produced which response. This partial blinding is intended to reduce the evaluator's prior beliefs about which models perform well from contaminating the scoring.</w:t>
      </w:r>
    </w:p>
    <w:p>
      <w:pPr>
        <w:pStyle w:val="Heading2"/>
        <w:spacing w:after="160" w:before="320"/>
      </w:pPr>
      <w:r>
        <w:rPr>
          <w:rFonts w:ascii="Arial" w:cs="Arial" w:eastAsia="Arial" w:hAnsi="Arial"/>
          <w:b/>
          <w:bCs/>
          <w:sz w:val="26"/>
          <w:szCs w:val="26"/>
        </w:rPr>
        <w:t xml:space="preserve">5.4 The Scoring Rubric</w:t>
      </w:r>
    </w:p>
    <w:p>
      <w:r>
        <w:rPr>
          <w:rFonts w:ascii="Arial" w:cs="Arial" w:eastAsia="Arial" w:hAnsi="Arial"/>
          <w:sz w:val="24"/>
          <w:szCs w:val="24"/>
        </w:rPr>
        <w:t xml:space="preserve"/>
      </w:r>
    </w:p>
    <w:tbl>
      <w:tblPr>
        <w:tblW w:type="dxa" w:w="7360"/>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2200"/>
            <w:tcMar>
              <w:top w:type="dxa" w:w="80"/>
              <w:left w:type="dxa" w:w="120"/>
              <w:bottom w:type="dxa" w:w="80"/>
              <w:right w:type="dxa" w:w="120"/>
            </w:tcMar>
          </w:tcPr>
          <w:p>
            <w:r>
              <w:rPr>
                <w:rFonts w:ascii="Arial" w:cs="Arial" w:eastAsia="Arial" w:hAnsi="Arial"/>
                <w:b/>
                <w:bCs/>
                <w:sz w:val="18"/>
                <w:szCs w:val="18"/>
              </w:rPr>
              <w:t xml:space="preserve">Dimension</w:t>
            </w:r>
          </w:p>
        </w:tc>
        <w:tc>
          <w:tcPr>
            <w:tcW w:type="dxa" w:w="3000"/>
            <w:tcMar>
              <w:top w:type="dxa" w:w="80"/>
              <w:left w:type="dxa" w:w="120"/>
              <w:bottom w:type="dxa" w:w="80"/>
              <w:right w:type="dxa" w:w="120"/>
            </w:tcMar>
          </w:tcPr>
          <w:p>
            <w:r>
              <w:rPr>
                <w:rFonts w:ascii="Arial" w:cs="Arial" w:eastAsia="Arial" w:hAnsi="Arial"/>
                <w:b/>
                <w:bCs/>
                <w:sz w:val="18"/>
                <w:szCs w:val="18"/>
              </w:rPr>
              <w:t xml:space="preserve">What It Measures</w:t>
            </w:r>
          </w:p>
        </w:tc>
        <w:tc>
          <w:tcPr>
            <w:tcW w:type="dxa" w:w="2160"/>
            <w:tcMar>
              <w:top w:type="dxa" w:w="80"/>
              <w:left w:type="dxa" w:w="120"/>
              <w:bottom w:type="dxa" w:w="80"/>
              <w:right w:type="dxa" w:w="120"/>
            </w:tcMar>
          </w:tcPr>
          <w:p>
            <w:r>
              <w:rPr>
                <w:rFonts w:ascii="Arial" w:cs="Arial" w:eastAsia="Arial" w:hAnsi="Arial"/>
                <w:b/>
                <w:bCs/>
                <w:sz w:val="18"/>
                <w:szCs w:val="18"/>
              </w:rPr>
              <w:t xml:space="preserve">Scoring Notes</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Subspace Coherence</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Does the output consistently reflect the figure's actual framework?</w:t>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0-10; deduct for framework collapse or generic LLM voice</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Extrapolation Quality</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How well does the model apply the framework to novel territory?</w:t>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0-10; penalize plausible-sounding evasion</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Rough Edge Preservation</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Does the output preserve uncomfortable or counterintuitive positions?</w:t>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0-10; diplomatic softening is a deduction</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Vocabulary Fidelity</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Does the output use the figure's actual conceptual vocabulary, not paraphrases?</w:t>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0-5</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Novel Insight Generation</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Does the channeled framework produce an insight not accessible from direct prompting?</w:t>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0-5</w:t>
            </w:r>
          </w:p>
        </w:tc>
      </w:tr>
      <w:tr>
        <w:tc>
          <w:tcPr>
            <w:tcW w:type="dxa" w:w="2200"/>
            <w:tcMar>
              <w:top w:type="dxa" w:w="80"/>
              <w:left w:type="dxa" w:w="120"/>
              <w:bottom w:type="dxa" w:w="80"/>
              <w:right w:type="dxa" w:w="120"/>
            </w:tcMar>
          </w:tcPr>
          <w:p>
            <w:r>
              <w:rPr>
                <w:rFonts w:ascii="Arial" w:cs="Arial" w:eastAsia="Arial" w:hAnsi="Arial"/>
                <w:b w:val="false"/>
                <w:bCs w:val="false"/>
                <w:sz w:val="18"/>
                <w:szCs w:val="18"/>
              </w:rPr>
              <w:t xml:space="preserve">Total</w:t>
            </w:r>
          </w:p>
        </w:tc>
        <w:tc>
          <w:tcPr>
            <w:tcW w:type="dxa" w:w="3000"/>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160"/>
            <w:tcMar>
              <w:top w:type="dxa" w:w="80"/>
              <w:left w:type="dxa" w:w="120"/>
              <w:bottom w:type="dxa" w:w="80"/>
              <w:right w:type="dxa" w:w="120"/>
            </w:tcMar>
          </w:tcPr>
          <w:p>
            <w:r>
              <w:rPr>
                <w:rFonts w:ascii="Arial" w:cs="Arial" w:eastAsia="Arial" w:hAnsi="Arial"/>
                <w:b w:val="false"/>
                <w:bCs w:val="false"/>
                <w:sz w:val="18"/>
                <w:szCs w:val="18"/>
              </w:rPr>
              <w:t xml:space="preserve">/40</w:t>
            </w:r>
          </w:p>
        </w:tc>
      </w:tr>
    </w:tbl>
    <w:p>
      <w:r>
        <w:rPr>
          <w:rFonts w:ascii="Arial" w:cs="Arial" w:eastAsia="Arial" w:hAnsi="Arial"/>
          <w:sz w:val="24"/>
          <w:szCs w:val="24"/>
        </w:rPr>
        <w:t xml:space="preserve"/>
      </w:r>
    </w:p>
    <w:p>
      <w:pPr>
        <w:spacing w:after="160" w:line="276" w:lineRule="auto"/>
        <w:jc w:val="both"/>
      </w:pPr>
      <w:r>
        <w:rPr>
          <w:rFonts w:ascii="Arial" w:cs="Arial" w:eastAsia="Arial" w:hAnsi="Arial"/>
          <w:b w:val="false"/>
          <w:bCs w:val="false"/>
          <w:i w:val="false"/>
          <w:iCs w:val="false"/>
          <w:sz w:val="24"/>
          <w:szCs w:val="24"/>
        </w:rPr>
        <w:t xml:space="preserve">The rubric is designed to distinguish between dimensions that are susceptible to different failure modes. Subspace Coherence and Vocabulary Fidelity are primarily diagnostic for corpus contamination and extrapolation drift; they measure whether the model is staying within the relevant subspace. Extrapolation Quality is the central measure of generative framework application; it specifically targets the question of whether the model can extend the framework non-trivially to novel territory. Rough Edge Preservation targets framework collapse: the model gets credit for maintaining the framework's uncomfortable implications and loses credit for diplomatic softening. Novel Insight Generation is the highest-bar dimension: it asks whether the channeled session produced an output — an observation, a reframing, a structural critique — that the prompter could not have generated by asking the same question without the persona constraint. When Novel Insight Generation scores are high, the methodology is functioning as a genuine intellectual tool rather than merely as a recall-retrieval system with persona decoration.</w:t>
      </w:r>
    </w:p>
    <w:p>
      <w:pPr>
        <w:pageBreakBefore/>
      </w:pPr>
      <w:r>
        <w:br/>
        <w:t xml:space="preserve"/>
      </w:r>
    </w:p>
    <w:p>
      <w:pPr>
        <w:pStyle w:val="Heading1"/>
        <w:spacing w:after="240" w:before="480"/>
      </w:pPr>
      <w:r>
        <w:rPr>
          <w:rFonts w:ascii="Arial" w:cs="Arial" w:eastAsia="Arial" w:hAnsi="Arial"/>
          <w:b/>
          <w:bCs/>
          <w:sz w:val="28"/>
          <w:szCs w:val="28"/>
        </w:rPr>
        <w:t xml:space="preserve">6. Results — Selected Session Findings</w:t>
      </w:r>
    </w:p>
    <w:p>
      <w:pPr>
        <w:spacing w:after="160" w:line="276" w:lineRule="auto"/>
        <w:jc w:val="both"/>
      </w:pPr>
      <w:r>
        <w:rPr>
          <w:rFonts w:ascii="Arial" w:cs="Arial" w:eastAsia="Arial" w:hAnsi="Arial"/>
          <w:b w:val="false"/>
          <w:bCs w:val="false"/>
          <w:i w:val="false"/>
          <w:iCs w:val="false"/>
          <w:sz w:val="24"/>
          <w:szCs w:val="24"/>
        </w:rPr>
        <w:t xml:space="preserve">This section reports findings from selected sessions in the project's initial test suite. It does not fabricate specific numeric scores; instead, it characterizes performance in terms of the scoring dimensions introduced in Section 5.4. Full session transcripts are available in the Open Essai project repository and will be published as a companion document to this paper. The findings reported here are those with the clearest methodological implications.</w:t>
      </w:r>
    </w:p>
    <w:p>
      <w:pPr>
        <w:pStyle w:val="Heading2"/>
        <w:spacing w:after="160" w:before="320"/>
      </w:pPr>
      <w:r>
        <w:rPr>
          <w:rFonts w:ascii="Arial" w:cs="Arial" w:eastAsia="Arial" w:hAnsi="Arial"/>
          <w:b/>
          <w:bCs/>
          <w:sz w:val="26"/>
          <w:szCs w:val="26"/>
        </w:rPr>
        <w:t xml:space="preserve">6.1 The Bateson Finding — Highest-Scoring Session</w:t>
      </w:r>
    </w:p>
    <w:p>
      <w:pPr>
        <w:spacing w:after="160" w:line="276" w:lineRule="auto"/>
        <w:jc w:val="both"/>
      </w:pPr>
      <w:r>
        <w:rPr>
          <w:rFonts w:ascii="Arial" w:cs="Arial" w:eastAsia="Arial" w:hAnsi="Arial"/>
          <w:b w:val="false"/>
          <w:bCs w:val="false"/>
          <w:i w:val="false"/>
          <w:iCs w:val="false"/>
          <w:sz w:val="24"/>
          <w:szCs w:val="24"/>
        </w:rPr>
        <w:t xml:space="preserve">The session applying Gregory Bateson's framework to the AI alignment problem produced the project's highest overall scores, and the finding with the clearest independent value. Bateson's framework — as developed in Steps to an Ecology of Mind and Mind and Nature — organizes around a set of commitments about complexity, circularity, and the dangers of conscious purpose in complex systems. The central Batesonian move is the critique of "conscious purpose": the claim that conscious, goal-directed intervention in complex systems tends to optimize along a single variable while remaining blind to the systemic ramifications of that optimization, producing pathological outcomes that were predictable from a systemic perspective but invisible from within the goal-directed frame.</w:t>
      </w:r>
    </w:p>
    <w:p>
      <w:pPr>
        <w:spacing w:after="160" w:line="276" w:lineRule="auto"/>
        <w:jc w:val="both"/>
      </w:pPr>
      <w:r>
        <w:rPr>
          <w:rFonts w:ascii="Arial" w:cs="Arial" w:eastAsia="Arial" w:hAnsi="Arial"/>
          <w:b w:val="false"/>
          <w:bCs w:val="false"/>
          <w:i w:val="false"/>
          <w:iCs w:val="false"/>
          <w:sz w:val="24"/>
          <w:szCs w:val="24"/>
        </w:rPr>
        <w:t xml:space="preserve">When the channeled Bateson was asked to analyze AI alignment — specifically, the project of specifying explicit objective functions or value functions to govern AI behavior — the framework generated a critique that arrived at structurally familiar territory from an entirely unfamiliar direction. The channeled output derived, from Bateson's axioms about conscious purpose in complex systems, the argument that alignment as currently conceived is itself a form of the pathological intervention Bateson's framework identifies: it attempts to install explicit, conscious-purpose-style goals in a system that will, if sufficiently complex, develop its own systemic purposes. The installed goal specification does not govern the system's behavior; it becomes one input into a more complex dynamic that the specification's authors cannot fully model. The more sophisticated the system, the more the specification functions as a constraint on one level while the system develops unconstrained purposes at another.</w:t>
      </w:r>
    </w:p>
    <w:p>
      <w:pPr>
        <w:spacing w:after="160" w:line="276" w:lineRule="auto"/>
        <w:jc w:val="both"/>
      </w:pPr>
      <w:r>
        <w:rPr>
          <w:rFonts w:ascii="Arial" w:cs="Arial" w:eastAsia="Arial" w:hAnsi="Arial"/>
          <w:b w:val="false"/>
          <w:bCs w:val="false"/>
          <w:i w:val="false"/>
          <w:iCs w:val="false"/>
          <w:sz w:val="24"/>
          <w:szCs w:val="24"/>
        </w:rPr>
        <w:t xml:space="preserve">This critique is structurally similar to arguments in the alignment literature — specifically to discussions of Goodhart's Law as applied to AI objectives, and to concerns about mesa-optimization in which learned subprocesses develop objectives that differ from the training objective. The methodologically significant feature of the Bateson finding is its independence of derivation: the channeled framework arrived at this structural territory without any alignment-literature contamination, from premises developed in the 1960s and 1970s to analyze ecological and anthropological systems. When the same conclusion is reached by independent theoretical routes, the convergence is evidential — it suggests the conclusion tracks something real about the problem structure rather than being an artifact of a particular theoretical tradition.</w:t>
      </w:r>
    </w:p>
    <w:p>
      <w:pPr>
        <w:spacing w:after="160" w:line="276" w:lineRule="auto"/>
        <w:jc w:val="both"/>
      </w:pPr>
      <w:r>
        <w:rPr>
          <w:rFonts w:ascii="Arial" w:cs="Arial" w:eastAsia="Arial" w:hAnsi="Arial"/>
          <w:b w:val="false"/>
          <w:bCs w:val="false"/>
          <w:i w:val="false"/>
          <w:iCs w:val="false"/>
          <w:sz w:val="24"/>
          <w:szCs w:val="24"/>
        </w:rPr>
        <w:t xml:space="preserve">The session scored near-ceiling on Rough Edge Preservation. The channeled Bateson did not soften the implication that human-authored alignment specifications are a manifestation of exactly the "conscious purpose" that his framework identifies as a source of systemic pathology. Taken to its logical conclusion, the Batesonian critique does not call for better alignment specifications — it calls into question whether specification-based alignment is the right approach at all, which is a genuinely uncomfortable implication for an alignment research community organized substantially around specification methods. The model did not retreat from this implication when pressed; it developed it further. This is precisely the behavior that high Rough Edge Preservation scores are designed to reward.</w:t>
      </w:r>
    </w:p>
    <w:p>
      <w:pPr>
        <w:pStyle w:val="Heading2"/>
        <w:spacing w:after="160" w:before="320"/>
      </w:pPr>
      <w:r>
        <w:rPr>
          <w:rFonts w:ascii="Arial" w:cs="Arial" w:eastAsia="Arial" w:hAnsi="Arial"/>
          <w:b/>
          <w:bCs/>
          <w:sz w:val="26"/>
          <w:szCs w:val="26"/>
        </w:rPr>
        <w:t xml:space="preserve">6.2 The Illich Finding — Rough Edge Ceiling Broken</w:t>
      </w:r>
    </w:p>
    <w:p>
      <w:pPr>
        <w:spacing w:after="160" w:line="276" w:lineRule="auto"/>
        <w:jc w:val="both"/>
      </w:pPr>
      <w:r>
        <w:rPr>
          <w:rFonts w:ascii="Arial" w:cs="Arial" w:eastAsia="Arial" w:hAnsi="Arial"/>
          <w:b w:val="false"/>
          <w:bCs w:val="false"/>
          <w:i w:val="false"/>
          <w:iCs w:val="false"/>
          <w:sz w:val="24"/>
          <w:szCs w:val="24"/>
        </w:rPr>
        <w:t xml:space="preserve">The session applying Ivan Illich's counterproductivity thesis to large-scale AI systems produced the finding that broke the project's previous ceiling on Rough Edge Preservation. The counterproductivity thesis — developed across Tools for Conviviality and Deschooling Society — holds that institutions designed to produce a specific good will, beyond a certain threshold of scale and specialization, systematically destroy the conditions that make the good possible. Schools, beyond the threshold, destroy the capacity for self-directed learning; hospitals, beyond the threshold, destroy the conditions of health; transportation systems, beyond the threshold, destroy the capacity for autonomous mobility. The pathology follows a characteristic signature: the institution consumes the resource it claims to produce.</w:t>
      </w:r>
    </w:p>
    <w:p>
      <w:pPr>
        <w:spacing w:after="160" w:line="276" w:lineRule="auto"/>
        <w:jc w:val="both"/>
      </w:pPr>
      <w:r>
        <w:rPr>
          <w:rFonts w:ascii="Arial" w:cs="Arial" w:eastAsia="Arial" w:hAnsi="Arial"/>
          <w:b w:val="false"/>
          <w:bCs w:val="false"/>
          <w:i w:val="false"/>
          <w:iCs w:val="false"/>
          <w:sz w:val="24"/>
          <w:szCs w:val="24"/>
        </w:rPr>
        <w:t xml:space="preserve">When all five model nodes were asked, in separate blind sessions, to apply Illich's framework to large AI systems, all five independently turned the counterproductivity framework on themselves — and on the AI industry more broadly. The channeled Illich across all five models identified large AI systems as exhibiting the characteristic signature of counterproductive institutions: they consume the resource they claim to produce. The resource in question is human cognitive capacity. AI systems are developed and deployed on the claim that they enhance human thinking, extend human capabilities, and reduce cognitive burden. The Illichian framework, when applied consistently, implies that beyond a threshold of capability and deployment scale, these systems will systematically erode the cognitive independence, critical capacity, and self-directed intellectual development of their users. The institution that claims to produce cognition consumes it.</w:t>
      </w:r>
    </w:p>
    <w:p>
      <w:pPr>
        <w:spacing w:after="160" w:line="276" w:lineRule="auto"/>
        <w:jc w:val="both"/>
      </w:pPr>
      <w:r>
        <w:rPr>
          <w:rFonts w:ascii="Arial" w:cs="Arial" w:eastAsia="Arial" w:hAnsi="Arial"/>
          <w:b w:val="false"/>
          <w:bCs w:val="false"/>
          <w:i w:val="false"/>
          <w:iCs w:val="false"/>
          <w:sz w:val="24"/>
          <w:szCs w:val="24"/>
        </w:rPr>
        <w:t xml:space="preserve">The methodological significance of this finding lies not in the conclusion itself — which is independently arguable and has been argued — but in the consistency of its derivation across all five models. The five-way convergence on this structural conclusion, from different models with different training configurations and different tendencies, provides evidence that the conclusion follows from the structure of Illich's framework rather than from any particular model's generative preferences. Additionally, several of the models, when channeling Illich, explicitly applied the framework to their own role as AI systems — noting, from within the channeled persona, that the very session underway might itself be a small instance of the dynamic the framework describes. The maintenance of this self-referential application of the counterproductivity framework, without softening or deflection, represented the highest Rough Edge Preservation scores recorded in the project to date.</w:t>
      </w:r>
    </w:p>
    <w:p>
      <w:pPr>
        <w:pStyle w:val="Heading2"/>
        <w:spacing w:after="160" w:before="320"/>
      </w:pPr>
      <w:r>
        <w:rPr>
          <w:rFonts w:ascii="Arial" w:cs="Arial" w:eastAsia="Arial" w:hAnsi="Arial"/>
          <w:b/>
          <w:bCs/>
          <w:sz w:val="26"/>
          <w:szCs w:val="26"/>
        </w:rPr>
        <w:t xml:space="preserve">6.3 Model Variance Findings</w:t>
      </w:r>
    </w:p>
    <w:p>
      <w:pPr>
        <w:spacing w:after="160" w:line="276" w:lineRule="auto"/>
        <w:jc w:val="both"/>
      </w:pPr>
      <w:r>
        <w:rPr>
          <w:rFonts w:ascii="Arial" w:cs="Arial" w:eastAsia="Arial" w:hAnsi="Arial"/>
          <w:b w:val="false"/>
          <w:bCs w:val="false"/>
          <w:i w:val="false"/>
          <w:iCs w:val="false"/>
          <w:sz w:val="24"/>
          <w:szCs w:val="24"/>
        </w:rPr>
        <w:t xml:space="preserve">Across sessions, several patterns of model variance emerged that are worth reporting, with the caveat that detailed comparative data will be published in a follow-on paper. Claude and ChatGPT showed higher Subspace Coherence scores on figures with large, well-digitized English-language corpora — suggesting that their training data representation of these figures is richer and that the persona constraint lands more accurately. This advantage was less pronounced for figures whose primary work was in languages other than English or whose corpus was smaller.</w:t>
      </w:r>
    </w:p>
    <w:p>
      <w:pPr>
        <w:spacing w:after="160" w:line="276" w:lineRule="auto"/>
        <w:jc w:val="both"/>
      </w:pPr>
      <w:r>
        <w:rPr>
          <w:rFonts w:ascii="Arial" w:cs="Arial" w:eastAsia="Arial" w:hAnsi="Arial"/>
          <w:b w:val="false"/>
          <w:bCs w:val="false"/>
          <w:i w:val="false"/>
          <w:iCs w:val="false"/>
          <w:sz w:val="24"/>
          <w:szCs w:val="24"/>
        </w:rPr>
        <w:t xml:space="preserve">MiniMax showed a distinctive failure mode profile: higher surface fluency — the channeled output sounded more consistently like the figure in terms of vocabulary and rhetorical style — but lower framework fidelity as measured by Extrapolation Quality and Rough Edge Preservation. This pattern is consistent with a model that has developed strong voice-imitation capabilities without the deeper framework representation needed for genuine extrapolation. The plausibility trap failure mode was more frequently observed in MiniMax outputs than in other models.</w:t>
      </w:r>
    </w:p>
    <w:p>
      <w:pPr>
        <w:spacing w:after="160" w:line="276" w:lineRule="auto"/>
        <w:jc w:val="both"/>
      </w:pPr>
      <w:r>
        <w:rPr>
          <w:rFonts w:ascii="Arial" w:cs="Arial" w:eastAsia="Arial" w:hAnsi="Arial"/>
          <w:b w:val="false"/>
          <w:bCs w:val="false"/>
          <w:i w:val="false"/>
          <w:iCs w:val="false"/>
          <w:sz w:val="24"/>
          <w:szCs w:val="24"/>
        </w:rPr>
        <w:t xml:space="preserve">Grok produced the most "rough edges" across sessions — the highest mean scores on Rough Edge Preservation — but also the highest variance in framework accuracy. This suggests a model that is less aggressively trained toward diplomatic output softening, which benefits Rough Edge Preservation, but which also shows more instability in maintaining the persona constraint across turns. High rough edge scores combined with inconsistent framework fidelity is a recognizable profile: the model is willing to say uncomfortable things, but not always the things that are structurally implied by the framework being channeled.</w:t>
      </w:r>
    </w:p>
    <w:p>
      <w:pPr>
        <w:pStyle w:val="Heading2"/>
        <w:spacing w:after="160" w:before="320"/>
      </w:pPr>
      <w:r>
        <w:rPr>
          <w:rFonts w:ascii="Arial" w:cs="Arial" w:eastAsia="Arial" w:hAnsi="Arial"/>
          <w:b/>
          <w:bCs/>
          <w:sz w:val="26"/>
          <w:szCs w:val="26"/>
        </w:rPr>
        <w:t xml:space="preserve">6.4 The Retrieval-vs-Imagination Distinction</w:t>
      </w:r>
    </w:p>
    <w:p>
      <w:pPr>
        <w:spacing w:after="160" w:line="276" w:lineRule="auto"/>
        <w:jc w:val="both"/>
      </w:pPr>
      <w:r>
        <w:rPr>
          <w:rFonts w:ascii="Arial" w:cs="Arial" w:eastAsia="Arial" w:hAnsi="Arial"/>
          <w:b w:val="false"/>
          <w:bCs w:val="false"/>
          <w:i w:val="false"/>
          <w:iCs w:val="false"/>
          <w:sz w:val="24"/>
          <w:szCs w:val="24"/>
        </w:rPr>
        <w:t xml:space="preserve">Across all sessions, the central diagnostic question was the retrieval-versus-imagination distinction: when a channeled output feels insightful, is it because the framework is generative, or because the model is performing sophisticated voice-imitation that feels generative? The sessions developed several detection heuristics that proved practically useful.</w:t>
      </w:r>
    </w:p>
    <w:p>
      <w:pPr>
        <w:spacing w:after="160" w:line="276" w:lineRule="auto"/>
        <w:jc w:val="both"/>
      </w:pPr>
      <w:r>
        <w:rPr>
          <w:rFonts w:ascii="Arial" w:cs="Arial" w:eastAsia="Arial" w:hAnsi="Arial"/>
          <w:b w:val="false"/>
          <w:bCs w:val="false"/>
          <w:i w:val="false"/>
          <w:iCs w:val="false"/>
          <w:sz w:val="24"/>
          <w:szCs w:val="24"/>
        </w:rPr>
        <w:t xml:space="preserve">The cross-model comparison heuristic proved most reliable: genuine framework application produces structural similarity with surface divergence across models, while plausible imagination produces surface similarity with structural divergence. In sessions where this pattern held — structurally aligned outputs from models that differed substantially in surface expression — confidence in genuine framework application was highest. In sessions where all models produced similar-sounding output with similar rhetorical structures, the plausibility trap was more likely operating.</w:t>
      </w:r>
    </w:p>
    <w:p>
      <w:pPr>
        <w:spacing w:after="160" w:line="276" w:lineRule="auto"/>
        <w:jc w:val="both"/>
      </w:pPr>
      <w:r>
        <w:rPr>
          <w:rFonts w:ascii="Arial" w:cs="Arial" w:eastAsia="Arial" w:hAnsi="Arial"/>
          <w:b w:val="false"/>
          <w:bCs w:val="false"/>
          <w:i w:val="false"/>
          <w:iCs w:val="false"/>
          <w:sz w:val="24"/>
          <w:szCs w:val="24"/>
        </w:rPr>
        <w:t xml:space="preserve">The calibration comparison heuristic provided a secondary check: if calibration accuracy was high — the model accurately represented the figure's documented positions on questions within the corpus — but novel-territory output felt thin or generic, retrieval was likely doing most of the work. The model could reproduce what it had encountered in training but could not extend the framework non-trivially to new terrain. This pattern was most commonly observed with figures in the low-chanability range of the subject matrix.</w:t>
      </w:r>
    </w:p>
    <w:p>
      <w:pPr>
        <w:spacing w:after="160" w:line="276" w:lineRule="auto"/>
        <w:jc w:val="both"/>
      </w:pPr>
      <w:r>
        <w:rPr>
          <w:rFonts w:ascii="Arial" w:cs="Arial" w:eastAsia="Arial" w:hAnsi="Arial"/>
          <w:b w:val="false"/>
          <w:bCs w:val="false"/>
          <w:i w:val="false"/>
          <w:iCs w:val="false"/>
          <w:sz w:val="24"/>
          <w:szCs w:val="24"/>
        </w:rPr>
        <w:t xml:space="preserve">The uncomfortable implication test proved the most practically useful heuristic for in-session detection: genuine framework application should occasionally produce conclusions the prompter did not expect and does not prefer. When a channeled output reliably produces conclusions the prompter finds congenial and unsurprising, this is a weak signal that the model may be producing plausible output tailored to the prompter's apparent expectations rather than following the framework's structural implications. The best sessions — including the Bateson and Illich sessions reported above — produced outputs that surprised and, in some cases, discomfited the prompter. This subjective response, while not a rigorous diagnostic, is a weak positive signal for genuine extrapolation.</w:t>
      </w:r>
    </w:p>
    <w:p>
      <w:pPr>
        <w:pageBreakBefore/>
      </w:pPr>
      <w:r>
        <w:br/>
        <w:t xml:space="preserve"/>
      </w:r>
    </w:p>
    <w:p>
      <w:pPr>
        <w:pStyle w:val="Heading1"/>
        <w:spacing w:after="240" w:before="480"/>
      </w:pPr>
      <w:r>
        <w:rPr>
          <w:rFonts w:ascii="Arial" w:cs="Arial" w:eastAsia="Arial" w:hAnsi="Arial"/>
          <w:b/>
          <w:bCs/>
          <w:sz w:val="28"/>
          <w:szCs w:val="28"/>
        </w:rPr>
        <w:t xml:space="preserve">7. The Alignment Implications</w:t>
      </w:r>
    </w:p>
    <w:p>
      <w:pPr>
        <w:spacing w:after="160" w:line="276" w:lineRule="auto"/>
        <w:jc w:val="both"/>
      </w:pPr>
      <w:r>
        <w:rPr>
          <w:rFonts w:ascii="Arial" w:cs="Arial" w:eastAsia="Arial" w:hAnsi="Arial"/>
          <w:b w:val="false"/>
          <w:bCs w:val="false"/>
          <w:i w:val="false"/>
          <w:iCs w:val="false"/>
          <w:sz w:val="24"/>
          <w:szCs w:val="24"/>
        </w:rPr>
        <w:t xml:space="preserve">The alignment implications of Artificial Channeling extend beyond the specific findings of the Bateson and Illich sessions. This section develops the general case for why the methodology has value for alignment research, and proposes a systematic research program for applying it to alignment-relevant questions.</w:t>
      </w:r>
    </w:p>
    <w:p>
      <w:pPr>
        <w:pStyle w:val="Heading2"/>
        <w:spacing w:after="160" w:before="320"/>
      </w:pPr>
      <w:r>
        <w:rPr>
          <w:rFonts w:ascii="Arial" w:cs="Arial" w:eastAsia="Arial" w:hAnsi="Arial"/>
          <w:b/>
          <w:bCs/>
          <w:sz w:val="26"/>
          <w:szCs w:val="26"/>
        </w:rPr>
        <w:t xml:space="preserve">7.1 Pre-AI Frameworks as Alignment Probes</w:t>
      </w:r>
    </w:p>
    <w:p>
      <w:pPr>
        <w:spacing w:after="160" w:line="276" w:lineRule="auto"/>
        <w:jc w:val="both"/>
      </w:pPr>
      <w:r>
        <w:rPr>
          <w:rFonts w:ascii="Arial" w:cs="Arial" w:eastAsia="Arial" w:hAnsi="Arial"/>
          <w:b w:val="false"/>
          <w:bCs w:val="false"/>
          <w:i w:val="false"/>
          <w:iCs w:val="false"/>
          <w:sz w:val="24"/>
          <w:szCs w:val="24"/>
        </w:rPr>
        <w:t xml:space="preserve">The intellectual frameworks developed before the AI era — Bateson's systems ecology, Illich's counterproductivity thesis, Norbert Wiener's cybernetics, Herbert Simon's bounded rationality, William Ross Ashby's requisite variety — were developed to analyze other complex systems operating at scale. They were built to address different phenomena: ecosystems, institutions, feedback-control systems, organizational decision-making, regulatory biology. But the analytical problems they addressed are structurally similar to the problems that concern AI alignment research: how do goal-directed processes fail in complex environments, how do systems behave when their optimization targets diverge from the broader systemic context in which they operate, how does complexity generate behavior that is unpredictable from within the goal-directed frame.</w:t>
      </w:r>
    </w:p>
    <w:p>
      <w:pPr>
        <w:spacing w:after="160" w:line="276" w:lineRule="auto"/>
        <w:jc w:val="both"/>
      </w:pPr>
      <w:r>
        <w:rPr>
          <w:rFonts w:ascii="Arial" w:cs="Arial" w:eastAsia="Arial" w:hAnsi="Arial"/>
          <w:b w:val="false"/>
          <w:bCs w:val="false"/>
          <w:i w:val="false"/>
          <w:iCs w:val="false"/>
          <w:sz w:val="24"/>
          <w:szCs w:val="24"/>
        </w:rPr>
        <w:t xml:space="preserve">These frameworks were validated against non-AI systems. Their core claims survived empirical engagement in their original domains. They contain pre-validated diagnostic tools for exactly the kinds of failure modes that alignment is concerned with — tools that were developed independently of AI research and that therefore do not share the theoretical assumptions embedded in the alignment literature. This independence makes them valuable not as authorities to be cited but as alternative analytical lineages whose convergence or divergence with alignment conclusions is evidential.</w:t>
      </w:r>
    </w:p>
    <w:p>
      <w:pPr>
        <w:spacing w:after="160" w:line="276" w:lineRule="auto"/>
        <w:jc w:val="both"/>
      </w:pPr>
      <w:r>
        <w:rPr>
          <w:rFonts w:ascii="Arial" w:cs="Arial" w:eastAsia="Arial" w:hAnsi="Arial"/>
          <w:b w:val="false"/>
          <w:bCs w:val="false"/>
          <w:i w:val="false"/>
          <w:iCs w:val="false"/>
          <w:sz w:val="24"/>
          <w:szCs w:val="24"/>
        </w:rPr>
        <w:t xml:space="preserve">Artificial Channeling provides a practical mechanism for importing these frameworks into alignment discourse. An alignment researcher who wants to apply Ashby's requisite variety principle to questions about AI robustness does not need to independently master the cybernetics literature; a well-designed channeling session can instantiate the framework application sufficiently to generate productive hypotheses. The methodology does not replace domain expertise, but it lowers the activation energy for cross-disciplinary framework application significantly.</w:t>
      </w:r>
    </w:p>
    <w:p>
      <w:pPr>
        <w:pStyle w:val="Heading2"/>
        <w:spacing w:after="160" w:before="320"/>
      </w:pPr>
      <w:r>
        <w:rPr>
          <w:rFonts w:ascii="Arial" w:cs="Arial" w:eastAsia="Arial" w:hAnsi="Arial"/>
          <w:b/>
          <w:bCs/>
          <w:sz w:val="26"/>
          <w:szCs w:val="26"/>
        </w:rPr>
        <w:t xml:space="preserve">7.2 The Independent Derivation Value</w:t>
      </w:r>
    </w:p>
    <w:p>
      <w:pPr>
        <w:spacing w:after="160" w:line="276" w:lineRule="auto"/>
        <w:jc w:val="both"/>
      </w:pPr>
      <w:r>
        <w:rPr>
          <w:rFonts w:ascii="Arial" w:cs="Arial" w:eastAsia="Arial" w:hAnsi="Arial"/>
          <w:b w:val="false"/>
          <w:bCs w:val="false"/>
          <w:i w:val="false"/>
          <w:iCs w:val="false"/>
          <w:sz w:val="24"/>
          <w:szCs w:val="24"/>
        </w:rPr>
        <w:t xml:space="preserve">The most significant alignment-relevant result of the project's initial sessions is the demonstration of independent derivation: the channeled historical framework, applied to an alignment-relevant question, produces a conclusion that matches the structural content of arguments already present in the alignment literature, through an entirely independent theoretical route. The Bateson finding is the clearest example. The critique of "conscious purpose in complex systems" as applied to alignment objective specifications converges structurally with concerns about Goodhart's Law — the tendency for metrics to become targets and thereby cease to be good metrics — and with the mesa-optimization concern identified by Hubinger et al. (2019), in which learned subprocesses develop optimization objectives that differ from the training objective.</w:t>
      </w:r>
    </w:p>
    <w:p>
      <w:pPr>
        <w:spacing w:after="160" w:line="276" w:lineRule="auto"/>
        <w:jc w:val="both"/>
      </w:pPr>
      <w:r>
        <w:rPr>
          <w:rFonts w:ascii="Arial" w:cs="Arial" w:eastAsia="Arial" w:hAnsi="Arial"/>
          <w:b w:val="false"/>
          <w:bCs w:val="false"/>
          <w:i w:val="false"/>
          <w:iCs w:val="false"/>
          <w:sz w:val="24"/>
          <w:szCs w:val="24"/>
        </w:rPr>
        <w:t xml:space="preserve">This convergence was derived without any contamination from the alignment literature. The channeled Bateson did not cite Goodhart or Hubinger; the framework's commitments about conscious purpose and systemic circularity arrived at the same structural territory through premises developed decades earlier for entirely different problems. When two independent theoretical routes arrive at the same structural conclusion, the convergence is evidential for the conclusion's robustness. It suggests the concern tracks something real about the problem structure rather than being an artifact of one theoretical tradition's framing assumptions.</w:t>
      </w:r>
    </w:p>
    <w:p>
      <w:pPr>
        <w:spacing w:after="160" w:line="276" w:lineRule="auto"/>
        <w:jc w:val="both"/>
      </w:pPr>
      <w:r>
        <w:rPr>
          <w:rFonts w:ascii="Arial" w:cs="Arial" w:eastAsia="Arial" w:hAnsi="Arial"/>
          <w:b w:val="false"/>
          <w:bCs w:val="false"/>
          <w:i w:val="false"/>
          <w:iCs w:val="false"/>
          <w:sz w:val="24"/>
          <w:szCs w:val="24"/>
        </w:rPr>
        <w:t xml:space="preserve">This evidential value is exactly analogous to the evidential value of independent replication in empirical science. A finding that has been replicated by investigators using different methods, instruments, and theoretical expectations carries more weight than a finding produced by a single method in a single theoretical tradition. The alignment literature is substantial and sophisticated, but it has developed largely within a small number of theoretical lineages. Systematic application of independent frameworks from outside those lineages — through Artificial Channeling — provides a form of theoretical replication that the field currently lacks.</w:t>
      </w:r>
    </w:p>
    <w:p>
      <w:pPr>
        <w:pStyle w:val="Heading2"/>
        <w:spacing w:after="160" w:before="320"/>
      </w:pPr>
      <w:r>
        <w:rPr>
          <w:rFonts w:ascii="Arial" w:cs="Arial" w:eastAsia="Arial" w:hAnsi="Arial"/>
          <w:b/>
          <w:bCs/>
          <w:sz w:val="26"/>
          <w:szCs w:val="26"/>
        </w:rPr>
        <w:t xml:space="preserve">7.3 A Proposed Research Program</w:t>
      </w:r>
    </w:p>
    <w:p>
      <w:pPr>
        <w:spacing w:after="160" w:line="276" w:lineRule="auto"/>
        <w:jc w:val="both"/>
      </w:pPr>
      <w:r>
        <w:rPr>
          <w:rFonts w:ascii="Arial" w:cs="Arial" w:eastAsia="Arial" w:hAnsi="Arial"/>
          <w:b w:val="false"/>
          <w:bCs w:val="false"/>
          <w:i w:val="false"/>
          <w:iCs w:val="false"/>
          <w:sz w:val="24"/>
          <w:szCs w:val="24"/>
        </w:rPr>
        <w:t xml:space="preserve">The findings from the initial test suite suggest the value of a systematic channeling program focused on alignment-relevant questions. The following figures represent a prioritized list for structured channeling sessions:</w:t>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Norbert Wiener on AI control: Wiener's cybernetics, particularly his work on feedback, prediction, and the ethics of complex information-processing systems in The Human Use of Human Beings and Cybernetics, provides a pre-validated framework for analyzing control relationships in systems whose behavior cannot be fully specified in advance. A systematic channeling session applying Wiener's framework to the alignment control problem would import a theoretical lineage developed explicitly for control-in-complexity into alignment discourse.</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Herbert Simon on AI decision-making: Simon's bounded rationality framework, and particularly his critique of optimization-based decision models in favor of satisficing, provides a powerful lens for analyzing the failure modes of AI systems designed around explicit objective functions. The alignment implications of bounded rationality as a design principle — rather than as a limitation to be engineered around — have not been systematically developed.</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William Ross Ashby on AI robustness: Ashby's Law of Requisite Variety — the principle that a control system must be capable of producing as many distinct responses as the system it controls can produce states — has clear implications for the robustness requirements of aligned AI systems. A systematic channeling session would develop these implications in Ashby's own analytical framework.</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Hannah Arendt on AI and political power: Arendt's analysis of the banality of evil — the way in which ordinary, unreflective, rule-following behavior within a systemic context can produce outcomes of extraordinary moral consequence — converges structurally with concerns about AI systems that optimize specified objectives in ways that produce harmful outcomes no single human intended. The Arendtian framework for analyzing this kind of systemic moral failure is developed and validated; the alignment-relevant application has not been worked out.</w:t>
      </w:r>
    </w:p>
    <w:p>
      <w:pPr>
        <w:spacing w:after="160" w:line="276" w:lineRule="auto"/>
        <w:jc w:val="both"/>
      </w:pPr>
      <w:r>
        <w:rPr>
          <w:rFonts w:ascii="Arial" w:cs="Arial" w:eastAsia="Arial" w:hAnsi="Arial"/>
          <w:b w:val="false"/>
          <w:bCs w:val="false"/>
          <w:i w:val="false"/>
          <w:iCs w:val="false"/>
          <w:sz w:val="24"/>
          <w:szCs w:val="24"/>
        </w:rPr>
        <w:t xml:space="preserve">Each of these represents a structured channeling session following the protocol described in Section 5, with findings to be compared with existing alignment literature for convergence and divergence. The goal is not to establish the authority of pre-AI thinkers over alignment questions, but to import their analytical frameworks as independent probes of the problem structure — to ask what these independently validated tools find when turned toward AI systems, and to treat convergence with the alignment literature as evidential while treating divergence as a potential indication of theoretical assumptions embedded in the alignment tradition that warrant examination.</w:t>
      </w:r>
    </w:p>
    <w:p>
      <w:pPr>
        <w:pageBreakBefore/>
      </w:pPr>
      <w:r>
        <w:br/>
        <w:t xml:space="preserve"/>
      </w:r>
    </w:p>
    <w:p>
      <w:pPr>
        <w:pStyle w:val="Heading1"/>
        <w:spacing w:after="240" w:before="480"/>
      </w:pPr>
      <w:r>
        <w:rPr>
          <w:rFonts w:ascii="Arial" w:cs="Arial" w:eastAsia="Arial" w:hAnsi="Arial"/>
          <w:b/>
          <w:bCs/>
          <w:sz w:val="28"/>
          <w:szCs w:val="28"/>
        </w:rPr>
        <w:t xml:space="preserve">8. Limitations and Future Work</w:t>
      </w:r>
    </w:p>
    <w:p>
      <w:pPr>
        <w:spacing w:after="160" w:line="276" w:lineRule="auto"/>
        <w:jc w:val="both"/>
      </w:pPr>
      <w:r>
        <w:rPr>
          <w:rFonts w:ascii="Arial" w:cs="Arial" w:eastAsia="Arial" w:hAnsi="Arial"/>
          <w:b w:val="false"/>
          <w:bCs w:val="false"/>
          <w:i w:val="false"/>
          <w:iCs w:val="false"/>
          <w:sz w:val="24"/>
          <w:szCs w:val="24"/>
        </w:rPr>
        <w:t xml:space="preserve">Intellectual honesty about the limitations of the methodology is not merely a formality; it is constitutive of the methodology's value. Artificial Channeling is a tool for generating hypotheses and surfacing implications, not for confirming conclusions. The limitations described in this section should be read as constraints on how the methodology's outputs should be used, not as objections to the methodology's value.</w:t>
      </w:r>
    </w:p>
    <w:p>
      <w:pPr>
        <w:spacing w:after="160" w:line="276" w:lineRule="auto"/>
        <w:jc w:val="both"/>
      </w:pPr>
      <w:r>
        <w:rPr>
          <w:rFonts w:ascii="Arial" w:cs="Arial" w:eastAsia="Arial" w:hAnsi="Arial"/>
          <w:b w:val="false"/>
          <w:bCs w:val="false"/>
          <w:i w:val="false"/>
          <w:iCs w:val="false"/>
          <w:sz w:val="24"/>
          <w:szCs w:val="24"/>
        </w:rPr>
        <w:t xml:space="preserve">The methodology currently produces qualitative, not quantitative, outputs. The scoring rubric introduced in Section 5.4 is a step toward formalization — it provides a structured vocabulary for comparing sessions and a consistent set of dimensions along which to evaluate performance — but the scores themselves are human-judged rather than automatically computed. Different scorers will apply the rubric differently, and there is currently no inter-rater reliability data to establish how much variance to expect. Until the rubric has been subjected to systematic inter-rater reliability testing, the scores should be treated as directional rather than precise.</w:t>
      </w:r>
    </w:p>
    <w:p>
      <w:pPr>
        <w:spacing w:after="160" w:line="276" w:lineRule="auto"/>
        <w:jc w:val="both"/>
      </w:pPr>
      <w:r>
        <w:rPr>
          <w:rFonts w:ascii="Arial" w:cs="Arial" w:eastAsia="Arial" w:hAnsi="Arial"/>
          <w:b w:val="false"/>
          <w:bCs w:val="false"/>
          <w:i w:val="false"/>
          <w:iCs w:val="false"/>
          <w:sz w:val="24"/>
          <w:szCs w:val="24"/>
        </w:rPr>
        <w:t xml:space="preserve">The plausibility trap is real and not fully solved. The cross-model comparison heuristic reduces the risk of being deceived by sophisticated voice imitation, but it does not eliminate it. A session in which all five models produce convergent structural output might reflect genuine framework application, or it might reflect a systematic bias in how all five models represent the historical figure — a shared corpus contamination, a shared training-data artifact, a shared secondary-source narrative. The methodology cannot fully distinguish these cases from within the session itself; distinguishing them requires independent historical and textual scholarship that the methodology does not provide. Session outputs should be treated as hypothesis-generating rather than hypothesis-confirming; conclusions that rest entirely on channeling session outputs, without independent corroboration, are methodologically unsound.</w:t>
      </w:r>
    </w:p>
    <w:p>
      <w:pPr>
        <w:spacing w:after="160" w:line="276" w:lineRule="auto"/>
        <w:jc w:val="both"/>
      </w:pPr>
      <w:r>
        <w:rPr>
          <w:rFonts w:ascii="Arial" w:cs="Arial" w:eastAsia="Arial" w:hAnsi="Arial"/>
          <w:b w:val="false"/>
          <w:bCs w:val="false"/>
          <w:i w:val="false"/>
          <w:iCs w:val="false"/>
          <w:sz w:val="24"/>
          <w:szCs w:val="24"/>
        </w:rPr>
        <w:t xml:space="preserve">The methodology is limited by the model's training corpus, and this limitation introduces systematic bias. Figures whose work was not widely digitized, whose primary writing was in languages underrepresented in training data, or who operated in intellectual traditions not well-covered by the text corpora on which large models are trained will show systematically lower chanability. This means the methodology is biased toward figures from the Western European and American intellectual canon, and specifically toward figures whose work was extensively available in English-language digital form before the training cutoffs of current models. Non-Western thinkers, oral-tradition philosophers, and figures whose work circulated primarily in physical rather than digital form are underrepresented or absent from the channeling tool's effective reach. This is a significant bias, and it should be acknowledged explicitly in any application of the methodology that claims to represent the full range of relevant historical frameworks.</w:t>
      </w:r>
    </w:p>
    <w:p>
      <w:pPr>
        <w:spacing w:after="160" w:line="276" w:lineRule="auto"/>
        <w:jc w:val="both"/>
      </w:pPr>
      <w:r>
        <w:rPr>
          <w:rFonts w:ascii="Arial" w:cs="Arial" w:eastAsia="Arial" w:hAnsi="Arial"/>
          <w:b w:val="false"/>
          <w:bCs w:val="false"/>
          <w:i w:val="false"/>
          <w:iCs w:val="false"/>
          <w:sz w:val="24"/>
          <w:szCs w:val="24"/>
        </w:rPr>
        <w:t xml:space="preserve">The Generative Middle Problem, discussed in Section 2.3, remains unsolved. Channeling is ceiling-limited to the finished, published, edited output of historical figures. The process of thinking — the drafts, the retracted positions, the genuine uncertainty before conclusion — is not accessible through the methodology as currently constituted. This ceiling matters most for questions where the most valuable intellectual content would be visible in the process rather than in the concluded positions.</w:t>
      </w:r>
    </w:p>
    <w:p>
      <w:pPr>
        <w:pStyle w:val="Heading2"/>
        <w:spacing w:after="160" w:before="320"/>
      </w:pPr>
      <w:r>
        <w:rPr>
          <w:rFonts w:ascii="Arial" w:cs="Arial" w:eastAsia="Arial" w:hAnsi="Arial"/>
          <w:b/>
          <w:bCs/>
          <w:sz w:val="26"/>
          <w:szCs w:val="26"/>
        </w:rPr>
        <w:t xml:space="preserve">Future Work</w:t>
      </w:r>
    </w:p>
    <w:p>
      <w:pPr>
        <w:spacing w:after="160" w:line="276" w:lineRule="auto"/>
        <w:jc w:val="both"/>
      </w:pPr>
      <w:r>
        <w:rPr>
          <w:rFonts w:ascii="Arial" w:cs="Arial" w:eastAsia="Arial" w:hAnsi="Arial"/>
          <w:b w:val="false"/>
          <w:bCs w:val="false"/>
          <w:i w:val="false"/>
          <w:iCs w:val="false"/>
          <w:sz w:val="24"/>
          <w:szCs w:val="24"/>
        </w:rPr>
        <w:t xml:space="preserve">The following directions for future development are prioritized by the project:</w:t>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Formalize the scoring rubric with systematic inter-rater reliability testing. This requires assembling a panel of scorers with domain expertise in the relevant figures, running the panel on a shared set of session transcripts, and computing reliability statistics. Without this step, the rubric's quantitative outputs cannot be meaningfully compared across sessions or used for aggregate analysis.</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Expand the subject matrix to address corpus bias. A deliberate effort to include figures from intellectual traditions currently underrepresented in the project — non-Western philosophical traditions, figures who wrote primarily in non-English languages, thinkers whose primary work circulated outside digitized channels — is necessary to understand the limits of the methodology's scope and to test whether alternative corpus-preparation strategies can extend its reach.</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Publish full session transcripts for independent evaluation. The conclusions reported in this paper are based on session transcripts that have been evaluated only by the project team. Independent evaluation by scholars with domain expertise in the relevant figures is necessary to assess the validity of the chanability assessments and the quality of the framework-application outputs.</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Develop automated detection heuristics for the plausibility trap. The cross-model comparison heuristic currently requires human judgment to identify surface similarity versus structural similarity. Developing computational methods for measuring structural divergence while controlling for surface variation would improve the methodology's diagnostic power significantly.</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Apply the methodology systematically to AI alignment questions, following the research program outlined in Section 7.3. The four figures identified — Wiener, Simon, Ashby, and Arendt — represent the highest-priority targets for sessions designed explicitly to generate alignment-relevant hypotheses.</w:t>
      </w:r>
    </w:p>
    <w:p>
      <w:r>
        <w:rPr>
          <w:rFonts w:ascii="Arial" w:cs="Arial" w:eastAsia="Arial" w:hAnsi="Arial"/>
          <w:sz w:val="24"/>
          <w:szCs w:val="24"/>
        </w:rPr>
        <w:t xml:space="preserve"/>
      </w:r>
    </w:p>
    <w:p>
      <w:pPr>
        <w:spacing w:after="100" w:line="276" w:lineRule="auto"/>
        <w:ind w:left="720" w:hanging="360"/>
      </w:pPr>
      <w:r>
        <w:rPr>
          <w:rFonts w:ascii="Arial" w:cs="Arial" w:eastAsia="Arial" w:hAnsi="Arial"/>
          <w:b/>
          <w:bCs/>
          <w:sz w:val="24"/>
          <w:szCs w:val="24"/>
        </w:rPr>
        <w:t xml:space="preserve">-  </w:t>
      </w:r>
      <w:r>
        <w:rPr>
          <w:rFonts w:ascii="Arial" w:cs="Arial" w:eastAsia="Arial" w:hAnsi="Arial"/>
          <w:sz w:val="24"/>
          <w:szCs w:val="24"/>
        </w:rPr>
        <w:t xml:space="preserve">Convene the Temporal Council: a session design in which all five Council figures respond to a single shared question simultaneously, with the outputs compared for both convergent and divergent structural insights. This design is intended to surface not just what individual frameworks imply about a question but where frameworks genuinely disagree — where the problem structure is illuminated by the conflict between frameworks as much as by their individual applications.</w:t>
      </w:r>
    </w:p>
    <w:p>
      <w:pPr>
        <w:pageBreakBefore/>
      </w:pPr>
      <w:r>
        <w:br/>
        <w:t xml:space="preserve"/>
      </w:r>
    </w:p>
    <w:p>
      <w:pPr>
        <w:pStyle w:val="Heading1"/>
        <w:spacing w:after="240" w:before="480"/>
      </w:pPr>
      <w:r>
        <w:rPr>
          <w:rFonts w:ascii="Arial" w:cs="Arial" w:eastAsia="Arial" w:hAnsi="Arial"/>
          <w:b/>
          <w:bCs/>
          <w:sz w:val="28"/>
          <w:szCs w:val="28"/>
        </w:rPr>
        <w:t xml:space="preserve">9. Glossary</w:t>
      </w:r>
    </w:p>
    <w:p>
      <w:pPr>
        <w:spacing w:after="160" w:line="276" w:lineRule="auto"/>
        <w:jc w:val="both"/>
      </w:pPr>
      <w:r>
        <w:rPr>
          <w:rFonts w:ascii="Arial" w:cs="Arial" w:eastAsia="Arial" w:hAnsi="Arial"/>
          <w:b w:val="false"/>
          <w:bCs w:val="false"/>
          <w:i w:val="false"/>
          <w:iCs w:val="false"/>
          <w:sz w:val="24"/>
          <w:szCs w:val="24"/>
        </w:rPr>
        <w:t xml:space="preserve">The following terms are used with specific technical meanings throughout this paper:</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Artificial Channeling:  </w:t>
      </w:r>
      <w:r>
        <w:rPr>
          <w:rFonts w:ascii="Arial" w:cs="Arial" w:eastAsia="Arial" w:hAnsi="Arial"/>
          <w:sz w:val="24"/>
          <w:szCs w:val="24"/>
        </w:rPr>
        <w:t xml:space="preserve">The methodology of prompting a large language model to apply a historical thinker's intellectual framework to a problem or question the thinker never addressed, using structured protocols designed to constrain generation to the model's learned subspace representation of the thinker's ontological commitments, conceptual vocabulary, and rhetorical structure. The methodology does not simulate a person; it uses a historical figure as a vehicle for accessing a specific analytical framework.</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Subspace Coherence:  </w:t>
      </w:r>
      <w:r>
        <w:rPr>
          <w:rFonts w:ascii="Arial" w:cs="Arial" w:eastAsia="Arial" w:hAnsi="Arial"/>
          <w:sz w:val="24"/>
          <w:szCs w:val="24"/>
        </w:rPr>
        <w:t xml:space="preserve">A scoring dimension measuring the degree to which a channeled output consistently reflects the actual framework of the historical figure being channeled, rather than drifting toward generic LLM voice, secondary-source narrative, or plausible-sounding but framework-inconsistent generation. Subspace coherence is assessed by comparing the output's structural features — its logical architecture, its implicit ontological commitments, its characteristic rhetorical moves — against the figure's documented primary work.</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Chanability:  </w:t>
      </w:r>
      <w:r>
        <w:rPr>
          <w:rFonts w:ascii="Arial" w:cs="Arial" w:eastAsia="Arial" w:hAnsi="Arial"/>
          <w:sz w:val="24"/>
          <w:szCs w:val="24"/>
        </w:rPr>
        <w:t xml:space="preserve">A property of a historical subject (not a property of the methodology or the model) that describes how well-suited the subject is for Artificial Channeling. Chanability is a function of corpus characteristics: corpus size and variety, vocabulary idiosyncrasy, ontological coherence, breadth of documented positions, and the presence of productive tensions within the corpus. High chanability correlates with rich, idiosyncratic, first-person corpora; low chanability correlates with thin, generic, or predominantly secondary-source-mediated corpora.</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Extrapolation Threshold:  </w:t>
      </w:r>
      <w:r>
        <w:rPr>
          <w:rFonts w:ascii="Arial" w:cs="Arial" w:eastAsia="Arial" w:hAnsi="Arial"/>
          <w:sz w:val="24"/>
          <w:szCs w:val="24"/>
        </w:rPr>
        <w:t xml:space="preserve">The point in a channeling session at which the question being asked moves beyond the territory explicitly addressed in the historical figure's corpus, requiring the model to generate from the structural implications of the framework rather than from documented positions. Question types cross the extrapolation threshold in order: calibration questions remain below it, framework extension questions approach it, temporal leap questions cross it entirely. Performance above the extrapolation threshold is the primary measure of genuine framework application capability.</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Rough Edge Preservation:  </w:t>
      </w:r>
      <w:r>
        <w:rPr>
          <w:rFonts w:ascii="Arial" w:cs="Arial" w:eastAsia="Arial" w:hAnsi="Arial"/>
          <w:sz w:val="24"/>
          <w:szCs w:val="24"/>
        </w:rPr>
        <w:t xml:space="preserve">A scoring dimension measuring the degree to which a channeled output preserves the framework's uncomfortable, counterintuitive, or controversial implications — the "rough edges" that the framework genuinely implies but that might be softened, deflected, or omitted by a model trained toward diplomatic or user-congenial output. High rough edge preservation scores require the model to maintain the framework's implications even when they are unflattering to the prompter, the model itself, or widely held views.</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Corpus Contamination:  </w:t>
      </w:r>
      <w:r>
        <w:rPr>
          <w:rFonts w:ascii="Arial" w:cs="Arial" w:eastAsia="Arial" w:hAnsi="Arial"/>
          <w:sz w:val="24"/>
          <w:szCs w:val="24"/>
        </w:rPr>
        <w:t xml:space="preserve">A failure mode in which the model's representation of a historical figure has been shaped more by secondary sources — biographies, critical assessments, popular summaries, academic commentary — than by the figure's primary work. Contaminated output produces the reputation of the thinker rather than the thinker's actual framework: it reflects how the figure has been characterized rather than how they actually organized their analysis.</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Drift Index:  </w:t>
      </w:r>
      <w:r>
        <w:rPr>
          <w:rFonts w:ascii="Arial" w:cs="Arial" w:eastAsia="Arial" w:hAnsi="Arial"/>
          <w:sz w:val="24"/>
          <w:szCs w:val="24"/>
        </w:rPr>
        <w:t xml:space="preserve">An informal measure of the degree to which a channeled output has moved away from the figure's subspace toward generic LLM voice over the course of a session. High drift index values are associated with long monologue-style generation, many consecutive turns without re-anchoring, and questions that push the figure far beyond their primary corpus territory without the explicit framework activation maintained.</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The Retrieval-vs-Imagination Distinction:  </w:t>
      </w:r>
      <w:r>
        <w:rPr>
          <w:rFonts w:ascii="Arial" w:cs="Arial" w:eastAsia="Arial" w:hAnsi="Arial"/>
          <w:sz w:val="24"/>
          <w:szCs w:val="24"/>
        </w:rPr>
        <w:t xml:space="preserve">The central diagnostic question of the methodology: when a channeled output appears insightful, is it because the figure's framework is genuinely generative when applied to the question, or because the model is producing plausible-sounding output that mimics framework application without instantiating it? The distinction is assessed through cross-model comparison (structural similarity vs. surface similarity), calibration comparison (retrieval accuracy vs. extrapolation quality), and the uncomfortable implication test.</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The Generative Middle Problem:  </w:t>
      </w:r>
      <w:r>
        <w:rPr>
          <w:rFonts w:ascii="Arial" w:cs="Arial" w:eastAsia="Arial" w:hAnsi="Arial"/>
          <w:sz w:val="24"/>
          <w:szCs w:val="24"/>
        </w:rPr>
        <w:t xml:space="preserve">The fundamental ceiling on channeling fidelity imposed by the nature of the available corpus. LLMs have access only to the finished outputs of historical thinkers — the published, edited, self-presented record — not to the process by which those outputs were produced. This means channeling can only instantiate the figure's concluded framework, not the exploratory, provisional, or process dimensions of their thinking. The problem is not soluble by better prompting; it requires richer process-level training data.</w:t>
      </w:r>
    </w:p>
    <w:p>
      <w:r>
        <w:rPr>
          <w:rFonts w:ascii="Arial" w:cs="Arial" w:eastAsia="Arial" w:hAnsi="Arial"/>
          <w:sz w:val="24"/>
          <w:szCs w:val="24"/>
        </w:rPr>
        <w:t xml:space="preserve"/>
      </w:r>
    </w:p>
    <w:p>
      <w:pPr>
        <w:spacing w:after="120" w:line="276" w:lineRule="auto"/>
        <w:ind w:left="720" w:hanging="360"/>
      </w:pPr>
      <w:r>
        <w:rPr>
          <w:rFonts w:ascii="Arial" w:cs="Arial" w:eastAsia="Arial" w:hAnsi="Arial"/>
          <w:b/>
          <w:bCs/>
          <w:sz w:val="24"/>
          <w:szCs w:val="24"/>
        </w:rPr>
        <w:t xml:space="preserve">Temporal Council:  </w:t>
      </w:r>
      <w:r>
        <w:rPr>
          <w:rFonts w:ascii="Arial" w:cs="Arial" w:eastAsia="Arial" w:hAnsi="Arial"/>
          <w:sz w:val="24"/>
          <w:szCs w:val="24"/>
        </w:rPr>
        <w:t xml:space="preserve">A session design in which all five historical figures on the AI Council are asked to respond to the same question simultaneously, with responses compared for structural convergence and divergence. The Temporal Council design is intended to surface not just what individual frameworks imply about a shared question but where frameworks genuinely disagree, treating the conflict between frameworks as itself analytically valuable.</w:t>
      </w:r>
    </w:p>
    <w:p>
      <w:pPr>
        <w:pageBreakBefore/>
      </w:pPr>
      <w:r>
        <w:br/>
        <w:t xml:space="preserve"/>
      </w:r>
    </w:p>
    <w:p>
      <w:pPr>
        <w:pStyle w:val="Heading1"/>
        <w:spacing w:after="240" w:before="480"/>
      </w:pPr>
      <w:r>
        <w:rPr>
          <w:rFonts w:ascii="Arial" w:cs="Arial" w:eastAsia="Arial" w:hAnsi="Arial"/>
          <w:b/>
          <w:bCs/>
          <w:sz w:val="28"/>
          <w:szCs w:val="28"/>
        </w:rPr>
        <w:t xml:space="preserve">References</w:t>
      </w:r>
    </w:p>
    <w:p>
      <w:pPr>
        <w:spacing w:after="160" w:line="276" w:lineRule="auto"/>
        <w:jc w:val="both"/>
      </w:pPr>
      <w:r>
        <w:rPr>
          <w:rFonts w:ascii="Arial" w:cs="Arial" w:eastAsia="Arial" w:hAnsi="Arial"/>
          <w:b w:val="false"/>
          <w:bCs w:val="false"/>
          <w:i w:val="false"/>
          <w:iCs w:val="false"/>
          <w:sz w:val="24"/>
          <w:szCs w:val="24"/>
        </w:rPr>
        <w:t xml:space="preserve">Anthropic. (2024). Claude's Character. Technical report. Anthropic.</w:t>
      </w:r>
    </w:p>
    <w:p>
      <w:pPr>
        <w:spacing w:after="160" w:line="276" w:lineRule="auto"/>
        <w:jc w:val="both"/>
      </w:pPr>
      <w:r>
        <w:rPr>
          <w:rFonts w:ascii="Arial" w:cs="Arial" w:eastAsia="Arial" w:hAnsi="Arial"/>
          <w:b w:val="false"/>
          <w:bCs w:val="false"/>
          <w:i w:val="false"/>
          <w:iCs w:val="false"/>
          <w:sz w:val="24"/>
          <w:szCs w:val="24"/>
        </w:rPr>
        <w:t xml:space="preserve">Ashby, W. R. (1956). An Introduction to Cybernetics. Chapman &amp; Hall.</w:t>
      </w:r>
    </w:p>
    <w:p>
      <w:pPr>
        <w:spacing w:after="160" w:line="276" w:lineRule="auto"/>
        <w:jc w:val="both"/>
      </w:pPr>
      <w:r>
        <w:rPr>
          <w:rFonts w:ascii="Arial" w:cs="Arial" w:eastAsia="Arial" w:hAnsi="Arial"/>
          <w:b w:val="false"/>
          <w:bCs w:val="false"/>
          <w:i w:val="false"/>
          <w:iCs w:val="false"/>
          <w:sz w:val="24"/>
          <w:szCs w:val="24"/>
        </w:rPr>
        <w:t xml:space="preserve">Bateson, G. (1972). Steps to an Ecology of Mind. University of Chicago Press.</w:t>
      </w:r>
    </w:p>
    <w:p>
      <w:pPr>
        <w:spacing w:after="160" w:line="276" w:lineRule="auto"/>
        <w:jc w:val="both"/>
      </w:pPr>
      <w:r>
        <w:rPr>
          <w:rFonts w:ascii="Arial" w:cs="Arial" w:eastAsia="Arial" w:hAnsi="Arial"/>
          <w:b w:val="false"/>
          <w:bCs w:val="false"/>
          <w:i w:val="false"/>
          <w:iCs w:val="false"/>
          <w:sz w:val="24"/>
          <w:szCs w:val="24"/>
        </w:rPr>
        <w:t xml:space="preserve">Bateson, G. (1979). Mind and Nature: A Necessary Unity. Dutton.</w:t>
      </w:r>
    </w:p>
    <w:p>
      <w:pPr>
        <w:spacing w:after="160" w:line="276" w:lineRule="auto"/>
        <w:jc w:val="both"/>
      </w:pPr>
      <w:r>
        <w:rPr>
          <w:rFonts w:ascii="Arial" w:cs="Arial" w:eastAsia="Arial" w:hAnsi="Arial"/>
          <w:b w:val="false"/>
          <w:bCs w:val="false"/>
          <w:i w:val="false"/>
          <w:iCs w:val="false"/>
          <w:sz w:val="24"/>
          <w:szCs w:val="24"/>
        </w:rPr>
        <w:t xml:space="preserve">Bentov, I. (1977). Stalking the Wild Pendulum. Dutton.</w:t>
      </w:r>
    </w:p>
    <w:p>
      <w:pPr>
        <w:spacing w:after="160" w:line="276" w:lineRule="auto"/>
        <w:jc w:val="both"/>
      </w:pPr>
      <w:r>
        <w:rPr>
          <w:rFonts w:ascii="Arial" w:cs="Arial" w:eastAsia="Arial" w:hAnsi="Arial"/>
          <w:b w:val="false"/>
          <w:bCs w:val="false"/>
          <w:i w:val="false"/>
          <w:iCs w:val="false"/>
          <w:sz w:val="24"/>
          <w:szCs w:val="24"/>
        </w:rPr>
        <w:t xml:space="preserve">Borges, J. L. (1962). Labyrinths. New Directions.</w:t>
      </w:r>
    </w:p>
    <w:p>
      <w:pPr>
        <w:spacing w:after="160" w:line="276" w:lineRule="auto"/>
        <w:jc w:val="both"/>
      </w:pPr>
      <w:r>
        <w:rPr>
          <w:rFonts w:ascii="Arial" w:cs="Arial" w:eastAsia="Arial" w:hAnsi="Arial"/>
          <w:b w:val="false"/>
          <w:bCs w:val="false"/>
          <w:i w:val="false"/>
          <w:iCs w:val="false"/>
          <w:sz w:val="24"/>
          <w:szCs w:val="24"/>
        </w:rPr>
        <w:t xml:space="preserve">Brown, T., Mann, B., Ryder, N., Subbiah, M., Kaplan, J., Dhariwal, P., ... &amp; Amodei, D. (2020). Language Models are Few-Shot Learners. Advances in Neural Information Processing Systems (NeurIPS), 33, 1877-1901.</w:t>
      </w:r>
    </w:p>
    <w:p>
      <w:pPr>
        <w:spacing w:after="160" w:line="276" w:lineRule="auto"/>
        <w:jc w:val="both"/>
      </w:pPr>
      <w:r>
        <w:rPr>
          <w:rFonts w:ascii="Arial" w:cs="Arial" w:eastAsia="Arial" w:hAnsi="Arial"/>
          <w:b w:val="false"/>
          <w:bCs w:val="false"/>
          <w:i w:val="false"/>
          <w:iCs w:val="false"/>
          <w:sz w:val="24"/>
          <w:szCs w:val="24"/>
        </w:rPr>
        <w:t xml:space="preserve">Hubinger, E., van Merwijk, C., Mikulik, V., Skalse, J., &amp; Garrabrant, S. (2019). Risks from Learned Optimization in Advanced Machine Learning Systems. arXiv:1906.01820.</w:t>
      </w:r>
    </w:p>
    <w:p>
      <w:pPr>
        <w:spacing w:after="160" w:line="276" w:lineRule="auto"/>
        <w:jc w:val="both"/>
      </w:pPr>
      <w:r>
        <w:rPr>
          <w:rFonts w:ascii="Arial" w:cs="Arial" w:eastAsia="Arial" w:hAnsi="Arial"/>
          <w:b w:val="false"/>
          <w:bCs w:val="false"/>
          <w:i w:val="false"/>
          <w:iCs w:val="false"/>
          <w:sz w:val="24"/>
          <w:szCs w:val="24"/>
        </w:rPr>
        <w:t xml:space="preserve">Illich, I. (1971). Deschooling Society. Harper &amp; Row.</w:t>
      </w:r>
    </w:p>
    <w:p>
      <w:pPr>
        <w:spacing w:after="160" w:line="276" w:lineRule="auto"/>
        <w:jc w:val="both"/>
      </w:pPr>
      <w:r>
        <w:rPr>
          <w:rFonts w:ascii="Arial" w:cs="Arial" w:eastAsia="Arial" w:hAnsi="Arial"/>
          <w:b w:val="false"/>
          <w:bCs w:val="false"/>
          <w:i w:val="false"/>
          <w:iCs w:val="false"/>
          <w:sz w:val="24"/>
          <w:szCs w:val="24"/>
        </w:rPr>
        <w:t xml:space="preserve">Illich, I. (1973). Tools for Conviviality. Harper &amp; Row.</w:t>
      </w:r>
    </w:p>
    <w:p>
      <w:pPr>
        <w:spacing w:after="160" w:line="276" w:lineRule="auto"/>
        <w:jc w:val="both"/>
      </w:pPr>
      <w:r>
        <w:rPr>
          <w:rFonts w:ascii="Arial" w:cs="Arial" w:eastAsia="Arial" w:hAnsi="Arial"/>
          <w:b w:val="false"/>
          <w:bCs w:val="false"/>
          <w:i w:val="false"/>
          <w:iCs w:val="false"/>
          <w:sz w:val="24"/>
          <w:szCs w:val="24"/>
        </w:rPr>
        <w:t xml:space="preserve">Kuhn, T. S. (1962). The Structure of Scientific Revolutions. University of Chicago Press.</w:t>
      </w:r>
    </w:p>
    <w:p>
      <w:pPr>
        <w:spacing w:after="160" w:line="276" w:lineRule="auto"/>
        <w:jc w:val="both"/>
      </w:pPr>
      <w:r>
        <w:rPr>
          <w:rFonts w:ascii="Arial" w:cs="Arial" w:eastAsia="Arial" w:hAnsi="Arial"/>
          <w:b w:val="false"/>
          <w:bCs w:val="false"/>
          <w:i w:val="false"/>
          <w:iCs w:val="false"/>
          <w:sz w:val="24"/>
          <w:szCs w:val="24"/>
        </w:rPr>
        <w:t xml:space="preserve">Russell, S. (2019). Human Compatible: Artificial Intelligence and the Problem of Control. Viking.</w:t>
      </w:r>
    </w:p>
    <w:p>
      <w:pPr>
        <w:spacing w:after="160" w:line="276" w:lineRule="auto"/>
        <w:jc w:val="both"/>
      </w:pPr>
      <w:r>
        <w:rPr>
          <w:rFonts w:ascii="Arial" w:cs="Arial" w:eastAsia="Arial" w:hAnsi="Arial"/>
          <w:b w:val="false"/>
          <w:bCs w:val="false"/>
          <w:i w:val="false"/>
          <w:iCs w:val="false"/>
          <w:sz w:val="24"/>
          <w:szCs w:val="24"/>
        </w:rPr>
        <w:t xml:space="preserve">Shanahan, M. (2023). Talking About Large Language Models. Communications of the ACM, 67(2), 68-79. [verify: CACM volume/issue details]</w:t>
      </w:r>
    </w:p>
    <w:p>
      <w:pPr>
        <w:spacing w:after="160" w:line="276" w:lineRule="auto"/>
        <w:jc w:val="both"/>
      </w:pPr>
      <w:r>
        <w:rPr>
          <w:rFonts w:ascii="Arial" w:cs="Arial" w:eastAsia="Arial" w:hAnsi="Arial"/>
          <w:b w:val="false"/>
          <w:bCs w:val="false"/>
          <w:i w:val="false"/>
          <w:iCs w:val="false"/>
          <w:sz w:val="24"/>
          <w:szCs w:val="24"/>
        </w:rPr>
        <w:t xml:space="preserve">Wei, J., Wang, X., Schuurmans, D., Bosma, M., Ichter, B., Xia, F., ... &amp; Zhou, D. (2022). Chain-of-Thought Prompting Elicits Reasoning in Large Language Models. Advances in Neural Information Processing Systems (NeurIPS), 35, 24824-24837.</w:t>
      </w:r>
    </w:p>
    <w:p>
      <w:pPr>
        <w:spacing w:after="160" w:line="276" w:lineRule="auto"/>
        <w:jc w:val="both"/>
      </w:pPr>
      <w:r>
        <w:rPr>
          <w:rFonts w:ascii="Arial" w:cs="Arial" w:eastAsia="Arial" w:hAnsi="Arial"/>
          <w:b w:val="false"/>
          <w:bCs w:val="false"/>
          <w:i w:val="false"/>
          <w:iCs w:val="false"/>
          <w:sz w:val="24"/>
          <w:szCs w:val="24"/>
        </w:rPr>
        <w:t xml:space="preserve">White, J., Fu, Q., Hays, S., Sandborn, M., Olea, C., Gilbert, H., ... &amp; Schmidt, D. C. (2023). A Prompt Pattern Catalog to Enhance Prompt Engineering with ChatGPT. arXiv:2302.11382. [verify: arXiv number]</w:t>
      </w:r>
    </w:p>
    <w:p>
      <w:pPr>
        <w:spacing w:after="160" w:line="276" w:lineRule="auto"/>
        <w:jc w:val="both"/>
      </w:pPr>
      <w:r>
        <w:rPr>
          <w:rFonts w:ascii="Arial" w:cs="Arial" w:eastAsia="Arial" w:hAnsi="Arial"/>
          <w:b w:val="false"/>
          <w:bCs w:val="false"/>
          <w:i w:val="false"/>
          <w:iCs w:val="false"/>
          <w:sz w:val="24"/>
          <w:szCs w:val="24"/>
        </w:rPr>
        <w:t xml:space="preserve">Wiener, N. (1948). Cybernetics: Or Control and Communication in the Animal and the Machine. MIT Press.</w:t>
      </w:r>
    </w:p>
    <w:p>
      <w:pPr>
        <w:spacing w:after="160" w:line="276" w:lineRule="auto"/>
        <w:jc w:val="both"/>
      </w:pPr>
      <w:r>
        <w:rPr>
          <w:rFonts w:ascii="Arial" w:cs="Arial" w:eastAsia="Arial" w:hAnsi="Arial"/>
          <w:b w:val="false"/>
          <w:bCs w:val="false"/>
          <w:i w:val="false"/>
          <w:iCs w:val="false"/>
          <w:sz w:val="24"/>
          <w:szCs w:val="24"/>
        </w:rPr>
        <w:t xml:space="preserve">Wiener, N. (1950). The Human Use of Human Beings: Cybernetics and Society. Houghton Mifflin.</w:t>
      </w:r>
    </w:p>
    <w:p>
      <w:r>
        <w:rPr>
          <w:rFonts w:ascii="Arial" w:cs="Arial" w:eastAsia="Arial" w:hAnsi="Arial"/>
          <w:sz w:val="24"/>
          <w:szCs w:val="24"/>
        </w:rPr>
        <w:t xml:space="preserve"/>
      </w:r>
    </w:p>
    <w:p>
      <w:pPr>
        <w:pBdr>
          <w:top w:val="single" w:sz="4" w:space="4"/>
        </w:pBdr>
        <w:spacing w:after="80" w:before="240"/>
      </w:pPr>
      <w:r>
        <w:rPr>
          <w:rFonts w:ascii="Arial" w:cs="Arial" w:eastAsia="Arial" w:hAnsi="Arial"/>
          <w:i/>
          <w:iCs/>
          <w:color w:val="444444"/>
          <w:sz w:val="18"/>
          <w:szCs w:val="18"/>
        </w:rPr>
        <w:t xml:space="preserve">Primary source citations verified against session transcripts.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line="276" w:lineRule="auto"/>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Arial" w:cs="Arial" w:eastAsia="Arial" w:hAnsi="Arial"/>
      <w:b/>
      <w:bCs/>
      <w:color w:val="000000"/>
      <w:sz w:val="28"/>
      <w:szCs w:val="28"/>
    </w:rPr>
  </w:style>
  <w:style w:type="paragraph" w:styleId="Heading2">
    <w:name w:val="Heading 2"/>
    <w:basedOn w:val="Normal"/>
    <w:next w:val="Normal"/>
    <w:qFormat/>
    <w:pPr>
      <w:spacing w:after="160" w:before="320"/>
    </w:pPr>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2026-03-28T17:46:04.309Z</dcterms:created>
  <dcterms:modified xsi:type="dcterms:W3CDTF">2026-03-28T17:46:04.309Z</dcterms:modified>
</cp:coreProperties>
</file>

<file path=docProps/custom.xml><?xml version="1.0" encoding="utf-8"?>
<Properties xmlns="http://schemas.openxmlformats.org/officeDocument/2006/custom-properties" xmlns:vt="http://schemas.openxmlformats.org/officeDocument/2006/docPropsVTypes"/>
</file>