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rFonts w:ascii="Microsoft YaHei" w:cs="Microsoft YaHei" w:eastAsia="Microsoft YaHei" w:hAnsi="Microsoft YaHei"/>
          <w:b/>
          <w:bCs/>
          <w:sz w:val="32"/>
          <w:szCs w:val="32"/>
        </w:rPr>
        <w:t xml:space="preserve">幻游纪 合作备忘录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666666"/>
          <w:sz w:val="19"/>
          <w:szCs w:val="19"/>
        </w:rPr>
        <w:t xml:space="preserve">2026 年 9 月</w:t>
      </w:r>
    </w:p>
    <w:p>
      <w:pPr>
        <w:spacing w:after="12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甲方（委托方）：____________________　联系人：__________</w:t>
      </w:r>
    </w:p>
    <w:p>
      <w:pPr>
        <w:spacing w:after="12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乙方（服务方）：杜炫明（Franklin Du）</w:t>
      </w:r>
    </w:p>
    <w:p>
      <w:pPr>
        <w:spacing w:after="12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乙方为甲方开发并维护「幻游纪」AI 换脸文旅电商应用（第一阶段为扫码打开的手机网页版 H5，资质到位后可迁移为微信小程序，以下简称「本软件」），合作期 6 个月，自签署日起算。双方就交付时间、付款与违约赔偿约定如下：</w:t>
      </w:r>
    </w:p>
    <w:p>
      <w:pPr>
        <w:pStyle w:val="Heading2"/>
        <w:spacing w:after="100" w:before="28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一、交付时间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10 月 1 日前：交付基础商用版本（手机网页版，扫二维码打开）——换脸核心链路（选模板 → 传照片 → 生成 → 预览）、付费生成（微信内打开用微信支付；浏览器内打开可用支付宝）、视频保存与分享，可支撑几十名用户使用，达到基础商用标准。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第 2 个月末（约 11 月上旬）：稳定性与并发打磨，可支撑几百名用户使用；文旅页与基础运营后台完善；甲方资质到位后可迁移为微信小程序。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第 3 个月起：进入迭代期，负责迭代、修正与维护。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为保证 10 月 1 日节点，甲方须于 9 月 15 日前完成：阿里云账号（含子账号）与已备案域名、认证服务号与微信支付商户号、万相接口开通与并发配额、不少于 10 条样板视频。上述事项延误的，节点相应顺延。</w:t>
      </w:r>
    </w:p>
    <w:p>
      <w:pPr>
        <w:pStyle w:val="Heading2"/>
        <w:spacing w:after="100" w:before="28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二、费用与付款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160"/>
      </w:tblGrid>
      <w:tr>
        <w:trPr>
          <w:tblHeader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项目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费用</w:t>
            </w:r>
          </w:p>
        </w:tc>
        <w:tc>
          <w:tcPr>
            <w:tcW w:type="dxa" w:w="4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开发月（第 1–2 个月）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6,000 元/月 × 2 = 12,000 元</w:t>
            </w:r>
          </w:p>
        </w:tc>
        <w:tc>
          <w:tcPr>
            <w:tcW w:type="dxa" w:w="4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10 月 1 日前交付基础商用版（手机网页版，扫码打开）：换脸核心功能、付费、下载，支撑几十名用户使用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迭代月（第 3–6 个月）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3,000 元/月 × 4 = 12,000 元</w:t>
            </w:r>
          </w:p>
        </w:tc>
        <w:tc>
          <w:tcPr>
            <w:tcW w:type="dxa" w:w="4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迭代、修正与维护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6 个月合计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24,000 元</w:t>
            </w:r>
          </w:p>
        </w:tc>
        <w:tc>
          <w:tcPr>
            <w:tcW w:type="dxa" w:w="4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不含税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签约当日支付 12,000 元（前两个开发月）。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第 3 个月起，每月 7 日前支付当月迭代费 3,000 元。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费用不含税；阿里云、微信等平台费用及商用后的接口费由甲方承担，上线前内测接口费由乙方承担（封顶 1,000 元）。</w:t>
      </w:r>
    </w:p>
    <w:p>
      <w:pPr>
        <w:pStyle w:val="Heading2"/>
        <w:spacing w:after="100" w:before="28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三、违约责任与赔偿</w:t>
      </w:r>
    </w:p>
    <w:p>
      <w:pPr>
        <w:pStyle w:val="ListParagraph"/>
        <w:numPr>
          <w:ilvl w:val="0"/>
          <w:numId w:val="4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乙方延期：因乙方自身原因，交付节点逾期超过 7 日的，每逾期 1 日按该阶段费用的 1% 向甲方支付违约金，累计不超过该阶段费用的 20%。因甲方配合事项延误、第三方平台故障、政策变化或不可抗力导致的延期不计。</w:t>
      </w:r>
    </w:p>
    <w:p>
      <w:pPr>
        <w:pStyle w:val="ListParagraph"/>
        <w:numPr>
          <w:ilvl w:val="0"/>
          <w:numId w:val="4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甲方保证责任：因甲方提供的素材、样板视频版权、人脸信息处理、内容合规或经营资质问题引发的第三方索赔、平台处罚、监管处罚或诉讼，由甲方独自承担；乙方因此遭受损失的，甲方应予赔偿。</w:t>
      </w:r>
    </w:p>
    <w:p>
      <w:pPr>
        <w:pStyle w:val="ListParagraph"/>
        <w:numPr>
          <w:ilvl w:val="0"/>
          <w:numId w:val="4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责任上限：乙方对甲方的全部赔偿责任以乙方实际已收取的费用为限；不承担利润、商誉、数据、流量等间接损失。</w:t>
      </w:r>
    </w:p>
    <w:p>
      <w:pPr>
        <w:pStyle w:val="ListParagraph"/>
        <w:numPr>
          <w:ilvl w:val="0"/>
          <w:numId w:val="4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免责：阿里云、微信等第三方平台的故障、接口限制、配额不足、规则变化，以及不可抗力，不构成任何一方违约。</w:t>
      </w:r>
    </w:p>
    <w:p>
      <w:pPr>
        <w:pStyle w:val="Heading2"/>
        <w:spacing w:after="100" w:before="28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四、其他</w:t>
      </w:r>
    </w:p>
    <w:p>
      <w:pPr>
        <w:pStyle w:val="ListParagraph"/>
        <w:numPr>
          <w:ilvl w:val="0"/>
          <w:numId w:val="5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本软件源代码归甲方所有，自乙方写入第一行代码起代码仓库即在甲方名下；不含甲方业务数据的通用技术组件，乙方保留复用权。</w:t>
      </w:r>
    </w:p>
    <w:p>
      <w:pPr>
        <w:pStyle w:val="ListParagraph"/>
        <w:numPr>
          <w:ilvl w:val="0"/>
          <w:numId w:val="5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任一方提前 15 日书面通知可终止；已付未服务部分按天折算退还，已完成的开发月费用不退；终止后 5 个工作日内乙方移交代码与账号权限。</w:t>
      </w:r>
    </w:p>
    <w:p>
      <w:pPr>
        <w:pStyle w:val="ListParagraph"/>
        <w:numPr>
          <w:ilvl w:val="0"/>
          <w:numId w:val="5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双方对彼此的商业信息与用户数据负保密义务。争议协商解决，协商不成提交乙方住所地人民法院。</w:t>
      </w:r>
    </w:p>
    <w:p>
      <w:pPr>
        <w:pStyle w:val="ListParagraph"/>
        <w:numPr>
          <w:ilvl w:val="0"/>
          <w:numId w:val="5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本备忘录一式两份，电子签署及扫描件与原件同等有效；未尽事宜以双方书面（含微信文字）确认为准。</w:t>
      </w:r>
    </w:p>
    <w:p>
      <w:pPr>
        <w:spacing w:after="300" w:before="6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甲方（盖章/签字）：____________________　日期：__________</w:t>
      </w:r>
    </w:p>
    <w:p>
      <w:pPr>
        <w:spacing w:after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乙方（签字）：____________________　日期：__________</w:t>
      </w:r>
    </w:p>
    <w:sectPr>
      <w:pgSz w:w="11906" w:h="16838" w:orient="portrait"/>
      <w:pgMar w:top="1300" w:right="1400" w:bottom="13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2026-09-07T04:32:45.658Z</dcterms:created>
  <dcterms:modified xsi:type="dcterms:W3CDTF">2026-09-07T04:32:45.658Z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