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幻游纪小程序 合作备忘录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66666"/>
          <w:sz w:val="19"/>
          <w:szCs w:val="19"/>
        </w:rPr>
        <w:t xml:space="preserve">草稿 · 2026 年 9 月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甲方（委托方）：____________________　联系人：__________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乙方（服务方）：杜炫明（Franklin Du）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乙方为甲方开发并维护「幻游纪」AI 换脸文旅电商微信小程序（以下简称「本软件」），合作期 6 个月，自签署日起算。双方就交付时间、付款与违约赔偿约定如下：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一、交付时间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10 月 1 日前：交付可试用版本（换脸核心链路：选模板 → 传照片 → 生成 → 下载分享），供贵方内部及小范围试用。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2 个月末（约 11 月上旬）：核心功能稳定，可支撑几百名用户使用；文旅页与基础后台上线。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3 个月起：进入维护；商城、商家端等新功能由贵方按需指定开发月，每个开发月交付一个功能模块。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贵方配合事项（账号、素材、资质、接口配额）延误的，节点相应顺延。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二、费用与付款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费用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开发月（第 1–2 个月）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6,000 元/月 × 2 = 12,000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换脸核心功能顺畅稳定；10 月 1 日前交付试用版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维护月（第 3–6 个月）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3,000 元/月 × 4 = 12,000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维护、修正、小迭代；不含新功能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功能开发叠加（按需）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+3,000 元/月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需要新功能的月份，当月按开发月 6,000 元计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6 个月基础合计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24,000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不含税；叠加月另计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签约当日支付 12,000 元（前两个开发月）。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3 个月起，每月 1 日前支付当月维护费 3,000 元。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叠加开发的月份，当月 1 日前一并支付 3,000 元。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费用不含税；阿里云、微信等平台费用及商用后的接口费由贵方承担，上线前内测接口费由我承担（封顶 1,000 元）。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三、违约责任与赔偿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乙方延期：因乙方自身原因，交付节点逾期超过 7 日的，每逾期 1 日按该阶段费用的 1% 向甲方支付违约金，累计不超过该阶段费用的 20%。因甲方配合事项延误、第三方平台故障、政策变化或不可抗力导致的延期不计。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乙方质量：交付物经两轮修复仍不能通过验收的，甲方有权解除本备忘录，乙方按未完成工作量比例退还该阶段已收费用；除此之外不承担其他赔偿责任。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甲方逾期付款：每逾期 1 日按应付未付金额的 0.5% 支付违约金；逾期超过 15 日乙方有权暂停服务，逾期超过 30 日乙方有权解除本备忘录并保留已完成部分的费用。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甲方保证责任：因甲方提供的素材、样板视频版权、人脸信息处理、内容合规或经营资质问题引发的第三方索赔、平台处罚、监管处罚或诉讼，由甲方独自承担；乙方因此遭受损失的，甲方应予赔偿。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责任上限：乙方对甲方的全部赔偿责任以乙方实际已收取的费用为限；不承担利润、商誉、数据、流量等间接损失。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免责：阿里云、微信等第三方平台的故障、接口限制、配额不足、规则变化，以及不可抗力，不构成任何一方违约。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四、其他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本软件源代码归甲方所有，自乙方写入第一行代码起代码仓库即在甲方名下；不含甲方业务数据的通用技术组件，乙方保留复用权。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任一方提前 15 日书面通知可终止；已付未服务部分按天折算退还，已完成的开发月费用不退；终止后 5 个工作日内乙方移交代码与账号权限。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双方对彼此的商业信息与用户数据负保密义务。争议协商解决，协商不成提交乙方住所地人民法院。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本备忘录一式两份，电子签署及扫描件与原件同等有效；未尽事宜以双方书面（含微信文字）确认为准。</w:t>
      </w:r>
    </w:p>
    <w:p>
      <w:pPr>
        <w:spacing w:after="300" w:before="6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甲方（盖章/签字）：____________________　日期：__________</w:t>
      </w:r>
    </w:p>
    <w:p>
      <w:pPr>
        <w:spacing w:after="30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乙方（签字）：____________________　日期：__________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2026-09-07T04:02:34.665Z</dcterms:created>
  <dcterms:modified xsi:type="dcterms:W3CDTF">2026-09-07T04:02:34.665Z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