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tblGridChange w:id="0">
          <w:tblGrid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rtl w:val="0"/>
              </w:rPr>
              <w:t xml:space="preserve">CRONOGRAMA DE ATIVIDADES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="240" w:lineRule="auto"/>
              <w:jc w:val="both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</w:rPr>
              <w:drawing>
                <wp:inline distB="114300" distT="114300" distL="114300" distR="114300">
                  <wp:extent cx="1133475" cy="1155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Marlos Gondim Ribeiro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Responsável (da parte do projeto):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João Pedro Veloso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Responsável (da entrega):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Franklin Amaral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Definição da Equipe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28/06/2022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Definição da Escolha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05/07/2022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Reunião com Cliente para Entendimento do Problema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11/07/2022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Elaboração da Versão Inicial da Modelagem do Processo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18/07/2022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Desenvolvimento do Plano do Diagrama de Escopo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18/07/2022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Elaboração do termo de abertura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18/07/2022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Desenvolvimento da Matriz de Responsabilidade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15/08/2022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Apresentação do 1º Status Report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18/07/2022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Reunião semanal com a equipe: Acompanhamento do Processo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21/08/2022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Reunião semanal com o cliente: Acompanhamento e feedback dos resultados apresentados no 1ª Status Report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22/08/2022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Reunião semanal com equipe: Definição para a divisão de tarefas do 2ª Status Report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11/09/2022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Desenvolvimento do EAP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12/09/2022 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Reunião semanal com o cliente: Acompanhamento e validação das entregas dos artefatos do 2ª Status Report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Apresentação do 2º Status Report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15/09/2022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Reunião semanal com a equipe: Definição para a divisão de tarefas da apresentação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02/10/2022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Reunião semanal com o cliente: Acompanhamento do processo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03/10/2022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Apresentação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13/10/2022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