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Ind w:w="-6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20"/>
        <w:gridCol w:w="150"/>
        <w:gridCol w:w="885"/>
        <w:gridCol w:w="105"/>
        <w:gridCol w:w="1620"/>
        <w:gridCol w:w="1395"/>
        <w:gridCol w:w="855"/>
        <w:gridCol w:w="1290"/>
        <w:gridCol w:w="1695"/>
        <w:tblGridChange w:id="0">
          <w:tblGrid>
            <w:gridCol w:w="1620"/>
            <w:gridCol w:w="150"/>
            <w:gridCol w:w="885"/>
            <w:gridCol w:w="105"/>
            <w:gridCol w:w="1620"/>
            <w:gridCol w:w="1395"/>
            <w:gridCol w:w="855"/>
            <w:gridCol w:w="1290"/>
            <w:gridCol w:w="1695"/>
          </w:tblGrid>
        </w:tblGridChange>
      </w:tblGrid>
      <w:tr>
        <w:trPr>
          <w:cantSplit w:val="0"/>
          <w:trHeight w:val="106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2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</w:rPr>
              <w:drawing>
                <wp:inline distB="114300" distT="114300" distL="114300" distR="114300">
                  <wp:extent cx="1133475" cy="11557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1155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wentieth Century" w:cs="Twentieth Century" w:eastAsia="Twentieth Century" w:hAnsi="Twentieth Century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8"/>
                <w:szCs w:val="28"/>
                <w:vertAlign w:val="baseline"/>
                <w:rtl w:val="0"/>
              </w:rPr>
              <w:t xml:space="preserve">PLANO DE GERENCIAMENTO 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Twentieth Century" w:cs="Twentieth Century" w:eastAsia="Twentieth Century" w:hAnsi="Twentieth Century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8"/>
                <w:szCs w:val="28"/>
                <w:vertAlign w:val="baseline"/>
                <w:rtl w:val="0"/>
              </w:rPr>
              <w:t xml:space="preserve">RISCOS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shd w:fill="d9d9d9" w:val="clear"/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Objetivos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9"/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Este documento tem como objetivo fornecer uma descrição detalhada de como os riscos do projeto serão gerenciadas 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Projeto</w:t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Gestão do Teletrabalho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Data Registro</w:t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12/09/2022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Responsável (da parte cliente):</w:t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Marlos Gondim Ribeiro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Responsável (da parte do projeto):</w:t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João Pedro Veloso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shd w:fill="d9d9d9" w:val="clear"/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Qualificação dos riscos</w:t>
            </w:r>
          </w:p>
        </w:tc>
      </w:tr>
      <w:tr>
        <w:trPr>
          <w:cantSplit w:val="0"/>
          <w:tblHeader w:val="0"/>
        </w:trPr>
        <w:tc>
          <w:tcPr>
            <w:gridSpan w:val="9"/>
            <w:shd w:fill="d9d9d9" w:val="clear"/>
            <w:vAlign w:val="top"/>
          </w:tcPr>
          <w:p w:rsidR="00000000" w:rsidDel="00000000" w:rsidP="00000000" w:rsidRDefault="00000000" w:rsidRPr="00000000" w14:paraId="0000004B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Escala de probabilidades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Baixa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20%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A probabilidade de ocorrência do risco pode ser considerada pequena ou imperceptível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Média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40%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A probabilidade de ocorrência do risco pode ser considerada razoável e tem uma boa chance de acontecer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Alta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80%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O risco é iminente e tem muita chance de acontecer</w:t>
            </w:r>
          </w:p>
        </w:tc>
      </w:tr>
      <w:tr>
        <w:trPr>
          <w:cantSplit w:val="0"/>
          <w:tblHeader w:val="0"/>
        </w:trPr>
        <w:tc>
          <w:tcPr>
            <w:gridSpan w:val="9"/>
            <w:shd w:fill="d9d9d9" w:val="clear"/>
            <w:vAlign w:val="top"/>
          </w:tcPr>
          <w:p w:rsidR="00000000" w:rsidDel="00000000" w:rsidP="00000000" w:rsidRDefault="00000000" w:rsidRPr="00000000" w14:paraId="0000006F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Escala de impactos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Muito Baixo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5% 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Nenhum impacto significativo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Baixo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20%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Impacto de 6% sobre o orçamento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Média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40%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8D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Impacto de até 12 % sobre o orçamento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Alta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4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60%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Impacto de até 18 % sobre o orçamento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C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Muito Alto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D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80%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9F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Impacto acima de 18 % sobre o orçamento</w:t>
            </w:r>
          </w:p>
        </w:tc>
      </w:tr>
      <w:tr>
        <w:trPr>
          <w:cantSplit w:val="0"/>
          <w:tblHeader w:val="0"/>
        </w:trPr>
        <w:tc>
          <w:tcPr>
            <w:gridSpan w:val="9"/>
            <w:shd w:fill="e0e0e0" w:val="clear"/>
            <w:vAlign w:val="top"/>
          </w:tcPr>
          <w:p w:rsidR="00000000" w:rsidDel="00000000" w:rsidP="00000000" w:rsidRDefault="00000000" w:rsidRPr="00000000" w14:paraId="000000A5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Risk Breakdown Structure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gridSpan w:val="4"/>
            <w:shd w:fill="e0e0e0" w:val="clear"/>
            <w:vAlign w:val="center"/>
          </w:tcPr>
          <w:p w:rsidR="00000000" w:rsidDel="00000000" w:rsidP="00000000" w:rsidRDefault="00000000" w:rsidRPr="00000000" w14:paraId="000000AE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Risco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B2">
            <w:pPr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Descrição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Probabilidade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Escala de Impacto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B6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Mitigação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B7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Divergência com legislação vigente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Plano de Melhorias e Mapeamento não estarem coerente com as diretrizes estabelecidas pela UFPE.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Necessidade de alterar o Escopo do Projeto.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Muito 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Analisar legislação vigente e acompanhar possíveis atualizações nas portarias publicadas pela UFPE.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C0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Não integração dos sistemas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A  impossibilidade de realizar integrações nos sistemas que são utilizados no processo de gestão do teletrabalho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Necessidade de alterar o Escopo do Projeto.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Muito 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Analisar os sistemas atuais e encontrar ferramentas/API capaz de realizar as integrações necessárias.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C9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Modelagem incorreta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Modelagem do processo atual não representar a real situação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Necessidade de adequar os prazos e possíveis atualizações nas entregas dos produtos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Manter constantemente o contato com o cliente e entregar os produtos no prazo devido 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D2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Não implantação das melhorias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As melhorias que foram desenvolvidas e propostas não serem efetivamente implantadas pelo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O processo não será ajustado e com isso os problemas permanecerão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Média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Muito baixa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Manter constantemente o contato com o cliente e entregar os produtos no prazo devido 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DB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Validação não efetiva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A validação do cliente não ocorrer ou não ser realizada em tempo hábil ou por pessoa não habilitada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Necessidade de adequar os prazos e possíveis atualizações nas entregas dos produtos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Média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Média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Manter constantemente o contato com o cliente e entregar os produtos no prazo devido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shd w:fill="e0e0e0" w:val="clear"/>
            <w:vAlign w:val="top"/>
          </w:tcPr>
          <w:p w:rsidR="00000000" w:rsidDel="00000000" w:rsidP="00000000" w:rsidRDefault="00000000" w:rsidRPr="00000000" w14:paraId="000000E4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Freqüência de avaliação dos riscos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gridSpan w:val="9"/>
            <w:vAlign w:val="top"/>
          </w:tcPr>
          <w:p w:rsidR="00000000" w:rsidDel="00000000" w:rsidP="00000000" w:rsidRDefault="00000000" w:rsidRPr="00000000" w14:paraId="000000ED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A partir de ciclos semanais, monitorar e controlar os riscos.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shd w:fill="e0e0e0" w:val="clear"/>
            <w:vAlign w:val="top"/>
          </w:tcPr>
          <w:p w:rsidR="00000000" w:rsidDel="00000000" w:rsidP="00000000" w:rsidRDefault="00000000" w:rsidRPr="00000000" w14:paraId="000000F6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Freqüência e critérios para atualização deste plano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gridSpan w:val="9"/>
            <w:vAlign w:val="top"/>
          </w:tcPr>
          <w:p w:rsidR="00000000" w:rsidDel="00000000" w:rsidP="00000000" w:rsidRDefault="00000000" w:rsidRPr="00000000" w14:paraId="000000FF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Ao final de cada semana, entender a necessidade de uma reavaliação no plano de avaliação dos riscos, se necessário, fazer uma melhoria no mesmo.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9"/>
            <w:vAlign w:val="top"/>
          </w:tcPr>
          <w:p w:rsidR="00000000" w:rsidDel="00000000" w:rsidP="00000000" w:rsidRDefault="00000000" w:rsidRPr="00000000" w14:paraId="00000108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Elaborado por: Franklin Amaral Nunes dos Santos Filho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gridSpan w:val="9"/>
            <w:vAlign w:val="top"/>
          </w:tcPr>
          <w:p w:rsidR="00000000" w:rsidDel="00000000" w:rsidP="00000000" w:rsidRDefault="00000000" w:rsidRPr="00000000" w14:paraId="00000111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Aprovado por: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João Pedro Veloso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jc w:val="both"/>
        <w:rPr>
          <w:rFonts w:ascii="Twentieth Century" w:cs="Twentieth Century" w:eastAsia="Twentieth Century" w:hAnsi="Twentieth Century"/>
          <w:vertAlign w:val="baseline"/>
        </w:rPr>
        <w:sectPr>
          <w:footerReference r:id="rId7" w:type="default"/>
          <w:pgSz w:h="16838" w:w="11906" w:orient="portrait"/>
          <w:pgMar w:bottom="1418" w:top="1418" w:left="1701" w:right="1701" w:header="709" w:footer="709"/>
          <w:pgNumType w:start="1"/>
          <w:titlePg w:val="1"/>
        </w:sect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both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8" w:top="1418" w:left="1701" w:right="1701" w:header="709" w:footer="709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Twentieth Century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Balthazar" w:cs="Balthazar" w:eastAsia="Balthazar" w:hAnsi="Balthaza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Balthazar" w:cs="Balthazar" w:eastAsia="Balthazar" w:hAnsi="Balthaza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Maria Luiza Gomes de Souza Passos, PMP</w:t>
      <w:tab/>
      <w:t xml:space="preserve">Pág.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