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t xml:space="preserve"/>
      </w:r>
    </w:p>
    <w:p>
      <w:pPr>
        <w:spacing w:before="0" w:after="0"/>
      </w:pPr>
      <w:r>
        <w:t xml:space="preserve"/>
      </w:r>
    </w:p>
    <w:p>
      <w:pPr>
        <w:spacing w:before="0" w:after="0"/>
      </w:pPr>
      <w:r>
        <w:t xml:space="preserve"/>
      </w:r>
    </w:p>
    <w:p>
      <w:pPr>
        <w:spacing w:before="0" w:after="120"/>
        <w:jc w:val="center"/>
      </w:pPr>
      <w:r>
        <w:rPr>
          <w:rFonts w:ascii="Arial" w:cs="Arial" w:eastAsia="Arial" w:hAnsi="Arial"/>
          <w:b/>
          <w:bCs/>
          <w:color w:val="C8922A"/>
          <w:sz w:val="28"/>
          <w:szCs w:val="28"/>
        </w:rPr>
        <w:t xml:space="preserve">EXECUTIVE SERVICES &amp; NON-COMPETE</w:t>
      </w:r>
    </w:p>
    <w:p>
      <w:pPr>
        <w:pBdr>
          <w:bottom w:val="single" w:color="C8922A" w:sz="6" w:space="4"/>
        </w:pBdr>
        <w:spacing w:before="0" w:after="240"/>
        <w:jc w:val="center"/>
      </w:pPr>
      <w:r>
        <w:rPr>
          <w:rFonts w:ascii="Arial" w:cs="Arial" w:eastAsia="Arial" w:hAnsi="Arial"/>
          <w:b/>
          <w:bCs/>
          <w:color w:val="C8922A"/>
          <w:sz w:val="28"/>
          <w:szCs w:val="28"/>
        </w:rPr>
        <w:t xml:space="preserve">ARRANGEMENT PROPOSAL</w:t>
      </w:r>
    </w:p>
    <w:p>
      <w:pPr>
        <w:spacing w:before="0" w:after="0"/>
      </w:pPr>
      <w:r>
        <w:t xml:space="preserve"/>
      </w:r>
    </w:p>
    <w:p>
      <w:pPr>
        <w:spacing w:before="120" w:after="60"/>
        <w:jc w:val="center"/>
      </w:pPr>
      <w:r>
        <w:rPr>
          <w:rFonts w:ascii="Arial" w:cs="Arial" w:eastAsia="Arial" w:hAnsi="Arial"/>
          <w:b/>
          <w:bCs/>
          <w:color w:val="1B3A5C"/>
          <w:sz w:val="40"/>
          <w:szCs w:val="40"/>
        </w:rPr>
        <w:t xml:space="preserve">ALCC, LLC</w:t>
      </w:r>
    </w:p>
    <w:p>
      <w:pPr>
        <w:spacing w:before="0" w:after="240"/>
        <w:jc w:val="center"/>
      </w:pPr>
      <w:r>
        <w:rPr>
          <w:rFonts w:ascii="Arial" w:cs="Arial" w:eastAsia="Arial" w:hAnsi="Arial"/>
          <w:i/>
          <w:iCs/>
          <w:color w:val="444444"/>
          <w:sz w:val="22"/>
          <w:szCs w:val="22"/>
        </w:rPr>
        <w:t xml:space="preserve">PEO Claims Services Division — Renee's Executive Services &amp; Business Restrictions</w:t>
      </w:r>
    </w:p>
    <w:p>
      <w:pPr>
        <w:spacing w:before="0" w:after="0"/>
      </w:pPr>
      <w:r>
        <w:t xml:space="preserve"/>
      </w:r>
    </w:p>
    <w:p>
      <w:pPr>
        <w:spacing w:before="120" w:after="60"/>
        <w:jc w:val="center"/>
      </w:pPr>
      <w:r>
        <w:rPr>
          <w:rFonts w:ascii="Arial" w:cs="Arial" w:eastAsia="Arial" w:hAnsi="Arial"/>
          <w:color w:val="555555"/>
          <w:sz w:val="20"/>
          <w:szCs w:val="20"/>
        </w:rPr>
        <w:t xml:space="preserve">Prepared for Review by</w:t>
      </w:r>
    </w:p>
    <w:p>
      <w:pPr>
        <w:spacing w:before="0" w:after="60"/>
        <w:jc w:val="center"/>
      </w:pPr>
      <w:r>
        <w:rPr>
          <w:rFonts w:ascii="Arial" w:cs="Arial" w:eastAsia="Arial" w:hAnsi="Arial"/>
          <w:b/>
          <w:bCs/>
          <w:color w:val="1B3A5C"/>
          <w:sz w:val="26"/>
          <w:szCs w:val="26"/>
        </w:rPr>
        <w:t xml:space="preserve">Docks Sutherland &amp; Associates</w:t>
      </w:r>
    </w:p>
    <w:p>
      <w:pPr>
        <w:spacing w:before="0" w:after="0"/>
      </w:pPr>
      <w:r>
        <w:t xml:space="preserve"/>
      </w:r>
    </w:p>
    <w:p>
      <w:pPr>
        <w:spacing w:before="120" w:after="60"/>
        <w:jc w:val="center"/>
      </w:pPr>
      <w:r>
        <w:rPr>
          <w:rFonts w:ascii="Arial" w:cs="Arial" w:eastAsia="Arial" w:hAnsi="Arial"/>
          <w:color w:val="555555"/>
          <w:sz w:val="20"/>
          <w:szCs w:val="20"/>
        </w:rPr>
        <w:t xml:space="preserve">Presented By</w:t>
      </w:r>
    </w:p>
    <w:p>
      <w:pPr>
        <w:spacing w:before="0" w:after="60"/>
        <w:jc w:val="center"/>
      </w:pPr>
      <w:r>
        <w:rPr>
          <w:rFonts w:ascii="Arial" w:cs="Arial" w:eastAsia="Arial" w:hAnsi="Arial"/>
          <w:b/>
          <w:bCs/>
          <w:color w:val="1B3A5C"/>
          <w:sz w:val="26"/>
          <w:szCs w:val="26"/>
        </w:rPr>
        <w:t xml:space="preserve">Mildred and Margie Inc.</w:t>
      </w:r>
    </w:p>
    <w:p>
      <w:pPr>
        <w:spacing w:before="0" w:after="0"/>
      </w:pPr>
      <w:r>
        <w:t xml:space="preserve"/>
      </w:r>
    </w:p>
    <w:p>
      <w:pPr>
        <w:spacing w:before="240" w:after="60"/>
        <w:jc w:val="center"/>
      </w:pPr>
      <w:r>
        <w:rPr>
          <w:rFonts w:ascii="Arial" w:cs="Arial" w:eastAsia="Arial" w:hAnsi="Arial"/>
          <w:b/>
          <w:bCs/>
          <w:color w:val="1B3A5C"/>
          <w:sz w:val="20"/>
          <w:szCs w:val="20"/>
        </w:rPr>
        <w:t xml:space="preserve">March 2026  |  CONFIDENTIAL</w:t>
      </w:r>
    </w:p>
    <w:p>
      <w:pPr>
        <w:spacing w:before="0" w:after="0"/>
        <w:jc w:val="center"/>
      </w:pPr>
      <w:r>
        <w:rPr>
          <w:rFonts w:ascii="Arial" w:cs="Arial" w:eastAsia="Arial" w:hAnsi="Arial"/>
          <w:i/>
          <w:iCs/>
          <w:color w:val="555555"/>
          <w:sz w:val="20"/>
          <w:szCs w:val="20"/>
        </w:rPr>
        <w:t xml:space="preserve">Three-Tiered Proposal — Initial Negotiation Round</w:t>
      </w:r>
    </w:p>
    <w:p>
      <w:pPr>
        <w:spacing w:before="0" w:after="0"/>
      </w:pPr>
      <w:r>
        <w:t xml:space="preserve"/>
      </w:r>
    </w:p>
    <w:p>
      <w:pPr>
        <w:spacing w:before="0" w:after="0"/>
      </w:pPr>
      <w:r>
        <w:t xml:space="preserve"/>
      </w:r>
    </w:p>
    <w:p>
      <w:pPr>
        <w:pBdr>
          <w:top w:val="single" w:color="C8922A" w:sz="4"/>
          <w:bottom w:val="single" w:color="C8922A" w:sz="4"/>
        </w:pBdr>
        <w:spacing w:before="120" w:after="120"/>
        <w:ind w:left="720" w:right="720"/>
        <w:jc w:val="center"/>
      </w:pPr>
      <w:r>
        <w:rPr>
          <w:rFonts w:ascii="Arial" w:cs="Arial" w:eastAsia="Arial" w:hAnsi="Arial"/>
          <w:i/>
          <w:iCs/>
          <w:color w:val="555555"/>
          <w:sz w:val="17"/>
          <w:szCs w:val="17"/>
        </w:rPr>
        <w:t xml:space="preserve">NOTE: Figures marked [EST] are estimated and intended for valuation framing purposes. Seller is prepared to provide supporting documentation for all estimated figures during due diligence. Final terms remain subject to confirmation against actual verified financials.</w:t>
      </w:r>
    </w:p>
    <w:p>
      <w:r>
        <w:br w:type="page"/>
      </w:r>
    </w:p>
    <w:p>
      <w:pPr>
        <w:pStyle w:val="Heading1"/>
        <w:pBdr>
          <w:bottom w:val="single" w:color="C8922A" w:sz="6" w:space="4"/>
        </w:pBdr>
        <w:spacing w:before="360" w:after="120"/>
      </w:pPr>
      <w:r>
        <w:rPr>
          <w:rFonts w:ascii="Arial" w:cs="Arial" w:eastAsia="Arial" w:hAnsi="Arial"/>
          <w:b/>
          <w:bCs/>
          <w:color w:val="1B3A5C"/>
          <w:sz w:val="28"/>
          <w:szCs w:val="28"/>
        </w:rPr>
        <w:t xml:space="preserve">0.  TRANSACTION STRUCTURE DECISION POINTS</w:t>
      </w:r>
    </w:p>
    <w:p>
      <w:pPr>
        <w:spacing w:before="0" w:after="120"/>
      </w:pPr>
      <w:r>
        <w:rPr>
          <w:rFonts w:ascii="Arial" w:cs="Arial" w:eastAsia="Arial" w:hAnsi="Arial"/>
          <w:i/>
          <w:iCs/>
          <w:color w:val="C8922A"/>
          <w:sz w:val="20"/>
          <w:szCs w:val="20"/>
        </w:rPr>
        <w:t xml:space="preserve">Required Resolutions Before LOI Execution</w:t>
      </w:r>
    </w:p>
    <w:p>
      <w:pPr>
        <w:spacing w:before="60" w:after="60"/>
        <w:jc w:val="left"/>
      </w:pPr>
      <w:r>
        <w:rPr>
          <w:rFonts w:ascii="Arial" w:cs="Arial" w:eastAsia="Arial" w:hAnsi="Arial"/>
          <w:b w:val="false"/>
          <w:bCs w:val="false"/>
          <w:i w:val="false"/>
          <w:iCs w:val="false"/>
          <w:color w:val="000000"/>
          <w:sz w:val="20"/>
          <w:szCs w:val="20"/>
        </w:rPr>
        <w:t xml:space="preserve">The following structural questions have material legal and tax consequences for all parties. They are not details to be resolved during due diligence — they determine the fundamental architecture of this transaction. Both parties should align on each decision point before a Letter of Intent is drafted. Seller recommends that both parties engage CPA and legal counsel to evaluate these questions prior to LOI execution.</w:t>
      </w:r>
    </w:p>
    <w:p>
      <w:pPr>
        <w:spacing w:before="0" w:after="0"/>
      </w:pPr>
      <w:r>
        <w:t xml:space="preserve"/>
      </w:r>
    </w:p>
    <w:p>
      <w:pPr>
        <w:pBdr>
          <w:top w:val="single" w:color="C8922A" w:sz="4"/>
          <w:bottom w:val="single" w:color="C8922A" w:sz="4"/>
          <w:left w:val="thick" w:color="C8922A" w:sz="12"/>
          <w:right w:val="none" w:color="FFFFFF" w:sz="0"/>
        </w:pBdr>
        <w:spacing w:before="120" w:after="120"/>
        <w:ind w:left="360" w:right="360"/>
      </w:pPr>
      <w:r>
        <w:rPr>
          <w:rFonts w:ascii="Arial" w:cs="Arial" w:eastAsia="Arial" w:hAnsi="Arial"/>
          <w:b/>
          <w:bCs/>
          <w:i/>
          <w:iCs/>
          <w:color w:val="1B3A5C"/>
          <w:sz w:val="20"/>
          <w:szCs w:val="20"/>
        </w:rPr>
        <w:t xml:space="preserve">This section does not represent a completed negotiating position. It is a transparency document. Its purpose is to ensure that the final agreement is structured correctly from the outset — because restructuring after LOI execution is expensive, disruptive, and exposes both parties to unintended tax consequences.</w:t>
      </w:r>
    </w:p>
    <w:p>
      <w:pPr>
        <w:spacing w:before="0" w:after="0"/>
      </w:pPr>
      <w:r>
        <w:t xml:space="preserve"/>
      </w:r>
    </w:p>
    <w:p>
      <w:pPr>
        <w:pStyle w:val="Heading2"/>
        <w:spacing w:before="240" w:after="80"/>
      </w:pPr>
      <w:r>
        <w:rPr>
          <w:rFonts w:ascii="Arial" w:cs="Arial" w:eastAsia="Arial" w:hAnsi="Arial"/>
          <w:b/>
          <w:bCs/>
          <w:color w:val="1B3A5C"/>
          <w:sz w:val="22"/>
          <w:szCs w:val="22"/>
        </w:rPr>
        <w:t xml:space="preserve">Ownership Structure of ALCC, LLC</w:t>
      </w:r>
    </w:p>
    <w:p>
      <w:pPr>
        <w:spacing w:before="60" w:after="60"/>
        <w:jc w:val="left"/>
      </w:pPr>
      <w:r>
        <w:rPr>
          <w:rFonts w:ascii="Arial" w:cs="Arial" w:eastAsia="Arial" w:hAnsi="Arial"/>
          <w:b w:val="false"/>
          <w:bCs w:val="false"/>
          <w:i w:val="false"/>
          <w:iCs w:val="false"/>
          <w:color w:val="000000"/>
          <w:sz w:val="20"/>
          <w:szCs w:val="20"/>
        </w:rPr>
        <w:t xml:space="preserve">ALCC, LLC is currently owned by two parties: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Owner</w:t>
            </w:r>
          </w:p>
        </w:tc>
        <w:tc>
          <w:tcPr>
            <w:tcW w:type="dxa" w:w="180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Ownership %</w:t>
            </w:r>
          </w:p>
        </w:tc>
        <w:tc>
          <w:tcPr>
            <w:tcW w:type="dxa" w:w="456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Role in This Arrangement</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Renee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91%</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Primary executive; party to employment agreement; personal non-compete signatory (if applicable)</w:t>
            </w:r>
          </w:p>
        </w:tc>
      </w:tr>
      <w:tr>
        <w:tc>
          <w:tcPr>
            <w:tcW w:type="dxa" w:w="3000"/>
            <w:tcBorders>
              <w:top w:val="single" w:color="CCCCCC" w:sz="4"/>
              <w:left w:val="single" w:color="CCCCCC" w:sz="4"/>
              <w:bottom w:val="single" w:color="CCCCCC" w:sz="4"/>
              <w:right w:val="single" w:color="CCCCCC" w:sz="4"/>
            </w:tcBorders>
            <w:shd w:fill="EEF4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Mildred and Margie Inc.</w:t>
            </w:r>
          </w:p>
        </w:tc>
        <w:tc>
          <w:tcPr>
            <w:tcW w:type="dxa" w:w="1800"/>
            <w:tcBorders>
              <w:top w:val="single" w:color="CCCCCC" w:sz="4"/>
              <w:left w:val="single" w:color="CCCCCC" w:sz="4"/>
              <w:bottom w:val="single" w:color="CCCCCC" w:sz="4"/>
              <w:right w:val="single" w:color="CCCCCC" w:sz="4"/>
            </w:tcBorders>
            <w:shd w:fill="EEF4F8"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9%</w:t>
            </w:r>
          </w:p>
        </w:tc>
        <w:tc>
          <w:tcPr>
            <w:tcW w:type="dxa" w:w="4560"/>
            <w:tcBorders>
              <w:top w:val="single" w:color="CCCCCC" w:sz="4"/>
              <w:left w:val="single" w:color="CCCCCC" w:sz="4"/>
              <w:bottom w:val="single" w:color="CCCCCC" w:sz="4"/>
              <w:right w:val="single" w:color="CCCCCC" w:sz="4"/>
            </w:tcBorders>
            <w:shd w:fill="EEF4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Presenting party on this proposal; minority owner of ALCC, LLC; payee TBD based on transaction structure selected</w:t>
            </w:r>
          </w:p>
        </w:tc>
      </w:tr>
    </w:tbl>
    <w:p>
      <w:pPr>
        <w:spacing w:before="0" w:after="0"/>
      </w:pPr>
      <w:r>
        <w:t xml:space="preserve"/>
      </w:r>
    </w:p>
    <w:p>
      <w:pPr>
        <w:spacing w:before="60" w:after="60"/>
        <w:jc w:val="left"/>
      </w:pPr>
      <w:r>
        <w:rPr>
          <w:rFonts w:ascii="Arial" w:cs="Arial" w:eastAsia="Arial" w:hAnsi="Arial"/>
          <w:b w:val="false"/>
          <w:bCs w:val="false"/>
          <w:i w:val="false"/>
          <w:iCs w:val="false"/>
          <w:color w:val="000000"/>
          <w:sz w:val="20"/>
          <w:szCs w:val="20"/>
        </w:rPr>
        <w:t xml:space="preserve">This ownership structure has direct implications for every payment made in this transaction. Any amount paid to ALCC, LLC as an entity distributes at 91% to Renee and 9% to Mildred and Margie Inc. Any amount paid directly to Renee as an individual does not automatically trigger Mildred and Margie Inc.'s ownership interest. The distinction must be made explicit in the final agreement.</w:t>
      </w:r>
    </w:p>
    <w:p>
      <w:pPr>
        <w:spacing w:before="0" w:after="0"/>
      </w:pPr>
      <w:r>
        <w:t xml:space="preserve"/>
      </w:r>
    </w:p>
    <w:p>
      <w:pPr>
        <w:pStyle w:val="Heading2"/>
        <w:spacing w:before="240" w:after="80"/>
      </w:pPr>
      <w:r>
        <w:rPr>
          <w:rFonts w:ascii="Arial" w:cs="Arial" w:eastAsia="Arial" w:hAnsi="Arial"/>
          <w:b/>
          <w:bCs/>
          <w:color w:val="1B3A5C"/>
          <w:sz w:val="22"/>
          <w:szCs w:val="22"/>
        </w:rPr>
        <w:t xml:space="preserve">Decision Point 1 — Does Docks Sutherland Need ALCC's EIN and Financial History?</w:t>
      </w:r>
    </w:p>
    <w:p>
      <w:pPr>
        <w:spacing w:before="60" w:after="60"/>
        <w:jc w:val="left"/>
      </w:pPr>
      <w:r>
        <w:rPr>
          <w:rFonts w:ascii="Arial" w:cs="Arial" w:eastAsia="Arial" w:hAnsi="Arial"/>
          <w:b w:val="false"/>
          <w:bCs w:val="false"/>
          <w:i w:val="false"/>
          <w:iCs w:val="false"/>
          <w:color w:val="000000"/>
          <w:sz w:val="20"/>
          <w:szCs w:val="20"/>
        </w:rPr>
        <w:t xml:space="preserve">This is the threshold question that determines the entire transaction structure.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
            </w:r>
          </w:p>
        </w:tc>
        <w:tc>
          <w:tcPr>
            <w:tcW w:type="dxa" w:w="368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YES — EIN &amp; History Required</w:t>
            </w:r>
          </w:p>
        </w:tc>
        <w:tc>
          <w:tcPr>
            <w:tcW w:type="dxa" w:w="368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NO — Renee's Services Only</w:t>
            </w:r>
          </w:p>
        </w:tc>
      </w:tr>
      <w:tr>
        <w:tc>
          <w:tcPr>
            <w:tcW w:type="dxa" w:w="20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Transaction Type</w:t>
            </w:r>
          </w:p>
        </w:tc>
        <w:tc>
          <w:tcPr>
            <w:tcW w:type="dxa" w:w="3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Membership interest purchase or full asset purchase including EIN transfer</w:t>
            </w:r>
          </w:p>
        </w:tc>
        <w:tc>
          <w:tcPr>
            <w:tcW w:type="dxa" w:w="3680"/>
            <w:tcBorders>
              <w:top w:val="single" w:color="CCCCCC" w:sz="4"/>
              <w:left w:val="single" w:color="CCCCCC" w:sz="4"/>
              <w:bottom w:val="single" w:color="CCCCCC" w:sz="4"/>
              <w:right w:val="single" w:color="CCCCCC" w:sz="4"/>
            </w:tcBorders>
            <w:shd w:fill="EEF4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Executive services arrangement and/or personal non-compete agreement</w:t>
            </w:r>
          </w:p>
        </w:tc>
      </w:tr>
      <w:tr>
        <w:tc>
          <w:tcPr>
            <w:tcW w:type="dxa" w:w="20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Who Signs</w:t>
            </w:r>
          </w:p>
        </w:tc>
        <w:tc>
          <w:tcPr>
            <w:tcW w:type="dxa" w:w="3680"/>
            <w:tcBorders>
              <w:top w:val="single" w:color="CCCCCC" w:sz="4"/>
              <w:left w:val="single" w:color="CCCCCC" w:sz="4"/>
              <w:bottom w:val="single" w:color="CCCCCC" w:sz="4"/>
              <w:right w:val="single" w:color="CCCCCC" w:sz="4"/>
            </w:tcBorders>
            <w:shd w:fill="EEF4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Both Renee (91%) and Mildred &amp; Margie Inc. (9%) must sign as selling members</w:t>
            </w:r>
          </w:p>
        </w:tc>
        <w:tc>
          <w:tcPr>
            <w:tcW w:type="dxa" w:w="3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Renee signs personally; M&amp;M Inc. signs as presenting/consenting party only</w:t>
            </w:r>
          </w:p>
        </w:tc>
      </w:tr>
      <w:tr>
        <w:tc>
          <w:tcPr>
            <w:tcW w:type="dxa" w:w="20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Payment Split</w:t>
            </w:r>
          </w:p>
        </w:tc>
        <w:tc>
          <w:tcPr>
            <w:tcW w:type="dxa" w:w="3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Proceeds split 91/9 by operation of the LLC's ownership structure</w:t>
            </w:r>
          </w:p>
        </w:tc>
        <w:tc>
          <w:tcPr>
            <w:tcW w:type="dxa" w:w="3680"/>
            <w:tcBorders>
              <w:top w:val="single" w:color="CCCCCC" w:sz="4"/>
              <w:left w:val="single" w:color="CCCCCC" w:sz="4"/>
              <w:bottom w:val="single" w:color="CCCCCC" w:sz="4"/>
              <w:right w:val="single" w:color="CCCCCC" w:sz="4"/>
            </w:tcBorders>
            <w:shd w:fill="EEF4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Employment salary paid to Renee only. Non-compete payment payee TBD — see Decision Point 3</w:t>
            </w:r>
          </w:p>
        </w:tc>
      </w:tr>
      <w:tr>
        <w:tc>
          <w:tcPr>
            <w:tcW w:type="dxa" w:w="20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Tax Treatment</w:t>
            </w:r>
          </w:p>
        </w:tc>
        <w:tc>
          <w:tcPr>
            <w:tcW w:type="dxa" w:w="3680"/>
            <w:tcBorders>
              <w:top w:val="single" w:color="CCCCCC" w:sz="4"/>
              <w:left w:val="single" w:color="CCCCCC" w:sz="4"/>
              <w:bottom w:val="single" w:color="CCCCCC" w:sz="4"/>
              <w:right w:val="single" w:color="CCCCCC" w:sz="4"/>
            </w:tcBorders>
            <w:shd w:fill="EEF4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Potential capital gains treatment on membership interest sale — more favorable than ordinary income. Requires CPA analysis.</w:t>
            </w:r>
          </w:p>
        </w:tc>
        <w:tc>
          <w:tcPr>
            <w:tcW w:type="dxa" w:w="3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Employment salary = W-2 ordinary income always. Non-compete lump sum treatment depends on payee — see Decision Point 3.</w:t>
            </w:r>
          </w:p>
        </w:tc>
      </w:tr>
      <w:tr>
        <w:tc>
          <w:tcPr>
            <w:tcW w:type="dxa" w:w="20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M&amp;M Inc. Compensation</w:t>
            </w:r>
          </w:p>
        </w:tc>
        <w:tc>
          <w:tcPr>
            <w:tcW w:type="dxa" w:w="3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M&amp;M receives 9% of all sale proceeds by right as an LLC member</w:t>
            </w:r>
          </w:p>
        </w:tc>
        <w:tc>
          <w:tcPr>
            <w:tcW w:type="dxa" w:w="3680"/>
            <w:tcBorders>
              <w:top w:val="single" w:color="CCCCCC" w:sz="4"/>
              <w:left w:val="single" w:color="CCCCCC" w:sz="4"/>
              <w:bottom w:val="single" w:color="CCCCCC" w:sz="4"/>
              <w:right w:val="single" w:color="CCCCCC" w:sz="4"/>
            </w:tcBorders>
            <w:shd w:fill="EEF4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M&amp;M's entitlement to the non-compete payment is not automatic — must be negotiated and explicitly stated</w:t>
            </w:r>
          </w:p>
        </w:tc>
      </w:tr>
    </w:tbl>
    <w:p>
      <w:pPr>
        <w:spacing w:before="0" w:after="0"/>
      </w:pPr>
      <w:r>
        <w:t xml:space="preserve"/>
      </w:r>
    </w:p>
    <w:p>
      <w:pPr>
        <w:pBdr>
          <w:left w:val="thick" w:color="C0392B" w:sz="12"/>
        </w:pBdr>
        <w:spacing w:before="80" w:after="80"/>
        <w:ind w:left="360" w:right="360"/>
      </w:pPr>
      <w:r>
        <w:rPr>
          <w:rFonts w:ascii="Arial" w:cs="Arial" w:eastAsia="Arial" w:hAnsi="Arial"/>
          <w:b/>
          <w:bCs/>
          <w:color w:val="C0392B"/>
          <w:sz w:val="19"/>
          <w:szCs w:val="19"/>
        </w:rPr>
        <w:t xml:space="preserve">UNRESOLVED — Buyer must confirm whether ALCC's EIN and financial history are required as part of this arrangement before any LOI is executed. This decision changes the legal character of the entire transaction.</w:t>
      </w:r>
    </w:p>
    <w:p>
      <w:pPr>
        <w:spacing w:before="0" w:after="0"/>
      </w:pPr>
      <w:r>
        <w:t xml:space="preserve"/>
      </w:r>
    </w:p>
    <w:p>
      <w:pPr>
        <w:pStyle w:val="Heading2"/>
        <w:spacing w:before="240" w:after="80"/>
      </w:pPr>
      <w:r>
        <w:rPr>
          <w:rFonts w:ascii="Arial" w:cs="Arial" w:eastAsia="Arial" w:hAnsi="Arial"/>
          <w:b/>
          <w:bCs/>
          <w:color w:val="1B3A5C"/>
          <w:sz w:val="22"/>
          <w:szCs w:val="22"/>
        </w:rPr>
        <w:t xml:space="preserve">Decision Point 2 — Who Is the Selling Party?</w:t>
      </w:r>
    </w:p>
    <w:p>
      <w:pPr>
        <w:spacing w:before="60" w:after="60"/>
        <w:jc w:val="left"/>
      </w:pPr>
      <w:r>
        <w:rPr>
          <w:rFonts w:ascii="Arial" w:cs="Arial" w:eastAsia="Arial" w:hAnsi="Arial"/>
          <w:b w:val="false"/>
          <w:bCs w:val="false"/>
          <w:i w:val="false"/>
          <w:iCs w:val="false"/>
          <w:color w:val="000000"/>
          <w:sz w:val="20"/>
          <w:szCs w:val="20"/>
        </w:rPr>
        <w:t xml:space="preserve">The final agreement must clearly identify who is being paid for what. There are three structurally distinct scenarios: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c>
          <w:tcPr>
            <w:tcW w:type="dxa" w:w="160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Scenario</w:t>
            </w:r>
          </w:p>
        </w:tc>
        <w:tc>
          <w:tcPr>
            <w:tcW w:type="dxa" w:w="320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Structure</w:t>
            </w:r>
          </w:p>
        </w:tc>
        <w:tc>
          <w:tcPr>
            <w:tcW w:type="dxa" w:w="456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Implication</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Scenario A</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M&amp;M Inc. is paid for Renee's services on behalf of ALCC, LLC</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M&amp;M receives the lump sum and has an internal obligation to distribute 91% to Renee. Tax hits M&amp;M as a corporate entity first, then passes through to Renee. M&amp;M's 9% interest is clearly compensated.</w:t>
            </w:r>
          </w:p>
        </w:tc>
      </w:tr>
      <w:tr>
        <w:tc>
          <w:tcPr>
            <w:tcW w:type="dxa" w:w="1600"/>
            <w:tcBorders>
              <w:top w:val="single" w:color="CCCCCC" w:sz="4"/>
              <w:left w:val="single" w:color="CCCCCC" w:sz="4"/>
              <w:bottom w:val="single" w:color="CCCCCC" w:sz="4"/>
              <w:right w:val="single" w:color="CCCCCC" w:sz="4"/>
            </w:tcBorders>
            <w:shd w:fill="EEF4F8"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Scenario B</w:t>
            </w:r>
          </w:p>
        </w:tc>
        <w:tc>
          <w:tcPr>
            <w:tcW w:type="dxa" w:w="3200"/>
            <w:tcBorders>
              <w:top w:val="single" w:color="CCCCCC" w:sz="4"/>
              <w:left w:val="single" w:color="CCCCCC" w:sz="4"/>
              <w:bottom w:val="single" w:color="CCCCCC" w:sz="4"/>
              <w:right w:val="single" w:color="CCCCCC" w:sz="4"/>
            </w:tcBorders>
            <w:shd w:fill="EEF4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Renee and M&amp;M Inc. are each paid separately as co-parties</w:t>
            </w:r>
          </w:p>
        </w:tc>
        <w:tc>
          <w:tcPr>
            <w:tcW w:type="dxa" w:w="4560"/>
            <w:tcBorders>
              <w:top w:val="single" w:color="CCCCCC" w:sz="4"/>
              <w:left w:val="single" w:color="CCCCCC" w:sz="4"/>
              <w:bottom w:val="single" w:color="CCCCCC" w:sz="4"/>
              <w:right w:val="single" w:color="CCCCCC" w:sz="4"/>
            </w:tcBorders>
            <w:shd w:fill="EEF4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The lump sum is split explicitly: 91% to Renee, 9% to M&amp;M Inc. Each party bears their own tax obligation. Cleanest structure if EIN is not being transferred.</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Scenario C</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Renee is paid personally; M&amp;M Inc. receives a separate negotiated fee</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The non-compete payment flows entirely to Renee as an individual. M&amp;M is separately compensated for its role and its 9% stake — amount negotiated independently. Requires explicit agreement on M&amp;M's entitlement outside the 91/9 split.</w:t>
            </w:r>
          </w:p>
        </w:tc>
      </w:tr>
    </w:tbl>
    <w:p>
      <w:pPr>
        <w:spacing w:before="0" w:after="0"/>
      </w:pPr>
      <w:r>
        <w:t xml:space="preserve"/>
      </w:r>
    </w:p>
    <w:p>
      <w:pPr>
        <w:pBdr>
          <w:left w:val="thick" w:color="C0392B" w:sz="12"/>
        </w:pBdr>
        <w:spacing w:before="80" w:after="80"/>
        <w:ind w:left="360" w:right="360"/>
      </w:pPr>
      <w:r>
        <w:rPr>
          <w:rFonts w:ascii="Arial" w:cs="Arial" w:eastAsia="Arial" w:hAnsi="Arial"/>
          <w:b/>
          <w:bCs/>
          <w:color w:val="C0392B"/>
          <w:sz w:val="19"/>
          <w:szCs w:val="19"/>
        </w:rPr>
        <w:t xml:space="preserve">UNRESOLVED — The current proposal is presented by M&amp;M Inc. but does not specify whether the non-compete lump sum is payable to M&amp;M Inc., to Renee personally, to ALCC LLC, or split between parties. This must be resolved and stated explicitly in the LOI.</w:t>
      </w:r>
    </w:p>
    <w:p>
      <w:pPr>
        <w:spacing w:before="0" w:after="0"/>
      </w:pPr>
      <w:r>
        <w:t xml:space="preserve"/>
      </w:r>
    </w:p>
    <w:p>
      <w:pPr>
        <w:pStyle w:val="Heading2"/>
        <w:spacing w:before="240" w:after="80"/>
      </w:pPr>
      <w:r>
        <w:rPr>
          <w:rFonts w:ascii="Arial" w:cs="Arial" w:eastAsia="Arial" w:hAnsi="Arial"/>
          <w:b/>
          <w:bCs/>
          <w:color w:val="1B3A5C"/>
          <w:sz w:val="22"/>
          <w:szCs w:val="22"/>
        </w:rPr>
        <w:t xml:space="preserve">Decision Point 3 — Tax Treatment of the Non-Compete Lump Sum</w:t>
      </w:r>
    </w:p>
    <w:p>
      <w:pPr>
        <w:spacing w:before="60" w:after="60"/>
        <w:jc w:val="left"/>
      </w:pPr>
      <w:r>
        <w:rPr>
          <w:rFonts w:ascii="Arial" w:cs="Arial" w:eastAsia="Arial" w:hAnsi="Arial"/>
          <w:b w:val="false"/>
          <w:bCs w:val="false"/>
          <w:i w:val="false"/>
          <w:iCs w:val="false"/>
          <w:color w:val="000000"/>
          <w:sz w:val="20"/>
          <w:szCs w:val="20"/>
        </w:rPr>
        <w:t xml:space="preserve">The IRS treats non-compete payments differently depending on who receives them and in what capacity. The following represents general guidance only — both parties must obtain independent tax advice before proceeding.</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Payee</w:t>
            </w:r>
          </w:p>
        </w:tc>
        <w:tc>
          <w:tcPr>
            <w:tcW w:type="dxa" w:w="300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Likely Tax Treatment</w:t>
            </w:r>
          </w:p>
        </w:tc>
        <w:tc>
          <w:tcPr>
            <w:tcW w:type="dxa" w:w="396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Planning Notes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Renee — Personally</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Ordinary income (IRS treats individual non-compete payments as ordinary income)</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On $4.25M–$5.75M this is the least favorable outcome. Potential mitigation via installment sale structure. Requires CPA guidance.</w:t>
            </w:r>
          </w:p>
        </w:tc>
      </w:tr>
      <w:tr>
        <w:tc>
          <w:tcPr>
            <w:tcW w:type="dxa" w:w="2400"/>
            <w:tcBorders>
              <w:top w:val="single" w:color="CCCCCC" w:sz="4"/>
              <w:left w:val="single" w:color="CCCCCC" w:sz="4"/>
              <w:bottom w:val="single" w:color="CCCCCC" w:sz="4"/>
              <w:right w:val="single" w:color="CCCCCC" w:sz="4"/>
            </w:tcBorders>
            <w:shd w:fill="EEF4F8"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ALCC, LLC (Multi-Member LLC)</w:t>
            </w:r>
          </w:p>
        </w:tc>
        <w:tc>
          <w:tcPr>
            <w:tcW w:type="dxa" w:w="3000"/>
            <w:tcBorders>
              <w:top w:val="single" w:color="CCCCCC" w:sz="4"/>
              <w:left w:val="single" w:color="CCCCCC" w:sz="4"/>
              <w:bottom w:val="single" w:color="CCCCCC" w:sz="4"/>
              <w:right w:val="single" w:color="CCCCCC" w:sz="4"/>
            </w:tcBorders>
            <w:shd w:fill="EEF4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Pass-through to members at 91/9 split. Treatment at member level depends on LLC's tax election.</w:t>
            </w:r>
          </w:p>
        </w:tc>
        <w:tc>
          <w:tcPr>
            <w:tcW w:type="dxa" w:w="3960"/>
            <w:tcBorders>
              <w:top w:val="single" w:color="CCCCCC" w:sz="4"/>
              <w:left w:val="single" w:color="CCCCCC" w:sz="4"/>
              <w:bottom w:val="single" w:color="CCCCCC" w:sz="4"/>
              <w:right w:val="single" w:color="CCCCCC" w:sz="4"/>
            </w:tcBorders>
            <w:shd w:fill="EEF4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If ALCC is taxed as a partnership, proceeds pass through to Renee and M&amp;M Inc. on their K-1s. May allow more favorable characterization if structured as a membership interest sale.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Mildred &amp; Margie Inc. (Corporate Entity)</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Corporate income tax at M&amp;M's entity level, then potential distribution tax when paid to M&amp;M's owners</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Potential double-taxation risk if M&amp;M is a C-corp. If M&amp;M is an S-corp, income passes through to shareholders. Structure of M&amp;M matters significantly.</w:t>
            </w:r>
          </w:p>
        </w:tc>
      </w:tr>
      <w:tr>
        <w:tc>
          <w:tcPr>
            <w:tcW w:type="dxa" w:w="2400"/>
            <w:tcBorders>
              <w:top w:val="single" w:color="CCCCCC" w:sz="4"/>
              <w:left w:val="single" w:color="CCCCCC" w:sz="4"/>
              <w:bottom w:val="single" w:color="CCCCCC" w:sz="4"/>
              <w:right w:val="single" w:color="CCCCCC" w:sz="4"/>
            </w:tcBorders>
            <w:shd w:fill="EEF4F8"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Installment / Structured Payments</w:t>
            </w:r>
          </w:p>
        </w:tc>
        <w:tc>
          <w:tcPr>
            <w:tcW w:type="dxa" w:w="3000"/>
            <w:tcBorders>
              <w:top w:val="single" w:color="CCCCCC" w:sz="4"/>
              <w:left w:val="single" w:color="CCCCCC" w:sz="4"/>
              <w:bottom w:val="single" w:color="CCCCCC" w:sz="4"/>
              <w:right w:val="single" w:color="CCCCCC" w:sz="4"/>
            </w:tcBorders>
            <w:shd w:fill="EEF4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Deferred recognition; income spread across payment years</w:t>
            </w:r>
          </w:p>
        </w:tc>
        <w:tc>
          <w:tcPr>
            <w:tcW w:type="dxa" w:w="3960"/>
            <w:tcBorders>
              <w:top w:val="single" w:color="CCCCCC" w:sz="4"/>
              <w:left w:val="single" w:color="CCCCCC" w:sz="4"/>
              <w:bottom w:val="single" w:color="CCCCCC" w:sz="4"/>
              <w:right w:val="single" w:color="CCCCCC" w:sz="4"/>
            </w:tcBorders>
            <w:shd w:fill="EEF4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May reduce effective tax rate by keeping annual income below higher bracket thresholds. Requires buyer cooperation and structuring. Both parties benefit from exploring this option.</w:t>
            </w:r>
          </w:p>
        </w:tc>
      </w:tr>
    </w:tbl>
    <w:p>
      <w:pPr>
        <w:spacing w:before="0" w:after="0"/>
      </w:pPr>
      <w:r>
        <w:t xml:space="preserve"/>
      </w:r>
    </w:p>
    <w:p>
      <w:pPr>
        <w:pBdr>
          <w:left w:val="thick" w:color="C0392B" w:sz="12"/>
        </w:pBdr>
        <w:spacing w:before="80" w:after="80"/>
        <w:ind w:left="360" w:right="360"/>
      </w:pPr>
      <w:r>
        <w:rPr>
          <w:rFonts w:ascii="Arial" w:cs="Arial" w:eastAsia="Arial" w:hAnsi="Arial"/>
          <w:b/>
          <w:bCs/>
          <w:color w:val="C0392B"/>
          <w:sz w:val="19"/>
          <w:szCs w:val="19"/>
        </w:rPr>
        <w:t xml:space="preserve">UNRESOLVED — The tax treatment of the non-compete lump sum has not been determined. Neither party should execute an LOI until a CPA has reviewed the proposed payee structure and confirmed the anticipated tax treatment. The difference between ordinary income and capital gains treatment on a $4.25M–$5.75M payment is material.</w:t>
      </w:r>
    </w:p>
    <w:p>
      <w:pPr>
        <w:spacing w:before="0" w:after="0"/>
      </w:pPr>
      <w:r>
        <w:t xml:space="preserve"/>
      </w:r>
    </w:p>
    <w:p>
      <w:pPr>
        <w:pStyle w:val="Heading2"/>
        <w:spacing w:before="240" w:after="80"/>
      </w:pPr>
      <w:r>
        <w:rPr>
          <w:rFonts w:ascii="Arial" w:cs="Arial" w:eastAsia="Arial" w:hAnsi="Arial"/>
          <w:b/>
          <w:bCs/>
          <w:color w:val="1B3A5C"/>
          <w:sz w:val="22"/>
          <w:szCs w:val="22"/>
        </w:rPr>
        <w:t xml:space="preserve">Decision Point 4 — What Does M&amp;M Inc.'s 9% Stake Entitle It To?</w:t>
      </w:r>
    </w:p>
    <w:p>
      <w:pPr>
        <w:spacing w:before="60" w:after="60"/>
        <w:jc w:val="left"/>
      </w:pPr>
      <w:r>
        <w:rPr>
          <w:rFonts w:ascii="Arial" w:cs="Arial" w:eastAsia="Arial" w:hAnsi="Arial"/>
          <w:b w:val="false"/>
          <w:bCs w:val="false"/>
          <w:i w:val="false"/>
          <w:iCs w:val="false"/>
          <w:color w:val="000000"/>
          <w:sz w:val="20"/>
          <w:szCs w:val="20"/>
        </w:rPr>
        <w:t xml:space="preserve">This question must be answered clearly between the internal parties before it becomes a negotiating issue with Docks Sutherland. The 9% ownership stake in ALCC, LLC entitles M&amp;M Inc. to 9% of any proceeds from a sale of ALCC, LLC or its assets. It does not automatically entitle M&amp;M Inc. to 9% of Renee's personal employment income or personal non-compete payments.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4060"/>
      </w:tblGrid>
      <w:tr>
        <w:tc>
          <w:tcPr>
            <w:tcW w:type="dxa" w:w="350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Payment Type</w:t>
            </w:r>
          </w:p>
        </w:tc>
        <w:tc>
          <w:tcPr>
            <w:tcW w:type="dxa" w:w="180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M&amp;M Inc. Entitled?</w:t>
            </w:r>
          </w:p>
        </w:tc>
        <w:tc>
          <w:tcPr>
            <w:tcW w:type="dxa" w:w="406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Basis</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Sale of ALCC, LLC membership interests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YES — 9%</w:t>
            </w:r>
          </w:p>
        </w:tc>
        <w:tc>
          <w:tcPr>
            <w:tcW w:type="dxa" w:w="4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M&amp;M owns 9% of the LLC; proceeds split by ownership percentage</w:t>
            </w:r>
          </w:p>
        </w:tc>
      </w:tr>
      <w:tr>
        <w:tc>
          <w:tcPr>
            <w:tcW w:type="dxa" w:w="3500"/>
            <w:tcBorders>
              <w:top w:val="single" w:color="CCCCCC" w:sz="4"/>
              <w:left w:val="single" w:color="CCCCCC" w:sz="4"/>
              <w:bottom w:val="single" w:color="CCCCCC" w:sz="4"/>
              <w:right w:val="single" w:color="CCCCCC" w:sz="4"/>
            </w:tcBorders>
            <w:shd w:fill="EEF4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Sale of ALCC, LLC assets (including EIN)</w:t>
            </w:r>
          </w:p>
        </w:tc>
        <w:tc>
          <w:tcPr>
            <w:tcW w:type="dxa" w:w="1800"/>
            <w:tcBorders>
              <w:top w:val="single" w:color="CCCCCC" w:sz="4"/>
              <w:left w:val="single" w:color="CCCCCC" w:sz="4"/>
              <w:bottom w:val="single" w:color="CCCCCC" w:sz="4"/>
              <w:right w:val="single" w:color="CCCCCC" w:sz="4"/>
            </w:tcBorders>
            <w:shd w:fill="EEF4F8"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YES — 9%</w:t>
            </w:r>
          </w:p>
        </w:tc>
        <w:tc>
          <w:tcPr>
            <w:tcW w:type="dxa" w:w="4060"/>
            <w:tcBorders>
              <w:top w:val="single" w:color="CCCCCC" w:sz="4"/>
              <w:left w:val="single" w:color="CCCCCC" w:sz="4"/>
              <w:bottom w:val="single" w:color="CCCCCC" w:sz="4"/>
              <w:right w:val="single" w:color="CCCCCC" w:sz="4"/>
            </w:tcBorders>
            <w:shd w:fill="EEF4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Asset sale proceeds flow into the LLC and distribute per operating agreement</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Non-compete payment paid to ALCC, LLC</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YES — 9%</w:t>
            </w:r>
          </w:p>
        </w:tc>
        <w:tc>
          <w:tcPr>
            <w:tcW w:type="dxa" w:w="4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Payment into LLC distributes 91/9 per operating agreement</w:t>
            </w:r>
          </w:p>
        </w:tc>
      </w:tr>
      <w:tr>
        <w:tc>
          <w:tcPr>
            <w:tcW w:type="dxa" w:w="3500"/>
            <w:tcBorders>
              <w:top w:val="single" w:color="CCCCCC" w:sz="4"/>
              <w:left w:val="single" w:color="CCCCCC" w:sz="4"/>
              <w:bottom w:val="single" w:color="CCCCCC" w:sz="4"/>
              <w:right w:val="single" w:color="CCCCCC" w:sz="4"/>
            </w:tcBorders>
            <w:shd w:fill="EEF4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Non-compete payment paid to Renee personally</w:t>
            </w:r>
          </w:p>
        </w:tc>
        <w:tc>
          <w:tcPr>
            <w:tcW w:type="dxa" w:w="1800"/>
            <w:tcBorders>
              <w:top w:val="single" w:color="CCCCCC" w:sz="4"/>
              <w:left w:val="single" w:color="CCCCCC" w:sz="4"/>
              <w:bottom w:val="single" w:color="CCCCCC" w:sz="4"/>
              <w:right w:val="single" w:color="CCCCCC" w:sz="4"/>
            </w:tcBorders>
            <w:shd w:fill="EEF4F8"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NOT automatic</w:t>
            </w:r>
          </w:p>
        </w:tc>
        <w:tc>
          <w:tcPr>
            <w:tcW w:type="dxa" w:w="4060"/>
            <w:tcBorders>
              <w:top w:val="single" w:color="CCCCCC" w:sz="4"/>
              <w:left w:val="single" w:color="CCCCCC" w:sz="4"/>
              <w:bottom w:val="single" w:color="CCCCCC" w:sz="4"/>
              <w:right w:val="single" w:color="CCCCCC" w:sz="4"/>
            </w:tcBorders>
            <w:shd w:fill="EEF4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Personal payment to Renee does not trigger LLC ownership rights. M&amp;M must negotiate separate compensation or waive entitlement in writing.</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Renee's annual employment salary</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NO</w:t>
            </w:r>
          </w:p>
        </w:tc>
        <w:tc>
          <w:tcPr>
            <w:tcW w:type="dxa" w:w="4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Employment income is Renee's personal W-2 income. M&amp;M's ownership stake has no claim on Renee's employment compensation.</w:t>
            </w:r>
          </w:p>
        </w:tc>
      </w:tr>
      <w:tr>
        <w:tc>
          <w:tcPr>
            <w:tcW w:type="dxa" w:w="3500"/>
            <w:tcBorders>
              <w:top w:val="single" w:color="CCCCCC" w:sz="4"/>
              <w:left w:val="single" w:color="CCCCCC" w:sz="4"/>
              <w:bottom w:val="single" w:color="CCCCCC" w:sz="4"/>
              <w:right w:val="single" w:color="CCCCCC" w:sz="4"/>
            </w:tcBorders>
            <w:shd w:fill="EEF4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Referral fees (client sales to Docks)</w:t>
            </w:r>
          </w:p>
        </w:tc>
        <w:tc>
          <w:tcPr>
            <w:tcW w:type="dxa" w:w="1800"/>
            <w:tcBorders>
              <w:top w:val="single" w:color="CCCCCC" w:sz="4"/>
              <w:left w:val="single" w:color="CCCCCC" w:sz="4"/>
              <w:bottom w:val="single" w:color="CCCCCC" w:sz="4"/>
              <w:right w:val="single" w:color="CCCCCC" w:sz="4"/>
            </w:tcBorders>
            <w:shd w:fill="EEF4F8"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NEGOTIABLE</w:t>
            </w:r>
          </w:p>
        </w:tc>
        <w:tc>
          <w:tcPr>
            <w:tcW w:type="dxa" w:w="4060"/>
            <w:tcBorders>
              <w:top w:val="single" w:color="CCCCCC" w:sz="4"/>
              <w:left w:val="single" w:color="CCCCCC" w:sz="4"/>
              <w:bottom w:val="single" w:color="CCCCCC" w:sz="4"/>
              <w:right w:val="single" w:color="CCCCCC" w:sz="4"/>
            </w:tcBorders>
            <w:shd w:fill="EEF4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Depends on whether referral fees are paid to ALCC, LLC (distributes 91/9) or to M&amp;M Inc. directly (M&amp;M keeps 100%). Payee must be specified in the referral fee agreement.</w:t>
            </w:r>
          </w:p>
        </w:tc>
      </w:tr>
    </w:tbl>
    <w:p>
      <w:pPr>
        <w:spacing w:before="0" w:after="0"/>
      </w:pPr>
      <w:r>
        <w:t xml:space="preserve"/>
      </w:r>
    </w:p>
    <w:p>
      <w:pPr>
        <w:pBdr>
          <w:left w:val="thick" w:color="C0392B" w:sz="12"/>
        </w:pBdr>
        <w:spacing w:before="80" w:after="80"/>
        <w:ind w:left="360" w:right="360"/>
      </w:pPr>
      <w:r>
        <w:rPr>
          <w:rFonts w:ascii="Arial" w:cs="Arial" w:eastAsia="Arial" w:hAnsi="Arial"/>
          <w:b/>
          <w:bCs/>
          <w:color w:val="C0392B"/>
          <w:sz w:val="19"/>
          <w:szCs w:val="19"/>
        </w:rPr>
        <w:t xml:space="preserve">UNRESOLVED — The internal allocation between Renee and M&amp;M Inc. across each payment type must be agreed upon and documented before the LOI is presented to Docks Sutherland. Presenting an LOI with unresolved internal ownership disputes creates negotiating leverage for the buyer.</w:t>
      </w:r>
    </w:p>
    <w:p>
      <w:pPr>
        <w:spacing w:before="0" w:after="0"/>
      </w:pPr>
      <w:r>
        <w:t xml:space="preserve"/>
      </w:r>
    </w:p>
    <w:p>
      <w:pPr>
        <w:pStyle w:val="Heading2"/>
        <w:spacing w:before="240" w:after="80"/>
      </w:pPr>
      <w:r>
        <w:rPr>
          <w:rFonts w:ascii="Arial" w:cs="Arial" w:eastAsia="Arial" w:hAnsi="Arial"/>
          <w:b/>
          <w:bCs/>
          <w:color w:val="1B3A5C"/>
          <w:sz w:val="22"/>
          <w:szCs w:val="22"/>
        </w:rPr>
        <w:t xml:space="preserve">Open Items Checklist — Conditions Precedent to LOI Execution</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5040"/>
        <w:gridCol w:w="2040"/>
        <w:gridCol w:w="1800"/>
      </w:tblGrid>
      <w:tr>
        <w:tc>
          <w:tcPr>
            <w:tcW w:type="dxa" w:w="48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t>
            </w:r>
          </w:p>
        </w:tc>
        <w:tc>
          <w:tcPr>
            <w:tcW w:type="dxa" w:w="504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Open Item</w:t>
            </w:r>
          </w:p>
        </w:tc>
        <w:tc>
          <w:tcPr>
            <w:tcW w:type="dxa" w:w="204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Responsible Party</w:t>
            </w:r>
          </w:p>
        </w:tc>
        <w:tc>
          <w:tcPr>
            <w:tcW w:type="dxa" w:w="180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Status</w:t>
            </w:r>
          </w:p>
        </w:tc>
      </w:tr>
      <w:tr>
        <w:tc>
          <w:tcPr>
            <w:tcW w:type="dxa" w:w="480"/>
            <w:tcBorders>
              <w:top w:val="single" w:color="CCCCCC" w:sz="4"/>
              <w:left w:val="single" w:color="CCCCCC" w:sz="4"/>
              <w:bottom w:val="single" w:color="CCCCCC" w:sz="4"/>
              <w:right w:val="single" w:color="CCCCCC" w:sz="4"/>
            </w:tcBorders>
            <w:shd w:fill="EEF4F8"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w:t>
            </w:r>
          </w:p>
        </w:tc>
        <w:tc>
          <w:tcPr>
            <w:tcW w:type="dxa" w:w="5040"/>
            <w:tcBorders>
              <w:top w:val="single" w:color="CCCCCC" w:sz="4"/>
              <w:left w:val="single" w:color="CCCCCC" w:sz="4"/>
              <w:bottom w:val="single" w:color="CCCCCC" w:sz="4"/>
              <w:right w:val="single" w:color="CCCCCC" w:sz="4"/>
            </w:tcBorders>
            <w:shd w:fill="EEF4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Confirm whether Docks Sutherland requires ALCC's EIN and financial history</w:t>
            </w:r>
          </w:p>
        </w:tc>
        <w:tc>
          <w:tcPr>
            <w:tcW w:type="dxa" w:w="2040"/>
            <w:tcBorders>
              <w:top w:val="single" w:color="CCCCCC" w:sz="4"/>
              <w:left w:val="single" w:color="CCCCCC" w:sz="4"/>
              <w:bottom w:val="single" w:color="CCCCCC" w:sz="4"/>
              <w:right w:val="single" w:color="CCCCCC" w:sz="4"/>
            </w:tcBorders>
            <w:shd w:fill="EEF4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Buyer to advise</w:t>
            </w:r>
          </w:p>
        </w:tc>
        <w:tc>
          <w:tcPr>
            <w:tcW w:type="dxa" w:w="1800"/>
            <w:tcBorders>
              <w:top w:val="single" w:color="CCCCCC" w:sz="4"/>
              <w:left w:val="single" w:color="CCCCCC" w:sz="4"/>
              <w:bottom w:val="single" w:color="CCCCCC" w:sz="4"/>
              <w:right w:val="single" w:color="CCCCCC" w:sz="4"/>
            </w:tcBorders>
            <w:shd w:fill="FFF3DC"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OPEN</w:t>
            </w:r>
          </w:p>
        </w:tc>
      </w:tr>
      <w:tr>
        <w:tc>
          <w:tcPr>
            <w:tcW w:type="dxa" w:w="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2</w:t>
            </w:r>
          </w:p>
        </w:tc>
        <w:tc>
          <w:tcPr>
            <w:tcW w:type="dxa" w:w="5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Confirm legal structure of the transaction (membership interest sale, asset purchase, or services-only arrangement)</w:t>
            </w:r>
          </w:p>
        </w:tc>
        <w:tc>
          <w:tcPr>
            <w:tcW w:type="dxa" w:w="2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CPA + Legal — Both Parties</w:t>
            </w:r>
          </w:p>
        </w:tc>
        <w:tc>
          <w:tcPr>
            <w:tcW w:type="dxa" w:w="1800"/>
            <w:tcBorders>
              <w:top w:val="single" w:color="CCCCCC" w:sz="4"/>
              <w:left w:val="single" w:color="CCCCCC" w:sz="4"/>
              <w:bottom w:val="single" w:color="CCCCCC" w:sz="4"/>
              <w:right w:val="single" w:color="CCCCCC" w:sz="4"/>
            </w:tcBorders>
            <w:shd w:fill="FFF3DC"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OPEN</w:t>
            </w:r>
          </w:p>
        </w:tc>
      </w:tr>
      <w:tr>
        <w:tc>
          <w:tcPr>
            <w:tcW w:type="dxa" w:w="480"/>
            <w:tcBorders>
              <w:top w:val="single" w:color="CCCCCC" w:sz="4"/>
              <w:left w:val="single" w:color="CCCCCC" w:sz="4"/>
              <w:bottom w:val="single" w:color="CCCCCC" w:sz="4"/>
              <w:right w:val="single" w:color="CCCCCC" w:sz="4"/>
            </w:tcBorders>
            <w:shd w:fill="EEF4F8"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w:t>
            </w:r>
          </w:p>
        </w:tc>
        <w:tc>
          <w:tcPr>
            <w:tcW w:type="dxa" w:w="5040"/>
            <w:tcBorders>
              <w:top w:val="single" w:color="CCCCCC" w:sz="4"/>
              <w:left w:val="single" w:color="CCCCCC" w:sz="4"/>
              <w:bottom w:val="single" w:color="CCCCCC" w:sz="4"/>
              <w:right w:val="single" w:color="CCCCCC" w:sz="4"/>
            </w:tcBorders>
            <w:shd w:fill="EEF4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Identify the named payee for the non-compete lump-sum payment in each proposal tier</w:t>
            </w:r>
          </w:p>
        </w:tc>
        <w:tc>
          <w:tcPr>
            <w:tcW w:type="dxa" w:w="2040"/>
            <w:tcBorders>
              <w:top w:val="single" w:color="CCCCCC" w:sz="4"/>
              <w:left w:val="single" w:color="CCCCCC" w:sz="4"/>
              <w:bottom w:val="single" w:color="CCCCCC" w:sz="4"/>
              <w:right w:val="single" w:color="CCCCCC" w:sz="4"/>
            </w:tcBorders>
            <w:shd w:fill="EEF4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Seller — Internal Decision</w:t>
            </w:r>
          </w:p>
        </w:tc>
        <w:tc>
          <w:tcPr>
            <w:tcW w:type="dxa" w:w="1800"/>
            <w:tcBorders>
              <w:top w:val="single" w:color="CCCCCC" w:sz="4"/>
              <w:left w:val="single" w:color="CCCCCC" w:sz="4"/>
              <w:bottom w:val="single" w:color="CCCCCC" w:sz="4"/>
              <w:right w:val="single" w:color="CCCCCC" w:sz="4"/>
            </w:tcBorders>
            <w:shd w:fill="FFF3DC"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OPEN</w:t>
            </w:r>
          </w:p>
        </w:tc>
      </w:tr>
      <w:tr>
        <w:tc>
          <w:tcPr>
            <w:tcW w:type="dxa" w:w="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4</w:t>
            </w:r>
          </w:p>
        </w:tc>
        <w:tc>
          <w:tcPr>
            <w:tcW w:type="dxa" w:w="5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Determine anticipated tax treatment of the non-compete payment based on payee structure</w:t>
            </w:r>
          </w:p>
        </w:tc>
        <w:tc>
          <w:tcPr>
            <w:tcW w:type="dxa" w:w="2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CPA — Seller Side</w:t>
            </w:r>
          </w:p>
        </w:tc>
        <w:tc>
          <w:tcPr>
            <w:tcW w:type="dxa" w:w="1800"/>
            <w:tcBorders>
              <w:top w:val="single" w:color="CCCCCC" w:sz="4"/>
              <w:left w:val="single" w:color="CCCCCC" w:sz="4"/>
              <w:bottom w:val="single" w:color="CCCCCC" w:sz="4"/>
              <w:right w:val="single" w:color="CCCCCC" w:sz="4"/>
            </w:tcBorders>
            <w:shd w:fill="FFF3DC"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OPEN</w:t>
            </w:r>
          </w:p>
        </w:tc>
      </w:tr>
      <w:tr>
        <w:tc>
          <w:tcPr>
            <w:tcW w:type="dxa" w:w="480"/>
            <w:tcBorders>
              <w:top w:val="single" w:color="CCCCCC" w:sz="4"/>
              <w:left w:val="single" w:color="CCCCCC" w:sz="4"/>
              <w:bottom w:val="single" w:color="CCCCCC" w:sz="4"/>
              <w:right w:val="single" w:color="CCCCCC" w:sz="4"/>
            </w:tcBorders>
            <w:shd w:fill="EEF4F8"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5</w:t>
            </w:r>
          </w:p>
        </w:tc>
        <w:tc>
          <w:tcPr>
            <w:tcW w:type="dxa" w:w="5040"/>
            <w:tcBorders>
              <w:top w:val="single" w:color="CCCCCC" w:sz="4"/>
              <w:left w:val="single" w:color="CCCCCC" w:sz="4"/>
              <w:bottom w:val="single" w:color="CCCCCC" w:sz="4"/>
              <w:right w:val="single" w:color="CCCCCC" w:sz="4"/>
            </w:tcBorders>
            <w:shd w:fill="EEF4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Confirm M&amp;M Inc.'s entitlement to each payment category; document internal allocation agreement</w:t>
            </w:r>
          </w:p>
        </w:tc>
        <w:tc>
          <w:tcPr>
            <w:tcW w:type="dxa" w:w="2040"/>
            <w:tcBorders>
              <w:top w:val="single" w:color="CCCCCC" w:sz="4"/>
              <w:left w:val="single" w:color="CCCCCC" w:sz="4"/>
              <w:bottom w:val="single" w:color="CCCCCC" w:sz="4"/>
              <w:right w:val="single" w:color="CCCCCC" w:sz="4"/>
            </w:tcBorders>
            <w:shd w:fill="EEF4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Seller — Internal Decision</w:t>
            </w:r>
          </w:p>
        </w:tc>
        <w:tc>
          <w:tcPr>
            <w:tcW w:type="dxa" w:w="1800"/>
            <w:tcBorders>
              <w:top w:val="single" w:color="CCCCCC" w:sz="4"/>
              <w:left w:val="single" w:color="CCCCCC" w:sz="4"/>
              <w:bottom w:val="single" w:color="CCCCCC" w:sz="4"/>
              <w:right w:val="single" w:color="CCCCCC" w:sz="4"/>
            </w:tcBorders>
            <w:shd w:fill="FFF3DC"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OPEN</w:t>
            </w:r>
          </w:p>
        </w:tc>
      </w:tr>
      <w:tr>
        <w:tc>
          <w:tcPr>
            <w:tcW w:type="dxa" w:w="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6</w:t>
            </w:r>
          </w:p>
        </w:tc>
        <w:tc>
          <w:tcPr>
            <w:tcW w:type="dxa" w:w="5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Confirm how ALCC, LLC is currently taxed (partnership, S-corp election, other)</w:t>
            </w:r>
          </w:p>
        </w:tc>
        <w:tc>
          <w:tcPr>
            <w:tcW w:type="dxa" w:w="2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CPA — Seller Side</w:t>
            </w:r>
          </w:p>
        </w:tc>
        <w:tc>
          <w:tcPr>
            <w:tcW w:type="dxa" w:w="1800"/>
            <w:tcBorders>
              <w:top w:val="single" w:color="CCCCCC" w:sz="4"/>
              <w:left w:val="single" w:color="CCCCCC" w:sz="4"/>
              <w:bottom w:val="single" w:color="CCCCCC" w:sz="4"/>
              <w:right w:val="single" w:color="CCCCCC" w:sz="4"/>
            </w:tcBorders>
            <w:shd w:fill="FFF3DC"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OPEN</w:t>
            </w:r>
          </w:p>
        </w:tc>
      </w:tr>
      <w:tr>
        <w:tc>
          <w:tcPr>
            <w:tcW w:type="dxa" w:w="480"/>
            <w:tcBorders>
              <w:top w:val="single" w:color="CCCCCC" w:sz="4"/>
              <w:left w:val="single" w:color="CCCCCC" w:sz="4"/>
              <w:bottom w:val="single" w:color="CCCCCC" w:sz="4"/>
              <w:right w:val="single" w:color="CCCCCC" w:sz="4"/>
            </w:tcBorders>
            <w:shd w:fill="EEF4F8"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7</w:t>
            </w:r>
          </w:p>
        </w:tc>
        <w:tc>
          <w:tcPr>
            <w:tcW w:type="dxa" w:w="5040"/>
            <w:tcBorders>
              <w:top w:val="single" w:color="CCCCCC" w:sz="4"/>
              <w:left w:val="single" w:color="CCCCCC" w:sz="4"/>
              <w:bottom w:val="single" w:color="CCCCCC" w:sz="4"/>
              <w:right w:val="single" w:color="CCCCCC" w:sz="4"/>
            </w:tcBorders>
            <w:shd w:fill="EEF4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Evaluate installment sale structure for non-compete payment to manage bracket exposure</w:t>
            </w:r>
          </w:p>
        </w:tc>
        <w:tc>
          <w:tcPr>
            <w:tcW w:type="dxa" w:w="2040"/>
            <w:tcBorders>
              <w:top w:val="single" w:color="CCCCCC" w:sz="4"/>
              <w:left w:val="single" w:color="CCCCCC" w:sz="4"/>
              <w:bottom w:val="single" w:color="CCCCCC" w:sz="4"/>
              <w:right w:val="single" w:color="CCCCCC" w:sz="4"/>
            </w:tcBorders>
            <w:shd w:fill="EEF4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CPA — Both Parties</w:t>
            </w:r>
          </w:p>
        </w:tc>
        <w:tc>
          <w:tcPr>
            <w:tcW w:type="dxa" w:w="1800"/>
            <w:tcBorders>
              <w:top w:val="single" w:color="CCCCCC" w:sz="4"/>
              <w:left w:val="single" w:color="CCCCCC" w:sz="4"/>
              <w:bottom w:val="single" w:color="CCCCCC" w:sz="4"/>
              <w:right w:val="single" w:color="CCCCCC" w:sz="4"/>
            </w:tcBorders>
            <w:shd w:fill="FFF3DC"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OPEN</w:t>
            </w:r>
          </w:p>
        </w:tc>
      </w:tr>
      <w:tr>
        <w:tc>
          <w:tcPr>
            <w:tcW w:type="dxa" w:w="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8</w:t>
            </w:r>
          </w:p>
        </w:tc>
        <w:tc>
          <w:tcPr>
            <w:tcW w:type="dxa" w:w="5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Confirm payee for referral fees — ALCC LLC vs. M&amp;M Inc. vs. Renee personally</w:t>
            </w:r>
          </w:p>
        </w:tc>
        <w:tc>
          <w:tcPr>
            <w:tcW w:type="dxa" w:w="2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Seller — Internal Decision</w:t>
            </w:r>
          </w:p>
        </w:tc>
        <w:tc>
          <w:tcPr>
            <w:tcW w:type="dxa" w:w="1800"/>
            <w:tcBorders>
              <w:top w:val="single" w:color="CCCCCC" w:sz="4"/>
              <w:left w:val="single" w:color="CCCCCC" w:sz="4"/>
              <w:bottom w:val="single" w:color="CCCCCC" w:sz="4"/>
              <w:right w:val="single" w:color="CCCCCC" w:sz="4"/>
            </w:tcBorders>
            <w:shd w:fill="FFF3DC"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OPEN</w:t>
            </w:r>
          </w:p>
        </w:tc>
      </w:tr>
    </w:tbl>
    <w:p>
      <w:pPr>
        <w:spacing w:before="0" w:after="0"/>
      </w:pPr>
      <w:r>
        <w:t xml:space="preserve"/>
      </w:r>
    </w:p>
    <w:p>
      <w:pPr>
        <w:spacing w:before="60" w:after="60"/>
      </w:pPr>
      <w:r>
        <w:rPr>
          <w:rFonts w:ascii="Arial" w:cs="Arial" w:eastAsia="Arial" w:hAnsi="Arial"/>
          <w:i/>
          <w:iCs/>
          <w:color w:val="555555"/>
          <w:sz w:val="17"/>
          <w:szCs w:val="17"/>
        </w:rPr>
        <w:t xml:space="preserve">This checklist is a working document. As each item is resolved, it should be updated and initialed by both parties' counsel prior to LOI execution. The seller is prepared to move quickly — the open items above are the only conditions standing between this proposal and a signed LOI.</w:t>
      </w:r>
    </w:p>
    <w:p>
      <w:pPr>
        <w:spacing w:before="0" w:after="0"/>
      </w:pPr>
      <w:r>
        <w:t xml:space="preserve"/>
      </w:r>
    </w:p>
    <w:p>
      <w:r>
        <w:br w:type="page"/>
      </w:r>
    </w:p>
    <w:p>
      <w:pPr>
        <w:pStyle w:val="Heading1"/>
        <w:pBdr>
          <w:bottom w:val="single" w:color="C8922A" w:sz="6" w:space="4"/>
        </w:pBdr>
        <w:spacing w:before="360" w:after="120"/>
      </w:pPr>
      <w:r>
        <w:rPr>
          <w:rFonts w:ascii="Arial" w:cs="Arial" w:eastAsia="Arial" w:hAnsi="Arial"/>
          <w:b/>
          <w:bCs/>
          <w:color w:val="1B3A5C"/>
          <w:sz w:val="28"/>
          <w:szCs w:val="28"/>
        </w:rPr>
        <w:t xml:space="preserve">1.  EXECUTIVE SUMMARY</w:t>
      </w:r>
    </w:p>
    <w:p>
      <w:pPr>
        <w:spacing w:before="60" w:after="60"/>
        <w:jc w:val="left"/>
      </w:pPr>
      <w:r>
        <w:rPr>
          <w:rFonts w:ascii="Arial" w:cs="Arial" w:eastAsia="Arial" w:hAnsi="Arial"/>
          <w:b w:val="false"/>
          <w:bCs w:val="false"/>
          <w:i w:val="false"/>
          <w:iCs w:val="false"/>
          <w:color w:val="000000"/>
          <w:sz w:val="20"/>
          <w:szCs w:val="20"/>
        </w:rPr>
        <w:t xml:space="preserve">This document presents three restructured arrangement proposals from Mildred and Margie Inc. on behalf of ALCC, LLC regarding the exclusive executive services of Renee in connection with Docks Sutherland's new national PEO conglomerate.</w:t>
      </w:r>
    </w:p>
    <w:p>
      <w:pPr>
        <w:spacing w:before="0" w:after="0"/>
      </w:pPr>
      <w:r>
        <w:t xml:space="preserve"/>
      </w:r>
    </w:p>
    <w:p>
      <w:pPr>
        <w:spacing w:before="60" w:after="60"/>
        <w:jc w:val="left"/>
      </w:pPr>
      <w:r>
        <w:rPr>
          <w:rFonts w:ascii="Arial" w:cs="Arial" w:eastAsia="Arial" w:hAnsi="Arial"/>
          <w:b w:val="false"/>
          <w:bCs w:val="false"/>
          <w:i w:val="false"/>
          <w:iCs w:val="false"/>
          <w:color w:val="000000"/>
          <w:sz w:val="20"/>
          <w:szCs w:val="20"/>
        </w:rPr>
        <w:t xml:space="preserve">A fundamental restructuring from prior versions is reflected here: this is not a sale of ALCC's PEO client contracts. ALCC retains its client relationships. What Docks Sutherland is acquiring — depending on the proposal tier selected — is either Renee's executive leadership on an employment basis while she continues operating her business, or an exclusive non-compete arrangement that removes Renee from all competing business activities in exchange for a lump-sum compensation payment and executive employment.</w:t>
      </w:r>
    </w:p>
    <w:p>
      <w:pPr>
        <w:spacing w:before="0" w:after="0"/>
      </w:pPr>
      <w:r>
        <w:t xml:space="preserve"/>
      </w:r>
    </w:p>
    <w:p>
      <w:pPr>
        <w:pStyle w:val="Heading2"/>
        <w:spacing w:before="240" w:after="80"/>
      </w:pPr>
      <w:r>
        <w:rPr>
          <w:rFonts w:ascii="Arial" w:cs="Arial" w:eastAsia="Arial" w:hAnsi="Arial"/>
          <w:b/>
          <w:bCs/>
          <w:color w:val="1B3A5C"/>
          <w:sz w:val="22"/>
          <w:szCs w:val="22"/>
        </w:rPr>
        <w:t xml:space="preserve">The Transaction in Plain Terms</w:t>
      </w:r>
    </w:p>
    <w:p>
      <w:pPr>
        <w:pStyle w:val="ListParagraph"/>
        <w:numPr>
          <w:ilvl w:val="0"/>
          <w:numId w:val="2"/>
        </w:numPr>
        <w:spacing w:before="40" w:after="40"/>
      </w:pPr>
      <w:r>
        <w:rPr>
          <w:rFonts w:ascii="Arial" w:cs="Arial" w:eastAsia="Arial" w:hAnsi="Arial"/>
          <w:b w:val="false"/>
          <w:bCs w:val="false"/>
          <w:sz w:val="20"/>
          <w:szCs w:val="20"/>
        </w:rPr>
        <w:t xml:space="preserve">Proposal A: Docks Sutherland employs Renee in a senior executive capacity for the national PEO conglomerate. Renee retains ALCC, continues to service her existing 10 PEO clients, and continues all other ALCC business lines (recorded statements, drug testing, field investigations). No non-compete payment. Annual salary: $400,000 + equity.</w:t>
      </w:r>
    </w:p>
    <w:p>
      <w:pPr>
        <w:pStyle w:val="ListParagraph"/>
        <w:numPr>
          <w:ilvl w:val="0"/>
          <w:numId w:val="2"/>
        </w:numPr>
        <w:spacing w:before="40" w:after="40"/>
      </w:pPr>
      <w:r>
        <w:rPr>
          <w:rFonts w:ascii="Arial" w:cs="Arial" w:eastAsia="Arial" w:hAnsi="Arial"/>
          <w:b w:val="false"/>
          <w:bCs w:val="false"/>
          <w:sz w:val="20"/>
          <w:szCs w:val="20"/>
        </w:rPr>
        <w:t xml:space="preserve">Proposal B: Renee enters a full non-compete — she may no longer service existing PEO clients or conduct any of her ancillary business lines (recorded statements, drug testing, field investigations). In exchange, she receives a lump-sum non-compete payment of $4,250,000 plus executive employment at $375,000/year plus equity. A separate referral fee structure applies if any of her existing PEO clients subsequently sell to Docks.</w:t>
      </w:r>
    </w:p>
    <w:p>
      <w:pPr>
        <w:pStyle w:val="ListParagraph"/>
        <w:numPr>
          <w:ilvl w:val="0"/>
          <w:numId w:val="2"/>
        </w:numPr>
        <w:spacing w:before="40" w:after="40"/>
      </w:pPr>
      <w:r>
        <w:rPr>
          <w:rFonts w:ascii="Arial" w:cs="Arial" w:eastAsia="Arial" w:hAnsi="Arial"/>
          <w:b w:val="false"/>
          <w:bCs w:val="false"/>
          <w:sz w:val="20"/>
          <w:szCs w:val="20"/>
        </w:rPr>
        <w:t xml:space="preserve">Proposal C: Same full non-compete scope as Proposal B, with a strategic-premium lump-sum payment of $5,750,000, executive employment at $425,000/year, and enhanced equity terms.</w:t>
      </w:r>
    </w:p>
    <w:p>
      <w:pPr>
        <w:spacing w:before="0" w:after="0"/>
      </w:pPr>
      <w:r>
        <w:t xml:space="preserve"/>
      </w:r>
    </w:p>
    <w:p>
      <w:pPr>
        <w:pBdr>
          <w:top w:val="single" w:color="C8922A" w:sz="4"/>
          <w:bottom w:val="single" w:color="C8922A" w:sz="4"/>
          <w:left w:val="thick" w:color="C8922A" w:sz="12"/>
          <w:right w:val="none" w:color="FFFFFF" w:sz="0"/>
        </w:pBdr>
        <w:spacing w:before="120" w:after="120"/>
        <w:ind w:left="360" w:right="360"/>
      </w:pPr>
      <w:r>
        <w:rPr>
          <w:rFonts w:ascii="Arial" w:cs="Arial" w:eastAsia="Arial" w:hAnsi="Arial"/>
          <w:b/>
          <w:bCs/>
          <w:i/>
          <w:iCs/>
          <w:color w:val="1B3A5C"/>
          <w:sz w:val="20"/>
          <w:szCs w:val="20"/>
        </w:rPr>
        <w:t xml:space="preserve">Growth projections used in Proposals B and C are provided for non-compete valuation reference only. They are not post-arrangement performance commitments from Renee. Renee's value to Docks Sutherland is as the operational infrastructure lead for the national claims portfolio.</w:t>
      </w:r>
    </w:p>
    <w:p>
      <w:pPr>
        <w:spacing w:before="0" w:after="0"/>
      </w:pPr>
      <w:r>
        <w:t xml:space="preserve"/>
      </w:r>
    </w:p>
    <w:p>
      <w:r>
        <w:br w:type="page"/>
      </w:r>
    </w:p>
    <w:p>
      <w:pPr>
        <w:pStyle w:val="Heading1"/>
        <w:pBdr>
          <w:bottom w:val="single" w:color="C8922A" w:sz="6" w:space="4"/>
        </w:pBdr>
        <w:spacing w:before="360" w:after="120"/>
      </w:pPr>
      <w:r>
        <w:rPr>
          <w:rFonts w:ascii="Arial" w:cs="Arial" w:eastAsia="Arial" w:hAnsi="Arial"/>
          <w:b/>
          <w:bCs/>
          <w:color w:val="1B3A5C"/>
          <w:sz w:val="28"/>
          <w:szCs w:val="28"/>
        </w:rPr>
        <w:t xml:space="preserve">2.  STRUCTURAL CONTEXT: WHAT IS BEING OFFERED</w:t>
      </w:r>
    </w:p>
    <w:p>
      <w:pPr>
        <w:spacing w:before="60" w:after="60"/>
        <w:jc w:val="left"/>
      </w:pPr>
      <w:r>
        <w:rPr>
          <w:rFonts w:ascii="Arial" w:cs="Arial" w:eastAsia="Arial" w:hAnsi="Arial"/>
          <w:b w:val="false"/>
          <w:bCs w:val="false"/>
          <w:i w:val="false"/>
          <w:iCs w:val="false"/>
          <w:color w:val="000000"/>
          <w:sz w:val="20"/>
          <w:szCs w:val="20"/>
        </w:rPr>
        <w:t xml:space="preserve">Prior proposal versions were structured as a sale of the PEO Claims Services Division — including client contract assignments. This version has been restructured to reflect the seller's position: ALCC is not signing over its 10 PEO client contracts. Those clients are ALCC's and remain ALCC's.</w:t>
      </w:r>
    </w:p>
    <w:p>
      <w:pPr>
        <w:spacing w:before="0" w:after="0"/>
      </w:pPr>
      <w:r>
        <w:t xml:space="preserve"/>
      </w:r>
    </w:p>
    <w:p>
      <w:pPr>
        <w:spacing w:before="60" w:after="60"/>
        <w:jc w:val="left"/>
      </w:pPr>
      <w:r>
        <w:rPr>
          <w:rFonts w:ascii="Arial" w:cs="Arial" w:eastAsia="Arial" w:hAnsi="Arial"/>
          <w:b w:val="false"/>
          <w:bCs w:val="false"/>
          <w:i w:val="false"/>
          <w:iCs w:val="false"/>
          <w:color w:val="000000"/>
          <w:sz w:val="20"/>
          <w:szCs w:val="20"/>
        </w:rPr>
        <w:t xml:space="preserve">What Docks Sutherland is offered is one of two things, depending on the proposal tier selected:</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Offer Type</w:t>
            </w:r>
          </w:p>
        </w:tc>
        <w:tc>
          <w:tcPr>
            <w:tcW w:type="dxa" w:w="636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Description</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Proposal A — Executive Services Only</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Renee's time, expertise, and executive leadership — provided to Docks Sutherland's new national PEO entity under an employment agreement. She continues to run ALCC and serve her existing clients simultaneously.</w:t>
            </w:r>
          </w:p>
        </w:tc>
      </w:tr>
      <w:tr>
        <w:tc>
          <w:tcPr>
            <w:tcW w:type="dxa" w:w="3000"/>
            <w:tcBorders>
              <w:top w:val="single" w:color="CCCCCC" w:sz="4"/>
              <w:left w:val="single" w:color="CCCCCC" w:sz="4"/>
              <w:bottom w:val="single" w:color="CCCCCC" w:sz="4"/>
              <w:right w:val="single" w:color="CCCCCC" w:sz="4"/>
            </w:tcBorders>
            <w:shd w:fill="EEF4F8" w:val="clear"/>
            <w:tcMar>
              <w:top w:type="dxa" w:w="80"/>
              <w:left w:type="dxa" w:w="120"/>
              <w:bottom w:type="dxa" w:w="80"/>
              <w:right w:type="dxa" w:w="120"/>
            </w:tcMar>
          </w:tcPr>
          <w:p>
            <w:r>
              <w:rPr>
                <w:rFonts w:ascii="Arial" w:cs="Arial" w:eastAsia="Arial" w:hAnsi="Arial"/>
                <w:b w:val="false"/>
                <w:bCs w:val="false"/>
                <w:sz w:val="18"/>
                <w:szCs w:val="18"/>
              </w:rPr>
              <w:t xml:space="preserve">Proposals B &amp; C — Non-Compete + Executive Services</w:t>
            </w:r>
          </w:p>
        </w:tc>
        <w:tc>
          <w:tcPr>
            <w:tcW w:type="dxa" w:w="6360"/>
            <w:tcBorders>
              <w:top w:val="single" w:color="CCCCCC" w:sz="4"/>
              <w:left w:val="single" w:color="CCCCCC" w:sz="4"/>
              <w:bottom w:val="single" w:color="CCCCCC" w:sz="4"/>
              <w:right w:val="single" w:color="CCCCCC" w:sz="4"/>
            </w:tcBorders>
            <w:shd w:fill="EEF4F8" w:val="clear"/>
            <w:tcMar>
              <w:top w:type="dxa" w:w="80"/>
              <w:left w:type="dxa" w:w="120"/>
              <w:bottom w:type="dxa" w:w="80"/>
              <w:right w:type="dxa" w:w="120"/>
            </w:tcMar>
          </w:tcPr>
          <w:p>
            <w:r>
              <w:rPr>
                <w:rFonts w:ascii="Arial" w:cs="Arial" w:eastAsia="Arial" w:hAnsi="Arial"/>
                <w:b w:val="false"/>
                <w:bCs w:val="false"/>
                <w:sz w:val="18"/>
                <w:szCs w:val="18"/>
              </w:rPr>
              <w:t xml:space="preserve">Renee exits all competing business activities (PEO services, recorded statements, drug testing, field investigations) in exchange for a lump-sum non-compete payment. She is then exclusively focused on Docks Sutherland's national portfolio as an executive employee.</w:t>
            </w:r>
          </w:p>
        </w:tc>
      </w:tr>
    </w:tbl>
    <w:p>
      <w:pPr>
        <w:spacing w:before="0" w:after="0"/>
      </w:pPr>
      <w:r>
        <w:t xml:space="preserve"/>
      </w:r>
    </w:p>
    <w:p>
      <w:pPr>
        <w:pStyle w:val="Heading2"/>
        <w:spacing w:before="240" w:after="80"/>
      </w:pPr>
      <w:r>
        <w:rPr>
          <w:rFonts w:ascii="Arial" w:cs="Arial" w:eastAsia="Arial" w:hAnsi="Arial"/>
          <w:b/>
          <w:bCs/>
          <w:color w:val="1B3A5C"/>
          <w:sz w:val="22"/>
          <w:szCs w:val="22"/>
        </w:rPr>
        <w:t xml:space="preserve">Why the Client Contracts Are Not Being Transferred</w:t>
      </w:r>
    </w:p>
    <w:p>
      <w:pPr>
        <w:pStyle w:val="ListParagraph"/>
        <w:numPr>
          <w:ilvl w:val="0"/>
          <w:numId w:val="2"/>
        </w:numPr>
        <w:spacing w:before="40" w:after="40"/>
      </w:pPr>
      <w:r>
        <w:rPr>
          <w:rFonts w:ascii="Arial" w:cs="Arial" w:eastAsia="Arial" w:hAnsi="Arial"/>
          <w:b w:val="false"/>
          <w:bCs w:val="false"/>
          <w:sz w:val="20"/>
          <w:szCs w:val="20"/>
        </w:rPr>
        <w:t xml:space="preserve">ALCC's 10 PEO clients are under contract with ALCC, not with Renee personally. The contractual and operational relationships belong to ALCC.</w:t>
      </w:r>
    </w:p>
    <w:p>
      <w:pPr>
        <w:pStyle w:val="ListParagraph"/>
        <w:numPr>
          <w:ilvl w:val="0"/>
          <w:numId w:val="2"/>
        </w:numPr>
        <w:spacing w:before="40" w:after="40"/>
      </w:pPr>
      <w:r>
        <w:rPr>
          <w:rFonts w:ascii="Arial" w:cs="Arial" w:eastAsia="Arial" w:hAnsi="Arial"/>
          <w:b w:val="false"/>
          <w:bCs w:val="false"/>
          <w:sz w:val="20"/>
          <w:szCs w:val="20"/>
        </w:rPr>
        <w:t xml:space="preserve">The buyer has already demonstrated that Renee's expertise is the source of value — not the paper client contracts. Standard Resources and Florida Resource Management are proof of this: they are Docks Sutherland's own entities and already benefit from Renee's management.</w:t>
      </w:r>
    </w:p>
    <w:p>
      <w:pPr>
        <w:pStyle w:val="ListParagraph"/>
        <w:numPr>
          <w:ilvl w:val="0"/>
          <w:numId w:val="2"/>
        </w:numPr>
        <w:spacing w:before="40" w:after="40"/>
      </w:pPr>
      <w:r>
        <w:rPr>
          <w:rFonts w:ascii="Arial" w:cs="Arial" w:eastAsia="Arial" w:hAnsi="Arial"/>
          <w:b w:val="false"/>
          <w:bCs w:val="false"/>
          <w:sz w:val="20"/>
          <w:szCs w:val="20"/>
        </w:rPr>
        <w:t xml:space="preserve">Docks Sutherland's national PEO strategy creates its own client base. Renee's role is to build and manage claims infrastructure across that portfolio — a function entirely separate from servicing ALCC's legacy book.</w:t>
      </w:r>
    </w:p>
    <w:p>
      <w:pPr>
        <w:pStyle w:val="ListParagraph"/>
        <w:numPr>
          <w:ilvl w:val="0"/>
          <w:numId w:val="2"/>
        </w:numPr>
        <w:spacing w:before="40" w:after="40"/>
      </w:pPr>
      <w:r>
        <w:rPr>
          <w:rFonts w:ascii="Arial" w:cs="Arial" w:eastAsia="Arial" w:hAnsi="Arial"/>
          <w:b w:val="false"/>
          <w:bCs w:val="false"/>
          <w:sz w:val="20"/>
          <w:szCs w:val="20"/>
        </w:rPr>
        <w:t xml:space="preserve">Under Proposals B and C, the non-compete prevents Renee from continuing to service those legacy clients — effectively delivering Docks Sutherland the benefit of disruption to that service relationship, without requiring an assignment of contracts that are not the seller's to transfer outright.</w:t>
      </w:r>
    </w:p>
    <w:p>
      <w:pPr>
        <w:spacing w:before="0" w:after="0"/>
      </w:pPr>
      <w:r>
        <w:t xml:space="preserve"/>
      </w:r>
    </w:p>
    <w:p>
      <w:pPr>
        <w:pStyle w:val="Heading2"/>
        <w:spacing w:before="240" w:after="80"/>
      </w:pPr>
      <w:r>
        <w:rPr>
          <w:rFonts w:ascii="Arial" w:cs="Arial" w:eastAsia="Arial" w:hAnsi="Arial"/>
          <w:b/>
          <w:bCs/>
          <w:color w:val="1B3A5C"/>
          <w:sz w:val="22"/>
          <w:szCs w:val="22"/>
        </w:rPr>
        <w:t xml:space="preserve">The Referral Fee Structure — Separate from This Arrangement</w:t>
      </w:r>
    </w:p>
    <w:p>
      <w:pPr>
        <w:spacing w:before="60" w:after="60"/>
        <w:jc w:val="left"/>
      </w:pPr>
      <w:r>
        <w:rPr>
          <w:rFonts w:ascii="Arial" w:cs="Arial" w:eastAsia="Arial" w:hAnsi="Arial"/>
          <w:b w:val="false"/>
          <w:bCs w:val="false"/>
          <w:i w:val="false"/>
          <w:iCs w:val="false"/>
          <w:color w:val="000000"/>
          <w:sz w:val="20"/>
          <w:szCs w:val="20"/>
        </w:rPr>
        <w:t xml:space="preserve">If any of Renee's 10 existing PEO clients choose to sell their businesses to Docks Sutherland in the future, a separate referral/finder's fee applies. This fee is not included in any of the three proposal prices below. It is a standalone obligation triggered only upon a successful transaction with a qualifying client.</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Term</w:t>
            </w:r>
          </w:p>
        </w:tc>
        <w:tc>
          <w:tcPr>
            <w:tcW w:type="dxa" w:w="636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Detail</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Qualifying Clients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Any of the 10 active ALCC PEO clients as of closing date</w:t>
            </w:r>
          </w:p>
        </w:tc>
      </w:tr>
      <w:tr>
        <w:tc>
          <w:tcPr>
            <w:tcW w:type="dxa" w:w="3000"/>
            <w:tcBorders>
              <w:top w:val="single" w:color="CCCCCC" w:sz="4"/>
              <w:left w:val="single" w:color="CCCCCC" w:sz="4"/>
              <w:bottom w:val="single" w:color="CCCCCC" w:sz="4"/>
              <w:right w:val="single" w:color="CCCCCC" w:sz="4"/>
            </w:tcBorders>
            <w:shd w:fill="EEF4F8" w:val="clear"/>
            <w:tcMar>
              <w:top w:type="dxa" w:w="80"/>
              <w:left w:type="dxa" w:w="120"/>
              <w:bottom w:type="dxa" w:w="80"/>
              <w:right w:type="dxa" w:w="120"/>
            </w:tcMar>
          </w:tcPr>
          <w:p>
            <w:r>
              <w:rPr>
                <w:rFonts w:ascii="Arial" w:cs="Arial" w:eastAsia="Arial" w:hAnsi="Arial"/>
                <w:b w:val="false"/>
                <w:bCs w:val="false"/>
                <w:sz w:val="18"/>
                <w:szCs w:val="18"/>
              </w:rPr>
              <w:t xml:space="preserve">Trigger Event</w:t>
            </w:r>
          </w:p>
        </w:tc>
        <w:tc>
          <w:tcPr>
            <w:tcW w:type="dxa" w:w="6360"/>
            <w:tcBorders>
              <w:top w:val="single" w:color="CCCCCC" w:sz="4"/>
              <w:left w:val="single" w:color="CCCCCC" w:sz="4"/>
              <w:bottom w:val="single" w:color="CCCCCC" w:sz="4"/>
              <w:right w:val="single" w:color="CCCCCC" w:sz="4"/>
            </w:tcBorders>
            <w:shd w:fill="EEF4F8" w:val="clear"/>
            <w:tcMar>
              <w:top w:type="dxa" w:w="80"/>
              <w:left w:type="dxa" w:w="120"/>
              <w:bottom w:type="dxa" w:w="80"/>
              <w:right w:type="dxa" w:w="120"/>
            </w:tcMar>
          </w:tcPr>
          <w:p>
            <w:r>
              <w:rPr>
                <w:rFonts w:ascii="Arial" w:cs="Arial" w:eastAsia="Arial" w:hAnsi="Arial"/>
                <w:b w:val="false"/>
                <w:bCs w:val="false"/>
                <w:sz w:val="18"/>
                <w:szCs w:val="18"/>
              </w:rPr>
              <w:t xml:space="preserve">Completion of a sale/acquisition transaction between the client and Docks Sutherland or its affiliates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Fee Amount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5% of total acquisition consideration paid by Docks Sutherland for the qualifying client</w:t>
            </w:r>
          </w:p>
        </w:tc>
      </w:tr>
      <w:tr>
        <w:tc>
          <w:tcPr>
            <w:tcW w:type="dxa" w:w="3000"/>
            <w:tcBorders>
              <w:top w:val="single" w:color="CCCCCC" w:sz="4"/>
              <w:left w:val="single" w:color="CCCCCC" w:sz="4"/>
              <w:bottom w:val="single" w:color="CCCCCC" w:sz="4"/>
              <w:right w:val="single" w:color="CCCCCC" w:sz="4"/>
            </w:tcBorders>
            <w:shd w:fill="EEF4F8" w:val="clear"/>
            <w:tcMar>
              <w:top w:type="dxa" w:w="80"/>
              <w:left w:type="dxa" w:w="120"/>
              <w:bottom w:type="dxa" w:w="80"/>
              <w:right w:type="dxa" w:w="120"/>
            </w:tcMar>
          </w:tcPr>
          <w:p>
            <w:r>
              <w:rPr>
                <w:rFonts w:ascii="Arial" w:cs="Arial" w:eastAsia="Arial" w:hAnsi="Arial"/>
                <w:b w:val="false"/>
                <w:bCs w:val="false"/>
                <w:sz w:val="18"/>
                <w:szCs w:val="18"/>
              </w:rPr>
              <w:t xml:space="preserve">Lookback Period</w:t>
            </w:r>
          </w:p>
        </w:tc>
        <w:tc>
          <w:tcPr>
            <w:tcW w:type="dxa" w:w="6360"/>
            <w:tcBorders>
              <w:top w:val="single" w:color="CCCCCC" w:sz="4"/>
              <w:left w:val="single" w:color="CCCCCC" w:sz="4"/>
              <w:bottom w:val="single" w:color="CCCCCC" w:sz="4"/>
              <w:right w:val="single" w:color="CCCCCC" w:sz="4"/>
            </w:tcBorders>
            <w:shd w:fill="EEF4F8" w:val="clear"/>
            <w:tcMar>
              <w:top w:type="dxa" w:w="80"/>
              <w:left w:type="dxa" w:w="120"/>
              <w:bottom w:type="dxa" w:w="80"/>
              <w:right w:type="dxa" w:w="120"/>
            </w:tcMar>
          </w:tcPr>
          <w:p>
            <w:r>
              <w:rPr>
                <w:rFonts w:ascii="Arial" w:cs="Arial" w:eastAsia="Arial" w:hAnsi="Arial"/>
                <w:b w:val="false"/>
                <w:bCs w:val="false"/>
                <w:sz w:val="18"/>
                <w:szCs w:val="18"/>
              </w:rPr>
              <w:t xml:space="preserve">5 years from the closing date of this arrangement</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Payable To</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Mildred and Margie Inc. or its designated successor entity</w:t>
            </w:r>
          </w:p>
        </w:tc>
      </w:tr>
      <w:tr>
        <w:tc>
          <w:tcPr>
            <w:tcW w:type="dxa" w:w="3000"/>
            <w:tcBorders>
              <w:top w:val="single" w:color="CCCCCC" w:sz="4"/>
              <w:left w:val="single" w:color="CCCCCC" w:sz="4"/>
              <w:bottom w:val="single" w:color="CCCCCC" w:sz="4"/>
              <w:right w:val="single" w:color="CCCCCC" w:sz="4"/>
            </w:tcBorders>
            <w:shd w:fill="EEF4F8" w:val="clear"/>
            <w:tcMar>
              <w:top w:type="dxa" w:w="80"/>
              <w:left w:type="dxa" w:w="120"/>
              <w:bottom w:type="dxa" w:w="80"/>
              <w:right w:type="dxa" w:w="120"/>
            </w:tcMar>
          </w:tcPr>
          <w:p>
            <w:r>
              <w:rPr>
                <w:rFonts w:ascii="Arial" w:cs="Arial" w:eastAsia="Arial" w:hAnsi="Arial"/>
                <w:b w:val="false"/>
                <w:bCs w:val="false"/>
                <w:sz w:val="18"/>
                <w:szCs w:val="18"/>
              </w:rPr>
              <w:t xml:space="preserve">Payment Timing</w:t>
            </w:r>
          </w:p>
        </w:tc>
        <w:tc>
          <w:tcPr>
            <w:tcW w:type="dxa" w:w="6360"/>
            <w:tcBorders>
              <w:top w:val="single" w:color="CCCCCC" w:sz="4"/>
              <w:left w:val="single" w:color="CCCCCC" w:sz="4"/>
              <w:bottom w:val="single" w:color="CCCCCC" w:sz="4"/>
              <w:right w:val="single" w:color="CCCCCC" w:sz="4"/>
            </w:tcBorders>
            <w:shd w:fill="EEF4F8" w:val="clear"/>
            <w:tcMar>
              <w:top w:type="dxa" w:w="80"/>
              <w:left w:type="dxa" w:w="120"/>
              <w:bottom w:type="dxa" w:w="80"/>
              <w:right w:type="dxa" w:w="120"/>
            </w:tcMar>
          </w:tcPr>
          <w:p>
            <w:r>
              <w:rPr>
                <w:rFonts w:ascii="Arial" w:cs="Arial" w:eastAsia="Arial" w:hAnsi="Arial"/>
                <w:b w:val="false"/>
                <w:bCs w:val="false"/>
                <w:sz w:val="18"/>
                <w:szCs w:val="18"/>
              </w:rPr>
              <w:t xml:space="preserve">Due at closing of qualifying transaction; no later than 30 days post-close</w:t>
            </w:r>
          </w:p>
        </w:tc>
      </w:tr>
    </w:tbl>
    <w:p>
      <w:pPr>
        <w:spacing w:before="0" w:after="0"/>
      </w:pPr>
      <w:r>
        <w:t xml:space="preserve"/>
      </w:r>
    </w:p>
    <w:p>
      <w:pPr>
        <w:spacing w:before="60" w:after="60"/>
      </w:pPr>
      <w:r>
        <w:rPr>
          <w:rFonts w:ascii="Arial" w:cs="Arial" w:eastAsia="Arial" w:hAnsi="Arial"/>
          <w:i/>
          <w:iCs/>
          <w:color w:val="555555"/>
          <w:sz w:val="17"/>
          <w:szCs w:val="17"/>
        </w:rPr>
        <w:t xml:space="preserve">This referral structure acknowledges that Renee's relationship with these clients has strategic value to Docks Sutherland's acquisition pipeline — and that value should not be absorbed by Docks without fair compensation to the seller.</w:t>
      </w:r>
    </w:p>
    <w:p>
      <w:pPr>
        <w:spacing w:before="0" w:after="0"/>
      </w:pPr>
      <w:r>
        <w:t xml:space="preserve"/>
      </w:r>
    </w:p>
    <w:p>
      <w:r>
        <w:br w:type="page"/>
      </w:r>
    </w:p>
    <w:p>
      <w:pPr>
        <w:pStyle w:val="Heading1"/>
        <w:pBdr>
          <w:bottom w:val="single" w:color="C8922A" w:sz="6" w:space="4"/>
        </w:pBdr>
        <w:spacing w:before="360" w:after="120"/>
      </w:pPr>
      <w:r>
        <w:rPr>
          <w:rFonts w:ascii="Arial" w:cs="Arial" w:eastAsia="Arial" w:hAnsi="Arial"/>
          <w:b/>
          <w:bCs/>
          <w:color w:val="1B3A5C"/>
          <w:sz w:val="28"/>
          <w:szCs w:val="28"/>
        </w:rPr>
        <w:t xml:space="preserve">3.  NON-COMPETE SCOPE &amp; LOST INCOME VALUATION</w:t>
      </w:r>
    </w:p>
    <w:p>
      <w:pPr>
        <w:spacing w:before="60" w:after="60"/>
        <w:jc w:val="left"/>
      </w:pPr>
      <w:r>
        <w:rPr>
          <w:rFonts w:ascii="Arial" w:cs="Arial" w:eastAsia="Arial" w:hAnsi="Arial"/>
          <w:b w:val="false"/>
          <w:bCs w:val="false"/>
          <w:i w:val="false"/>
          <w:iCs w:val="false"/>
          <w:color w:val="000000"/>
          <w:sz w:val="20"/>
          <w:szCs w:val="20"/>
        </w:rPr>
        <w:t xml:space="preserve">Proposals B and C require Renee to exit all competing and ancillary business activities. This section documents the full financial impact of that restriction — the income Renee and ALCC forfeit under the non-compete. The lump-sum non-compete payment in each proposal is calibrated to compensate for this lost income stream in addition to the strategic value of Renee's exclusive services.</w:t>
      </w:r>
    </w:p>
    <w:p>
      <w:pPr>
        <w:spacing w:before="0" w:after="0"/>
      </w:pPr>
      <w:r>
        <w:t xml:space="preserve"/>
      </w:r>
    </w:p>
    <w:p>
      <w:pPr>
        <w:pBdr>
          <w:top w:val="single" w:color="C8922A" w:sz="4"/>
          <w:bottom w:val="single" w:color="C8922A" w:sz="4"/>
          <w:left w:val="thick" w:color="C8922A" w:sz="12"/>
          <w:right w:val="none" w:color="FFFFFF" w:sz="0"/>
        </w:pBdr>
        <w:spacing w:before="120" w:after="120"/>
        <w:ind w:left="360" w:right="360"/>
      </w:pPr>
      <w:r>
        <w:rPr>
          <w:rFonts w:ascii="Arial" w:cs="Arial" w:eastAsia="Arial" w:hAnsi="Arial"/>
          <w:b/>
          <w:bCs/>
          <w:i/>
          <w:iCs/>
          <w:color w:val="1B3A5C"/>
          <w:sz w:val="20"/>
          <w:szCs w:val="20"/>
        </w:rPr>
        <w:t xml:space="preserve">The non-compete payment in Proposals B and C is not simply an employment signing bonus. It is compensation for the permanent restriction of income-producing activities that Renee and ALCC currently operate profitably.</w:t>
      </w:r>
    </w:p>
    <w:p>
      <w:pPr>
        <w:spacing w:before="0" w:after="0"/>
      </w:pPr>
      <w:r>
        <w:t xml:space="preserve"/>
      </w:r>
    </w:p>
    <w:p>
      <w:pPr>
        <w:pStyle w:val="Heading2"/>
        <w:spacing w:before="240" w:after="80"/>
      </w:pPr>
      <w:r>
        <w:rPr>
          <w:rFonts w:ascii="Arial" w:cs="Arial" w:eastAsia="Arial" w:hAnsi="Arial"/>
          <w:b/>
          <w:bCs/>
          <w:color w:val="1B3A5C"/>
          <w:sz w:val="22"/>
          <w:szCs w:val="22"/>
        </w:rPr>
        <w:t xml:space="preserve">Business Lines Subject to Non-Compete Restriction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200"/>
        <w:gridCol w:w="2160"/>
      </w:tblGrid>
      <w:tr>
        <w:tc>
          <w:tcPr>
            <w:tcW w:type="dxa" w:w="500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Business Line</w:t>
            </w:r>
          </w:p>
        </w:tc>
        <w:tc>
          <w:tcPr>
            <w:tcW w:type="dxa" w:w="220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Annual Revenue (Est.)</w:t>
            </w:r>
          </w:p>
        </w:tc>
        <w:tc>
          <w:tcPr>
            <w:tcW w:type="dxa" w:w="216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Status Under Non-Compete</w:t>
            </w:r>
          </w:p>
        </w:tc>
      </w:tr>
      <w:tr>
        <w:tc>
          <w:tcPr>
            <w:tcW w:type="dxa" w:w="5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PEO Claims Services — 10 Active Clients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$541,200</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PROHIBITED — cannot service existing clients</w:t>
            </w:r>
          </w:p>
        </w:tc>
      </w:tr>
      <w:tr>
        <w:tc>
          <w:tcPr>
            <w:tcW w:type="dxa" w:w="5000"/>
            <w:tcBorders>
              <w:top w:val="single" w:color="CCCCCC" w:sz="4"/>
              <w:left w:val="single" w:color="CCCCCC" w:sz="4"/>
              <w:bottom w:val="single" w:color="CCCCCC" w:sz="4"/>
              <w:right w:val="single" w:color="CCCCCC" w:sz="4"/>
            </w:tcBorders>
            <w:shd w:fill="EEF4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Recorded Statements (FFVA)</w:t>
            </w:r>
          </w:p>
        </w:tc>
        <w:tc>
          <w:tcPr>
            <w:tcW w:type="dxa" w:w="2200"/>
            <w:tcBorders>
              <w:top w:val="single" w:color="CCCCCC" w:sz="4"/>
              <w:left w:val="single" w:color="CCCCCC" w:sz="4"/>
              <w:bottom w:val="single" w:color="CCCCCC" w:sz="4"/>
              <w:right w:val="single" w:color="CCCCCC" w:sz="4"/>
            </w:tcBorders>
            <w:shd w:fill="EEF4F8"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$72,000</w:t>
            </w:r>
          </w:p>
        </w:tc>
        <w:tc>
          <w:tcPr>
            <w:tcW w:type="dxa" w:w="2160"/>
            <w:tcBorders>
              <w:top w:val="single" w:color="CCCCCC" w:sz="4"/>
              <w:left w:val="single" w:color="CCCCCC" w:sz="4"/>
              <w:bottom w:val="single" w:color="CCCCCC" w:sz="4"/>
              <w:right w:val="single" w:color="CCCCCC" w:sz="4"/>
            </w:tcBorders>
            <w:shd w:fill="EEF4F8"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PROHIBITED — full non-compete scope</w:t>
            </w:r>
          </w:p>
        </w:tc>
      </w:tr>
      <w:tr>
        <w:tc>
          <w:tcPr>
            <w:tcW w:type="dxa" w:w="5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Recorded Statements (Other Carriers)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$10,000 – $20,000</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PROHIBITED — full non-compete scope</w:t>
            </w:r>
          </w:p>
        </w:tc>
      </w:tr>
      <w:tr>
        <w:tc>
          <w:tcPr>
            <w:tcW w:type="dxa" w:w="5000"/>
            <w:tcBorders>
              <w:top w:val="single" w:color="CCCCCC" w:sz="4"/>
              <w:left w:val="single" w:color="CCCCCC" w:sz="4"/>
              <w:bottom w:val="single" w:color="CCCCCC" w:sz="4"/>
              <w:right w:val="single" w:color="CCCCCC" w:sz="4"/>
            </w:tcBorders>
            <w:shd w:fill="EEF4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Drug Testing &amp; Field Investigations</w:t>
            </w:r>
          </w:p>
        </w:tc>
        <w:tc>
          <w:tcPr>
            <w:tcW w:type="dxa" w:w="2200"/>
            <w:tcBorders>
              <w:top w:val="single" w:color="CCCCCC" w:sz="4"/>
              <w:left w:val="single" w:color="CCCCCC" w:sz="4"/>
              <w:bottom w:val="single" w:color="CCCCCC" w:sz="4"/>
              <w:right w:val="single" w:color="CCCCCC" w:sz="4"/>
            </w:tcBorders>
            <w:shd w:fill="EEF4F8"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$100,000 – $200,000</w:t>
            </w:r>
          </w:p>
        </w:tc>
        <w:tc>
          <w:tcPr>
            <w:tcW w:type="dxa" w:w="2160"/>
            <w:tcBorders>
              <w:top w:val="single" w:color="CCCCCC" w:sz="4"/>
              <w:left w:val="single" w:color="CCCCCC" w:sz="4"/>
              <w:bottom w:val="single" w:color="CCCCCC" w:sz="4"/>
              <w:right w:val="single" w:color="CCCCCC" w:sz="4"/>
            </w:tcBorders>
            <w:shd w:fill="EEF4F8"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PROHIBITED — full non-compete scope</w:t>
            </w:r>
          </w:p>
        </w:tc>
      </w:tr>
      <w:tr>
        <w:tc>
          <w:tcPr>
            <w:tcW w:type="dxa" w:w="5000"/>
            <w:tcBorders>
              <w:top w:val="single" w:color="C8922A" w:sz="4"/>
              <w:left w:val="single" w:color="C8922A" w:sz="4"/>
              <w:bottom w:val="single" w:color="C8922A" w:sz="4"/>
              <w:right w:val="single" w:color="C8922A" w:sz="4"/>
            </w:tcBorders>
            <w:shd w:fill="FFF3DC" w:val="clear"/>
            <w:tcMar>
              <w:top w:type="dxa" w:w="80"/>
              <w:left w:type="dxa" w:w="120"/>
              <w:bottom w:type="dxa" w:w="80"/>
              <w:right w:type="dxa" w:w="120"/>
            </w:tcMar>
          </w:tcPr>
          <w:p>
            <w:pPr>
              <w:jc w:val="left"/>
            </w:pPr>
            <w:r>
              <w:rPr>
                <w:rFonts w:ascii="Arial" w:cs="Arial" w:eastAsia="Arial" w:hAnsi="Arial"/>
                <w:b/>
                <w:bCs/>
                <w:color w:val="1B3A5C"/>
                <w:sz w:val="18"/>
                <w:szCs w:val="18"/>
              </w:rPr>
              <w:t xml:space="preserve">TOTAL FOREGONE ANNUAL REVENUE [EST]</w:t>
            </w:r>
          </w:p>
        </w:tc>
        <w:tc>
          <w:tcPr>
            <w:tcW w:type="dxa" w:w="2200"/>
            <w:tcBorders>
              <w:top w:val="single" w:color="C8922A" w:sz="4"/>
              <w:left w:val="single" w:color="C8922A" w:sz="4"/>
              <w:bottom w:val="single" w:color="C8922A" w:sz="4"/>
              <w:right w:val="single" w:color="C8922A" w:sz="4"/>
            </w:tcBorders>
            <w:shd w:fill="FFF3DC" w:val="clear"/>
            <w:tcMar>
              <w:top w:type="dxa" w:w="80"/>
              <w:left w:type="dxa" w:w="120"/>
              <w:bottom w:type="dxa" w:w="80"/>
              <w:right w:type="dxa" w:w="120"/>
            </w:tcMar>
          </w:tcPr>
          <w:p>
            <w:pPr>
              <w:jc w:val="center"/>
            </w:pPr>
            <w:r>
              <w:rPr>
                <w:rFonts w:ascii="Arial" w:cs="Arial" w:eastAsia="Arial" w:hAnsi="Arial"/>
                <w:b/>
                <w:bCs/>
                <w:color w:val="1B3A5C"/>
                <w:sz w:val="18"/>
                <w:szCs w:val="18"/>
              </w:rPr>
              <w:t xml:space="preserve">$723,200 – $833,200</w:t>
            </w:r>
          </w:p>
        </w:tc>
        <w:tc>
          <w:tcPr>
            <w:tcW w:type="dxa" w:w="2160"/>
            <w:tcBorders>
              <w:top w:val="single" w:color="C8922A" w:sz="4"/>
              <w:left w:val="single" w:color="C8922A" w:sz="4"/>
              <w:bottom w:val="single" w:color="C8922A" w:sz="4"/>
              <w:right w:val="single" w:color="C8922A" w:sz="4"/>
            </w:tcBorders>
            <w:shd w:fill="FFF3DC" w:val="clear"/>
            <w:tcMar>
              <w:top w:type="dxa" w:w="80"/>
              <w:left w:type="dxa" w:w="120"/>
              <w:bottom w:type="dxa" w:w="80"/>
              <w:right w:type="dxa" w:w="120"/>
            </w:tcMar>
          </w:tcPr>
          <w:p>
            <w:pPr>
              <w:jc w:val="center"/>
            </w:pPr>
            <w:r>
              <w:rPr>
                <w:rFonts w:ascii="Arial" w:cs="Arial" w:eastAsia="Arial" w:hAnsi="Arial"/>
                <w:b/>
                <w:bCs/>
                <w:color w:val="1B3A5C"/>
                <w:sz w:val="18"/>
                <w:szCs w:val="18"/>
              </w:rPr>
              <w:t xml:space="preserve">Compensated via non-compete payment + salary</w:t>
            </w:r>
          </w:p>
        </w:tc>
      </w:tr>
    </w:tbl>
    <w:p>
      <w:pPr>
        <w:spacing w:before="0" w:after="0"/>
      </w:pPr>
      <w:r>
        <w:t xml:space="preserve"/>
      </w:r>
    </w:p>
    <w:p>
      <w:pPr>
        <w:spacing w:before="60" w:after="60"/>
      </w:pPr>
      <w:r>
        <w:rPr>
          <w:rFonts w:ascii="Arial" w:cs="Arial" w:eastAsia="Arial" w:hAnsi="Arial"/>
          <w:i/>
          <w:iCs/>
          <w:color w:val="555555"/>
          <w:sz w:val="17"/>
          <w:szCs w:val="17"/>
        </w:rPr>
        <w:t xml:space="preserve">All revenue figures marked [EST] are estimates. Actual figures will be verified during due diligence. The $72,000 FFVA recorded statement figure is based on the existing service agreement. Drug testing and field investigation revenue ranges reflect seasonal and volume variability.</w:t>
      </w:r>
    </w:p>
    <w:p>
      <w:pPr>
        <w:spacing w:before="0" w:after="0"/>
      </w:pPr>
      <w:r>
        <w:t xml:space="preserve"/>
      </w:r>
    </w:p>
    <w:p>
      <w:pPr>
        <w:pStyle w:val="Heading2"/>
        <w:spacing w:before="240" w:after="80"/>
      </w:pPr>
      <w:r>
        <w:rPr>
          <w:rFonts w:ascii="Arial" w:cs="Arial" w:eastAsia="Arial" w:hAnsi="Arial"/>
          <w:b/>
          <w:bCs/>
          <w:color w:val="1B3A5C"/>
          <w:sz w:val="22"/>
          <w:szCs w:val="22"/>
        </w:rPr>
        <w:t xml:space="preserve">Non-Compete Compensation Rationale</w:t>
      </w:r>
    </w:p>
    <w:p>
      <w:pPr>
        <w:spacing w:before="60" w:after="60"/>
        <w:jc w:val="left"/>
      </w:pPr>
      <w:r>
        <w:rPr>
          <w:rFonts w:ascii="Arial" w:cs="Arial" w:eastAsia="Arial" w:hAnsi="Arial"/>
          <w:b w:val="false"/>
          <w:bCs w:val="false"/>
          <w:i w:val="false"/>
          <w:iCs w:val="false"/>
          <w:color w:val="000000"/>
          <w:sz w:val="20"/>
          <w:szCs w:val="20"/>
        </w:rPr>
        <w:t xml:space="preserve">A non-compete agreement that removes $723,200 to $833,200 in annual gross revenue from a business operator requires meaningful compensation. The lump-sum payments in Proposals B and C are structured as follows: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Valuation Component</w:t>
            </w:r>
          </w:p>
        </w:tc>
        <w:tc>
          <w:tcPr>
            <w:tcW w:type="dxa" w:w="586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Basis</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PEO Client Goodwill (Non-Compete on Services)</w:t>
            </w:r>
          </w:p>
        </w:tc>
        <w:tc>
          <w:tcPr>
            <w:tcW w:type="dxa" w:w="5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6.0x–7.85x the ARR of the division Renee is restricted from servicing ($541,200 ARR). Mirrors standard acquisition multiples for this revenue quality.</w:t>
            </w:r>
          </w:p>
        </w:tc>
      </w:tr>
      <w:tr>
        <w:tc>
          <w:tcPr>
            <w:tcW w:type="dxa" w:w="3500"/>
            <w:tcBorders>
              <w:top w:val="single" w:color="CCCCCC" w:sz="4"/>
              <w:left w:val="single" w:color="CCCCCC" w:sz="4"/>
              <w:bottom w:val="single" w:color="CCCCCC" w:sz="4"/>
              <w:right w:val="single" w:color="CCCCCC" w:sz="4"/>
            </w:tcBorders>
            <w:shd w:fill="EEF4F8" w:val="clear"/>
            <w:tcMar>
              <w:top w:type="dxa" w:w="80"/>
              <w:left w:type="dxa" w:w="120"/>
              <w:bottom w:type="dxa" w:w="80"/>
              <w:right w:type="dxa" w:w="120"/>
            </w:tcMar>
          </w:tcPr>
          <w:p>
            <w:r>
              <w:rPr>
                <w:rFonts w:ascii="Arial" w:cs="Arial" w:eastAsia="Arial" w:hAnsi="Arial"/>
                <w:b w:val="false"/>
                <w:bCs w:val="false"/>
                <w:sz w:val="18"/>
                <w:szCs w:val="18"/>
              </w:rPr>
              <w:t xml:space="preserve">Ancillary Business Restriction — Recorded Statements</w:t>
            </w:r>
          </w:p>
        </w:tc>
        <w:tc>
          <w:tcPr>
            <w:tcW w:type="dxa" w:w="5860"/>
            <w:tcBorders>
              <w:top w:val="single" w:color="CCCCCC" w:sz="4"/>
              <w:left w:val="single" w:color="CCCCCC" w:sz="4"/>
              <w:bottom w:val="single" w:color="CCCCCC" w:sz="4"/>
              <w:right w:val="single" w:color="CCCCCC" w:sz="4"/>
            </w:tcBorders>
            <w:shd w:fill="EEF4F8" w:val="clear"/>
            <w:tcMar>
              <w:top w:type="dxa" w:w="80"/>
              <w:left w:type="dxa" w:w="120"/>
              <w:bottom w:type="dxa" w:w="80"/>
              <w:right w:type="dxa" w:w="120"/>
            </w:tcMar>
          </w:tcPr>
          <w:p>
            <w:r>
              <w:rPr>
                <w:rFonts w:ascii="Arial" w:cs="Arial" w:eastAsia="Arial" w:hAnsi="Arial"/>
                <w:b w:val="false"/>
                <w:bCs w:val="false"/>
                <w:sz w:val="18"/>
                <w:szCs w:val="18"/>
              </w:rPr>
              <w:t xml:space="preserve">3–5 year income capitalization on $72,000–$92,000 annual revenue. Compensates for a profitable, established carrier relationship.</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Ancillary Business Restriction — Drug Testing &amp; Field Investigations</w:t>
            </w:r>
          </w:p>
        </w:tc>
        <w:tc>
          <w:tcPr>
            <w:tcW w:type="dxa" w:w="5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3-year income capitalization on $100,000–$200,000 annual revenue. Compensates for operational infrastructure already built and running.</w:t>
            </w:r>
          </w:p>
        </w:tc>
      </w:tr>
      <w:tr>
        <w:tc>
          <w:tcPr>
            <w:tcW w:type="dxa" w:w="3500"/>
            <w:tcBorders>
              <w:top w:val="single" w:color="CCCCCC" w:sz="4"/>
              <w:left w:val="single" w:color="CCCCCC" w:sz="4"/>
              <w:bottom w:val="single" w:color="CCCCCC" w:sz="4"/>
              <w:right w:val="single" w:color="CCCCCC" w:sz="4"/>
            </w:tcBorders>
            <w:shd w:fill="EEF4F8" w:val="clear"/>
            <w:tcMar>
              <w:top w:type="dxa" w:w="80"/>
              <w:left w:type="dxa" w:w="120"/>
              <w:bottom w:type="dxa" w:w="80"/>
              <w:right w:type="dxa" w:w="120"/>
            </w:tcMar>
          </w:tcPr>
          <w:p>
            <w:r>
              <w:rPr>
                <w:rFonts w:ascii="Arial" w:cs="Arial" w:eastAsia="Arial" w:hAnsi="Arial"/>
                <w:b w:val="false"/>
                <w:bCs w:val="false"/>
                <w:sz w:val="18"/>
                <w:szCs w:val="18"/>
              </w:rPr>
              <w:t xml:space="preserve">Opportunity Cost &amp; Freedom of Business Premium</w:t>
            </w:r>
          </w:p>
        </w:tc>
        <w:tc>
          <w:tcPr>
            <w:tcW w:type="dxa" w:w="5860"/>
            <w:tcBorders>
              <w:top w:val="single" w:color="CCCCCC" w:sz="4"/>
              <w:left w:val="single" w:color="CCCCCC" w:sz="4"/>
              <w:bottom w:val="single" w:color="CCCCCC" w:sz="4"/>
              <w:right w:val="single" w:color="CCCCCC" w:sz="4"/>
            </w:tcBorders>
            <w:shd w:fill="EEF4F8" w:val="clear"/>
            <w:tcMar>
              <w:top w:type="dxa" w:w="80"/>
              <w:left w:type="dxa" w:w="120"/>
              <w:bottom w:type="dxa" w:w="80"/>
              <w:right w:type="dxa" w:w="120"/>
            </w:tcMar>
          </w:tcPr>
          <w:p>
            <w:r>
              <w:rPr>
                <w:rFonts w:ascii="Arial" w:cs="Arial" w:eastAsia="Arial" w:hAnsi="Arial"/>
                <w:b w:val="false"/>
                <w:bCs w:val="false"/>
                <w:sz w:val="18"/>
                <w:szCs w:val="18"/>
              </w:rPr>
              <w:t xml:space="preserve">Renee surrenders the right to independently build or expand these service lines. The premium reflects the value of entrepreneurial optionality being relinquished.</w:t>
            </w:r>
          </w:p>
        </w:tc>
      </w:tr>
    </w:tbl>
    <w:p>
      <w:pPr>
        <w:spacing w:before="0" w:after="0"/>
      </w:pPr>
      <w:r>
        <w:t xml:space="preserve"/>
      </w:r>
    </w:p>
    <w:p>
      <w:r>
        <w:br w:type="page"/>
      </w:r>
    </w:p>
    <w:p>
      <w:pPr>
        <w:pStyle w:val="Heading1"/>
        <w:pBdr>
          <w:bottom w:val="single" w:color="C8922A" w:sz="6" w:space="4"/>
        </w:pBdr>
        <w:spacing w:before="360" w:after="120"/>
      </w:pPr>
      <w:r>
        <w:rPr>
          <w:rFonts w:ascii="Arial" w:cs="Arial" w:eastAsia="Arial" w:hAnsi="Arial"/>
          <w:b/>
          <w:bCs/>
          <w:color w:val="1B3A5C"/>
          <w:sz w:val="28"/>
          <w:szCs w:val="28"/>
        </w:rPr>
        <w:t xml:space="preserve">4.  STRATEGIC CONTEXT: THE BUYER IS ALREADY A CLIENT</w:t>
      </w:r>
    </w:p>
    <w:p>
      <w:pPr>
        <w:spacing w:before="60" w:after="60"/>
        <w:jc w:val="left"/>
      </w:pPr>
      <w:r>
        <w:rPr>
          <w:rFonts w:ascii="Arial" w:cs="Arial" w:eastAsia="Arial" w:hAnsi="Arial"/>
          <w:b w:val="false"/>
          <w:bCs w:val="false"/>
          <w:i w:val="false"/>
          <w:iCs w:val="false"/>
          <w:color w:val="000000"/>
          <w:sz w:val="20"/>
          <w:szCs w:val="20"/>
        </w:rPr>
        <w:t xml:space="preserve">Of ALCC's ten active PEO clients, two are directly connected to Docks Sutherland:</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PEO Client</w:t>
            </w:r>
          </w:p>
        </w:tc>
        <w:tc>
          <w:tcPr>
            <w:tcW w:type="dxa" w:w="586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Relationship to Buyer</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Standard Resources</w:t>
            </w:r>
          </w:p>
        </w:tc>
        <w:tc>
          <w:tcPr>
            <w:tcW w:type="dxa" w:w="5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Currently owned by Docks Sutherland — Active ALCC client, services in place today</w:t>
            </w:r>
          </w:p>
        </w:tc>
      </w:tr>
      <w:tr>
        <w:tc>
          <w:tcPr>
            <w:tcW w:type="dxa" w:w="3500"/>
            <w:tcBorders>
              <w:top w:val="single" w:color="CCCCCC" w:sz="4"/>
              <w:left w:val="single" w:color="CCCCCC" w:sz="4"/>
              <w:bottom w:val="single" w:color="CCCCCC" w:sz="4"/>
              <w:right w:val="single" w:color="CCCCCC" w:sz="4"/>
            </w:tcBorders>
            <w:shd w:fill="EEF4F8" w:val="clear"/>
            <w:tcMar>
              <w:top w:type="dxa" w:w="80"/>
              <w:left w:type="dxa" w:w="120"/>
              <w:bottom w:type="dxa" w:w="80"/>
              <w:right w:type="dxa" w:w="120"/>
            </w:tcMar>
          </w:tcPr>
          <w:p>
            <w:r>
              <w:rPr>
                <w:rFonts w:ascii="Arial" w:cs="Arial" w:eastAsia="Arial" w:hAnsi="Arial"/>
                <w:b w:val="false"/>
                <w:bCs w:val="false"/>
                <w:sz w:val="18"/>
                <w:szCs w:val="18"/>
              </w:rPr>
              <w:t xml:space="preserve">Florida Resource Management</w:t>
            </w:r>
          </w:p>
        </w:tc>
        <w:tc>
          <w:tcPr>
            <w:tcW w:type="dxa" w:w="5860"/>
            <w:tcBorders>
              <w:top w:val="single" w:color="CCCCCC" w:sz="4"/>
              <w:left w:val="single" w:color="CCCCCC" w:sz="4"/>
              <w:bottom w:val="single" w:color="CCCCCC" w:sz="4"/>
              <w:right w:val="single" w:color="CCCCCC" w:sz="4"/>
            </w:tcBorders>
            <w:shd w:fill="EEF4F8" w:val="clear"/>
            <w:tcMar>
              <w:top w:type="dxa" w:w="80"/>
              <w:left w:type="dxa" w:w="120"/>
              <w:bottom w:type="dxa" w:w="80"/>
              <w:right w:type="dxa" w:w="120"/>
            </w:tcMar>
          </w:tcPr>
          <w:p>
            <w:r>
              <w:rPr>
                <w:rFonts w:ascii="Arial" w:cs="Arial" w:eastAsia="Arial" w:hAnsi="Arial"/>
                <w:b w:val="false"/>
                <w:bCs w:val="false"/>
                <w:sz w:val="18"/>
                <w:szCs w:val="18"/>
              </w:rPr>
              <w:t xml:space="preserve">Final stages of acquisition by Docks Sutherland — Active ALCC client, services in place today</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8 Additional PEO Organizations</w:t>
            </w:r>
          </w:p>
        </w:tc>
        <w:tc>
          <w:tcPr>
            <w:tcW w:type="dxa" w:w="5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 current buyer relationship — Active ALCC clients, contracts in good standing</w:t>
            </w:r>
          </w:p>
        </w:tc>
      </w:tr>
    </w:tbl>
    <w:p>
      <w:pPr>
        <w:spacing w:before="0" w:after="0"/>
      </w:pPr>
      <w:r>
        <w:t xml:space="preserve"/>
      </w:r>
    </w:p>
    <w:p>
      <w:pPr>
        <w:spacing w:before="60" w:after="60"/>
        <w:jc w:val="left"/>
      </w:pPr>
      <w:r>
        <w:rPr>
          <w:rFonts w:ascii="Arial" w:cs="Arial" w:eastAsia="Arial" w:hAnsi="Arial"/>
          <w:b w:val="false"/>
          <w:bCs w:val="false"/>
          <w:i w:val="false"/>
          <w:iCs w:val="false"/>
          <w:color w:val="000000"/>
          <w:sz w:val="20"/>
          <w:szCs w:val="20"/>
        </w:rPr>
        <w:t xml:space="preserve">Docks Sutherland does not need to evaluate Renee's capabilities on the basis of a pitch deck. Two of his own entities have been the direct beneficiary of this service for a documented period. The proof of performance already exists inside his portfolio.</w:t>
      </w:r>
    </w:p>
    <w:p>
      <w:pPr>
        <w:spacing w:before="0" w:after="0"/>
      </w:pPr>
      <w:r>
        <w:t xml:space="preserve"/>
      </w:r>
    </w:p>
    <w:p>
      <w:pPr>
        <w:pStyle w:val="Heading2"/>
        <w:spacing w:before="240" w:after="80"/>
      </w:pPr>
      <w:r>
        <w:rPr>
          <w:rFonts w:ascii="Arial" w:cs="Arial" w:eastAsia="Arial" w:hAnsi="Arial"/>
          <w:b/>
          <w:bCs/>
          <w:color w:val="1B3A5C"/>
          <w:sz w:val="22"/>
          <w:szCs w:val="22"/>
        </w:rPr>
        <w:t xml:space="preserve">The Continuity Argument</w:t>
      </w:r>
    </w:p>
    <w:p>
      <w:pPr>
        <w:pStyle w:val="ListParagraph"/>
        <w:numPr>
          <w:ilvl w:val="0"/>
          <w:numId w:val="2"/>
        </w:numPr>
        <w:spacing w:before="40" w:after="40"/>
      </w:pPr>
      <w:r>
        <w:rPr>
          <w:rFonts w:ascii="Arial" w:cs="Arial" w:eastAsia="Arial" w:hAnsi="Arial"/>
          <w:b w:val="false"/>
          <w:bCs w:val="false"/>
          <w:sz w:val="20"/>
          <w:szCs w:val="20"/>
        </w:rPr>
        <w:t xml:space="preserve">If Docks Sutherland declines to reach an arrangement and Renee continues operating ALCC independently, Standard Resources and Florida Resource Management remain as ALCC clients — but with no path to the national claims infrastructure Docks needs for his broader portfolio.</w:t>
      </w:r>
    </w:p>
    <w:p>
      <w:pPr>
        <w:pStyle w:val="ListParagraph"/>
        <w:numPr>
          <w:ilvl w:val="0"/>
          <w:numId w:val="2"/>
        </w:numPr>
        <w:spacing w:before="40" w:after="40"/>
      </w:pPr>
      <w:r>
        <w:rPr>
          <w:rFonts w:ascii="Arial" w:cs="Arial" w:eastAsia="Arial" w:hAnsi="Arial"/>
          <w:b w:val="false"/>
          <w:bCs w:val="false"/>
          <w:sz w:val="20"/>
          <w:szCs w:val="20"/>
        </w:rPr>
        <w:t xml:space="preserve">If Docks Sutherland declines and Renee pursues alternatives, he loses access to the only incumbent, proven claims operator currently embedded in his own entities — and must build or hire from scratch for the national portfolio.</w:t>
      </w:r>
    </w:p>
    <w:p>
      <w:pPr>
        <w:pStyle w:val="ListParagraph"/>
        <w:numPr>
          <w:ilvl w:val="0"/>
          <w:numId w:val="2"/>
        </w:numPr>
        <w:spacing w:before="40" w:after="40"/>
      </w:pPr>
      <w:r>
        <w:rPr>
          <w:rFonts w:ascii="Arial" w:cs="Arial" w:eastAsia="Arial" w:hAnsi="Arial"/>
          <w:b w:val="false"/>
          <w:bCs w:val="false"/>
          <w:sz w:val="20"/>
          <w:szCs w:val="20"/>
        </w:rPr>
        <w:t xml:space="preserve">The arrangement — particularly Proposals B and C — eliminates this operational dependency risk and secures Renee's exclusive focus on the national build-out.</w:t>
      </w:r>
    </w:p>
    <w:p>
      <w:pPr>
        <w:spacing w:before="0" w:after="0"/>
      </w:pPr>
      <w:r>
        <w:t xml:space="preserve"/>
      </w:r>
    </w:p>
    <w:p>
      <w:r>
        <w:br w:type="page"/>
      </w:r>
    </w:p>
    <w:p>
      <w:pPr>
        <w:pStyle w:val="Heading1"/>
        <w:pBdr>
          <w:bottom w:val="single" w:color="C8922A" w:sz="6" w:space="4"/>
        </w:pBdr>
        <w:spacing w:before="360" w:after="120"/>
      </w:pPr>
      <w:r>
        <w:rPr>
          <w:rFonts w:ascii="Arial" w:cs="Arial" w:eastAsia="Arial" w:hAnsi="Arial"/>
          <w:b/>
          <w:bCs/>
          <w:color w:val="1B3A5C"/>
          <w:sz w:val="28"/>
          <w:szCs w:val="28"/>
        </w:rPr>
        <w:t xml:space="preserve">5.  EBITDA CONTEXT — WHAT THE BUYER RECEIVES</w:t>
      </w:r>
    </w:p>
    <w:p>
      <w:pPr>
        <w:spacing w:before="60" w:after="60"/>
        <w:jc w:val="left"/>
      </w:pPr>
      <w:r>
        <w:rPr>
          <w:rFonts w:ascii="Arial" w:cs="Arial" w:eastAsia="Arial" w:hAnsi="Arial"/>
          <w:b w:val="false"/>
          <w:bCs w:val="false"/>
          <w:i w:val="false"/>
          <w:iCs w:val="false"/>
          <w:color w:val="000000"/>
          <w:sz w:val="20"/>
          <w:szCs w:val="20"/>
        </w:rPr>
        <w:t xml:space="preserve">Under Proposals B and C, Docks Sutherland does not acquire client contracts but does acquire Renee's full-time executive focus and the benefit of her non-compete. The division's EBITDA profile, however, provides critical context for the value of the restriction being purchased.</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c>
          <w:tcPr>
            <w:tcW w:type="dxa" w:w="350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Line Item</w:t>
            </w:r>
          </w:p>
        </w:tc>
        <w:tc>
          <w:tcPr>
            <w:tcW w:type="dxa" w:w="293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Current (ALCC Standalone)</w:t>
            </w:r>
          </w:p>
        </w:tc>
        <w:tc>
          <w:tcPr>
            <w:tcW w:type="dxa" w:w="293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Post-Arrangement (Buyer)</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Annual Recurring Revenue — PEO ARR</w:t>
            </w:r>
          </w:p>
        </w:tc>
        <w:tc>
          <w:tcPr>
            <w:tcW w:type="dxa" w:w="29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$541,200</w:t>
            </w:r>
          </w:p>
        </w:tc>
        <w:tc>
          <w:tcPr>
            <w:tcW w:type="dxa" w:w="29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Revenue stays with ALCC (Proposals B/C: Renee restricted from servicing)</w:t>
            </w:r>
          </w:p>
        </w:tc>
      </w:tr>
      <w:tr>
        <w:tc>
          <w:tcPr>
            <w:tcW w:type="dxa" w:w="3500"/>
            <w:tcBorders>
              <w:top w:val="single" w:color="CCCCCC" w:sz="4"/>
              <w:left w:val="single" w:color="CCCCCC" w:sz="4"/>
              <w:bottom w:val="single" w:color="CCCCCC" w:sz="4"/>
              <w:right w:val="single" w:color="CCCCCC" w:sz="4"/>
            </w:tcBorders>
            <w:shd w:fill="EEF4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Renee Compensation at ALCC</w:t>
            </w:r>
          </w:p>
        </w:tc>
        <w:tc>
          <w:tcPr>
            <w:tcW w:type="dxa" w:w="2930"/>
            <w:tcBorders>
              <w:top w:val="single" w:color="CCCCCC" w:sz="4"/>
              <w:left w:val="single" w:color="CCCCCC" w:sz="4"/>
              <w:bottom w:val="single" w:color="CCCCCC" w:sz="4"/>
              <w:right w:val="single" w:color="CCCCCC" w:sz="4"/>
            </w:tcBorders>
            <w:shd w:fill="EEF4F8"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$95,000 [EST]</w:t>
            </w:r>
          </w:p>
        </w:tc>
        <w:tc>
          <w:tcPr>
            <w:tcW w:type="dxa" w:w="2930"/>
            <w:tcBorders>
              <w:top w:val="single" w:color="CCCCCC" w:sz="4"/>
              <w:left w:val="single" w:color="CCCCCC" w:sz="4"/>
              <w:bottom w:val="single" w:color="CCCCCC" w:sz="4"/>
              <w:right w:val="single" w:color="CCCCCC" w:sz="4"/>
            </w:tcBorders>
            <w:shd w:fill="EEF4F8"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Moves to Docks employment budget at $375K–$425K</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Support Staff</w:t>
            </w:r>
          </w:p>
        </w:tc>
        <w:tc>
          <w:tcPr>
            <w:tcW w:type="dxa" w:w="29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$42,000 [EST]</w:t>
            </w:r>
          </w:p>
        </w:tc>
        <w:tc>
          <w:tcPr>
            <w:tcW w:type="dxa" w:w="29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Remains ALCC cost (Proposal A) or not Docks' concern (B/C)</w:t>
            </w:r>
          </w:p>
        </w:tc>
      </w:tr>
      <w:tr>
        <w:tc>
          <w:tcPr>
            <w:tcW w:type="dxa" w:w="3500"/>
            <w:tcBorders>
              <w:top w:val="single" w:color="CCCCCC" w:sz="4"/>
              <w:left w:val="single" w:color="CCCCCC" w:sz="4"/>
              <w:bottom w:val="single" w:color="CCCCCC" w:sz="4"/>
              <w:right w:val="single" w:color="CCCCCC" w:sz="4"/>
            </w:tcBorders>
            <w:shd w:fill="EEF4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Software &amp; Technology</w:t>
            </w:r>
          </w:p>
        </w:tc>
        <w:tc>
          <w:tcPr>
            <w:tcW w:type="dxa" w:w="2930"/>
            <w:tcBorders>
              <w:top w:val="single" w:color="CCCCCC" w:sz="4"/>
              <w:left w:val="single" w:color="CCCCCC" w:sz="4"/>
              <w:bottom w:val="single" w:color="CCCCCC" w:sz="4"/>
              <w:right w:val="single" w:color="CCCCCC" w:sz="4"/>
            </w:tcBorders>
            <w:shd w:fill="EEF4F8"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$12,000 [EST]</w:t>
            </w:r>
          </w:p>
        </w:tc>
        <w:tc>
          <w:tcPr>
            <w:tcW w:type="dxa" w:w="2930"/>
            <w:tcBorders>
              <w:top w:val="single" w:color="CCCCCC" w:sz="4"/>
              <w:left w:val="single" w:color="CCCCCC" w:sz="4"/>
              <w:bottom w:val="single" w:color="CCCCCC" w:sz="4"/>
              <w:right w:val="single" w:color="CCCCCC" w:sz="4"/>
            </w:tcBorders>
            <w:shd w:fill="EEF4F8"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Remains ALCC cost</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ALCC Corporate Overhead</w:t>
            </w:r>
          </w:p>
        </w:tc>
        <w:tc>
          <w:tcPr>
            <w:tcW w:type="dxa" w:w="29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$32,400 [EST]</w:t>
            </w:r>
          </w:p>
        </w:tc>
        <w:tc>
          <w:tcPr>
            <w:tcW w:type="dxa" w:w="29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ALCC retains — no transfer</w:t>
            </w:r>
          </w:p>
        </w:tc>
      </w:tr>
      <w:tr>
        <w:tc>
          <w:tcPr>
            <w:tcW w:type="dxa" w:w="3500"/>
            <w:tcBorders>
              <w:top w:val="single" w:color="CCCCCC" w:sz="4"/>
              <w:left w:val="single" w:color="CCCCCC" w:sz="4"/>
              <w:bottom w:val="single" w:color="CCCCCC" w:sz="4"/>
              <w:right w:val="single" w:color="CCCCCC" w:sz="4"/>
            </w:tcBorders>
            <w:shd w:fill="EEF4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EBITDA — PEO Division (Pre-Arrangement)</w:t>
            </w:r>
          </w:p>
        </w:tc>
        <w:tc>
          <w:tcPr>
            <w:tcW w:type="dxa" w:w="2930"/>
            <w:tcBorders>
              <w:top w:val="single" w:color="CCCCCC" w:sz="4"/>
              <w:left w:val="single" w:color="CCCCCC" w:sz="4"/>
              <w:bottom w:val="single" w:color="CCCCCC" w:sz="4"/>
              <w:right w:val="single" w:color="CCCCCC" w:sz="4"/>
            </w:tcBorders>
            <w:shd w:fill="EEF4F8"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$359,800 [EST]</w:t>
            </w:r>
          </w:p>
        </w:tc>
        <w:tc>
          <w:tcPr>
            <w:tcW w:type="dxa" w:w="2930"/>
            <w:tcBorders>
              <w:top w:val="single" w:color="CCCCCC" w:sz="4"/>
              <w:left w:val="single" w:color="CCCCCC" w:sz="4"/>
              <w:bottom w:val="single" w:color="CCCCCC" w:sz="4"/>
              <w:right w:val="single" w:color="CCCCCC" w:sz="4"/>
            </w:tcBorders>
            <w:shd w:fill="EEF4F8"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N/A — not transferred</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VALUE DOCKS ACQUIRES</w:t>
            </w:r>
          </w:p>
        </w:tc>
        <w:tc>
          <w:tcPr>
            <w:tcW w:type="dxa" w:w="29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Renee's exclusive executive services + non-compete restriction on $723K–$833K gross business</w:t>
            </w:r>
          </w:p>
        </w:tc>
        <w:tc>
          <w:tcPr>
            <w:tcW w:type="dxa" w:w="29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For Proposals B/C: strategic premium on removing a $833K revenue competitor from the market</w:t>
            </w:r>
          </w:p>
        </w:tc>
      </w:tr>
    </w:tbl>
    <w:p>
      <w:pPr>
        <w:spacing w:before="0" w:after="0"/>
      </w:pPr>
      <w:r>
        <w:t xml:space="preserve"/>
      </w:r>
    </w:p>
    <w:p>
      <w:pPr>
        <w:pBdr>
          <w:top w:val="single" w:color="C8922A" w:sz="4"/>
          <w:bottom w:val="single" w:color="C8922A" w:sz="4"/>
          <w:left w:val="thick" w:color="C8922A" w:sz="12"/>
          <w:right w:val="none" w:color="FFFFFF" w:sz="0"/>
        </w:pBdr>
        <w:spacing w:before="120" w:after="120"/>
        <w:ind w:left="360" w:right="360"/>
      </w:pPr>
      <w:r>
        <w:rPr>
          <w:rFonts w:ascii="Arial" w:cs="Arial" w:eastAsia="Arial" w:hAnsi="Arial"/>
          <w:b/>
          <w:bCs/>
          <w:i/>
          <w:iCs/>
          <w:color w:val="1B3A5C"/>
          <w:sz w:val="20"/>
          <w:szCs w:val="20"/>
        </w:rPr>
        <w:t xml:space="preserve">Docks Sutherland is not buying a revenue stream — he is buying Renee's exclusive expertise and removing her from the market as a competitor and alternative service provider to his national portfolio. The non-compete payment reflects the value of that exclusivity.</w:t>
      </w:r>
    </w:p>
    <w:p>
      <w:pPr>
        <w:spacing w:before="0" w:after="0"/>
      </w:pPr>
      <w:r>
        <w:t xml:space="preserve"/>
      </w:r>
    </w:p>
    <w:p>
      <w:r>
        <w:br w:type="page"/>
      </w:r>
    </w:p>
    <w:p>
      <w:pPr>
        <w:pStyle w:val="Heading1"/>
        <w:pBdr>
          <w:bottom w:val="single" w:color="C8922A" w:sz="6" w:space="4"/>
        </w:pBdr>
        <w:spacing w:before="360" w:after="120"/>
      </w:pPr>
      <w:r>
        <w:rPr>
          <w:rFonts w:ascii="Arial" w:cs="Arial" w:eastAsia="Arial" w:hAnsi="Arial"/>
          <w:b/>
          <w:bCs/>
          <w:color w:val="1B3A5C"/>
          <w:sz w:val="28"/>
          <w:szCs w:val="28"/>
        </w:rPr>
        <w:t xml:space="preserve">6.  PROPOSAL COMPARISON OVERVIEW</w:t>
      </w:r>
    </w:p>
    <w:p>
      <w:pPr>
        <w:spacing w:before="60" w:after="60"/>
        <w:jc w:val="left"/>
      </w:pPr>
      <w:r>
        <w:rPr>
          <w:rFonts w:ascii="Arial" w:cs="Arial" w:eastAsia="Arial" w:hAnsi="Arial"/>
          <w:b w:val="false"/>
          <w:bCs w:val="false"/>
          <w:i w:val="false"/>
          <w:iCs w:val="false"/>
          <w:color w:val="000000"/>
          <w:sz w:val="20"/>
          <w:szCs w:val="20"/>
        </w:rPr>
        <w:t xml:space="preserve">Three arrangements are presented for consideration. Proposals B and C require concurrent non-compete agreements. All three require a written executive employment agreement with Renee.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c>
          <w:tcPr>
            <w:tcW w:type="dxa" w:w="3000"/>
            <w:tcBorders>
              <w:top w:val="none" w:color="FFFFFF" w:sz="0"/>
              <w:left w:val="none" w:color="FFFFFF" w:sz="0"/>
              <w:bottom w:val="none" w:color="FFFFFF" w:sz="0"/>
              <w:right w:val="none" w:color="FFFFFF" w:sz="0"/>
            </w:tcBorders>
            <w:shd w:fill="1B3A5C" w:val="clear"/>
            <w:tcMar>
              <w:top w:type="dxa" w:w="100"/>
              <w:left w:type="dxa" w:w="120"/>
              <w:bottom w:type="dxa" w:w="100"/>
              <w:right w:type="dxa" w:w="120"/>
            </w:tcMar>
          </w:tcPr>
          <w:p>
            <w:r>
              <w:t xml:space="preserve"/>
            </w:r>
          </w:p>
        </w:tc>
        <w:tc>
          <w:tcPr>
            <w:tcW w:type="dxa" w:w="2120"/>
            <w:tcBorders>
              <w:top w:val="single" w:color="1B3A5C" w:sz="4"/>
              <w:left w:val="single" w:color="1B3A5C" w:sz="4"/>
              <w:bottom w:val="single" w:color="1B3A5C" w:sz="4"/>
              <w:right w:val="single" w:color="1B3A5C" w:sz="4"/>
            </w:tcBorders>
            <w:shd w:fill="D5E8F0" w:val="clear"/>
            <w:tcMar>
              <w:top w:type="dxa" w:w="100"/>
              <w:left w:type="dxa" w:w="120"/>
              <w:bottom w:type="dxa" w:w="100"/>
              <w:right w:type="dxa" w:w="120"/>
            </w:tcMar>
          </w:tcPr>
          <w:p>
            <w:pPr>
              <w:jc w:val="center"/>
            </w:pPr>
            <w:r>
              <w:rPr>
                <w:rFonts w:ascii="Arial" w:cs="Arial" w:eastAsia="Arial" w:hAnsi="Arial"/>
                <w:b/>
                <w:bCs/>
                <w:color w:val="1B3A5C"/>
                <w:sz w:val="18"/>
                <w:szCs w:val="18"/>
              </w:rPr>
              <w:t xml:space="preserve">PROPOSAL A</w:t>
            </w:r>
          </w:p>
          <w:p>
            <w:pPr>
              <w:jc w:val="center"/>
            </w:pPr>
            <w:r>
              <w:rPr>
                <w:rFonts w:ascii="Arial" w:cs="Arial" w:eastAsia="Arial" w:hAnsi="Arial"/>
                <w:b w:val="false"/>
                <w:bCs w:val="false"/>
                <w:i/>
                <w:iCs/>
                <w:color w:val="1B3A5C"/>
                <w:sz w:val="17"/>
                <w:szCs w:val="17"/>
              </w:rPr>
              <w:t xml:space="preserve">Executive Services Only</w:t>
            </w:r>
          </w:p>
        </w:tc>
        <w:tc>
          <w:tcPr>
            <w:tcW w:type="dxa" w:w="2120"/>
            <w:tcBorders>
              <w:top w:val="single" w:color="1B3A5C" w:sz="4"/>
              <w:left w:val="single" w:color="1B3A5C" w:sz="4"/>
              <w:bottom w:val="single" w:color="1B3A5C" w:sz="4"/>
              <w:right w:val="single" w:color="1B3A5C" w:sz="4"/>
            </w:tcBorders>
            <w:shd w:fill="B8D4E8" w:val="clear"/>
            <w:tcMar>
              <w:top w:type="dxa" w:w="100"/>
              <w:left w:type="dxa" w:w="120"/>
              <w:bottom w:type="dxa" w:w="100"/>
              <w:right w:type="dxa" w:w="120"/>
            </w:tcMar>
          </w:tcPr>
          <w:p>
            <w:pPr>
              <w:jc w:val="center"/>
            </w:pPr>
            <w:r>
              <w:rPr>
                <w:rFonts w:ascii="Arial" w:cs="Arial" w:eastAsia="Arial" w:hAnsi="Arial"/>
                <w:b/>
                <w:bCs/>
                <w:color w:val="1B3A5C"/>
                <w:sz w:val="18"/>
                <w:szCs w:val="18"/>
              </w:rPr>
              <w:t xml:space="preserve">PROPOSAL B</w:t>
            </w:r>
          </w:p>
          <w:p>
            <w:pPr>
              <w:jc w:val="center"/>
            </w:pPr>
            <w:r>
              <w:rPr>
                <w:rFonts w:ascii="Arial" w:cs="Arial" w:eastAsia="Arial" w:hAnsi="Arial"/>
                <w:b w:val="false"/>
                <w:bCs w:val="false"/>
                <w:i/>
                <w:iCs/>
                <w:color w:val="1B3A5C"/>
                <w:sz w:val="17"/>
                <w:szCs w:val="17"/>
              </w:rPr>
              <w:t xml:space="preserve">Non-Compete (Mid-Tier)</w:t>
            </w:r>
          </w:p>
        </w:tc>
        <w:tc>
          <w:tcPr>
            <w:tcW w:type="dxa" w:w="212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PROPOSAL C</w:t>
            </w:r>
          </w:p>
          <w:p>
            <w:pPr>
              <w:jc w:val="center"/>
            </w:pPr>
            <w:r>
              <w:rPr>
                <w:rFonts w:ascii="Arial" w:cs="Arial" w:eastAsia="Arial" w:hAnsi="Arial"/>
                <w:b w:val="false"/>
                <w:bCs w:val="false"/>
                <w:i/>
                <w:iCs/>
                <w:color w:val="FFFFFF"/>
                <w:sz w:val="17"/>
                <w:szCs w:val="17"/>
              </w:rPr>
              <w:t xml:space="preserve">Non-Compete (Premium)</w:t>
            </w:r>
          </w:p>
        </w:tc>
      </w:tr>
      <w:tr>
        <w:tc>
          <w:tcPr>
            <w:tcW w:type="dxa" w:w="30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jc w:val="left"/>
            </w:pPr>
            <w:r>
              <w:rPr>
                <w:rFonts w:ascii="Arial" w:cs="Arial" w:eastAsia="Arial" w:hAnsi="Arial"/>
                <w:b/>
                <w:bCs/>
                <w:sz w:val="18"/>
                <w:szCs w:val="18"/>
              </w:rPr>
              <w:t xml:space="preserve">Structure</w:t>
            </w:r>
          </w:p>
        </w:tc>
        <w:tc>
          <w:tcPr>
            <w:tcW w:type="dxa" w:w="2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Employment Only
(No Non-Compete Payment)</w:t>
            </w:r>
          </w:p>
        </w:tc>
        <w:tc>
          <w:tcPr>
            <w:tcW w:type="dxa" w:w="2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Non-Compete Payment
+ Executive Employment</w:t>
            </w:r>
          </w:p>
        </w:tc>
        <w:tc>
          <w:tcPr>
            <w:tcW w:type="dxa" w:w="2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Non-Compete Payment
+ Strategic Premium</w:t>
            </w:r>
          </w:p>
        </w:tc>
      </w:tr>
      <w:tr>
        <w:tc>
          <w:tcPr>
            <w:tcW w:type="dxa" w:w="30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jc w:val="left"/>
            </w:pPr>
            <w:r>
              <w:rPr>
                <w:rFonts w:ascii="Arial" w:cs="Arial" w:eastAsia="Arial" w:hAnsi="Arial"/>
                <w:b/>
                <w:bCs/>
                <w:sz w:val="18"/>
                <w:szCs w:val="18"/>
              </w:rPr>
              <w:t xml:space="preserve">Non-Compete Payment</w:t>
            </w:r>
          </w:p>
        </w:tc>
        <w:tc>
          <w:tcPr>
            <w:tcW w:type="dxa" w:w="2120"/>
            <w:tcBorders>
              <w:top w:val="single" w:color="CCCCCC" w:sz="4"/>
              <w:left w:val="single" w:color="CCCCCC" w:sz="4"/>
              <w:bottom w:val="single" w:color="CCCCCC" w:sz="4"/>
              <w:right w:val="single" w:color="CCCCCC" w:sz="4"/>
            </w:tcBorders>
            <w:shd w:fill="EEF4F8"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None — Renee retains all business lines</w:t>
            </w:r>
          </w:p>
        </w:tc>
        <w:tc>
          <w:tcPr>
            <w:tcW w:type="dxa" w:w="2120"/>
            <w:tcBorders>
              <w:top w:val="single" w:color="CCCCCC" w:sz="4"/>
              <w:left w:val="single" w:color="CCCCCC" w:sz="4"/>
              <w:bottom w:val="single" w:color="CCCCCC" w:sz="4"/>
              <w:right w:val="single" w:color="CCCCCC" w:sz="4"/>
            </w:tcBorders>
            <w:shd w:fill="EEF4F8"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$4,250,000</w:t>
            </w:r>
          </w:p>
        </w:tc>
        <w:tc>
          <w:tcPr>
            <w:tcW w:type="dxa" w:w="2120"/>
            <w:tcBorders>
              <w:top w:val="single" w:color="CCCCCC" w:sz="4"/>
              <w:left w:val="single" w:color="CCCCCC" w:sz="4"/>
              <w:bottom w:val="single" w:color="CCCCCC" w:sz="4"/>
              <w:right w:val="single" w:color="CCCCCC" w:sz="4"/>
            </w:tcBorders>
            <w:shd w:fill="EEF4F8"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$5,750,000</w:t>
            </w:r>
          </w:p>
        </w:tc>
      </w:tr>
      <w:tr>
        <w:tc>
          <w:tcPr>
            <w:tcW w:type="dxa" w:w="30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jc w:val="left"/>
            </w:pPr>
            <w:r>
              <w:rPr>
                <w:rFonts w:ascii="Arial" w:cs="Arial" w:eastAsia="Arial" w:hAnsi="Arial"/>
                <w:b/>
                <w:bCs/>
                <w:sz w:val="18"/>
                <w:szCs w:val="18"/>
              </w:rPr>
              <w:t xml:space="preserve">Annual Base Salary</w:t>
            </w:r>
          </w:p>
        </w:tc>
        <w:tc>
          <w:tcPr>
            <w:tcW w:type="dxa" w:w="2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$400,000</w:t>
            </w:r>
          </w:p>
        </w:tc>
        <w:tc>
          <w:tcPr>
            <w:tcW w:type="dxa" w:w="2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$375,000</w:t>
            </w:r>
          </w:p>
        </w:tc>
        <w:tc>
          <w:tcPr>
            <w:tcW w:type="dxa" w:w="2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$425,000</w:t>
            </w:r>
          </w:p>
        </w:tc>
      </w:tr>
      <w:tr>
        <w:tc>
          <w:tcPr>
            <w:tcW w:type="dxa" w:w="30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jc w:val="left"/>
            </w:pPr>
            <w:r>
              <w:rPr>
                <w:rFonts w:ascii="Arial" w:cs="Arial" w:eastAsia="Arial" w:hAnsi="Arial"/>
                <w:b/>
                <w:bCs/>
                <w:sz w:val="18"/>
                <w:szCs w:val="18"/>
              </w:rPr>
              <w:t xml:space="preserve">Equity</w:t>
            </w:r>
          </w:p>
        </w:tc>
        <w:tc>
          <w:tcPr>
            <w:tcW w:type="dxa" w:w="2120"/>
            <w:tcBorders>
              <w:top w:val="single" w:color="CCCCCC" w:sz="4"/>
              <w:left w:val="single" w:color="CCCCCC" w:sz="4"/>
              <w:bottom w:val="single" w:color="CCCCCC" w:sz="4"/>
              <w:right w:val="single" w:color="CCCCCC" w:sz="4"/>
            </w:tcBorders>
            <w:shd w:fill="EEF4F8"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3% + Options</w:t>
            </w:r>
          </w:p>
        </w:tc>
        <w:tc>
          <w:tcPr>
            <w:tcW w:type="dxa" w:w="2120"/>
            <w:tcBorders>
              <w:top w:val="single" w:color="CCCCCC" w:sz="4"/>
              <w:left w:val="single" w:color="CCCCCC" w:sz="4"/>
              <w:bottom w:val="single" w:color="CCCCCC" w:sz="4"/>
              <w:right w:val="single" w:color="CCCCCC" w:sz="4"/>
            </w:tcBorders>
            <w:shd w:fill="EEF4F8"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5% + 3-yr Vest</w:t>
            </w:r>
          </w:p>
        </w:tc>
        <w:tc>
          <w:tcPr>
            <w:tcW w:type="dxa" w:w="2120"/>
            <w:tcBorders>
              <w:top w:val="single" w:color="CCCCCC" w:sz="4"/>
              <w:left w:val="single" w:color="CCCCCC" w:sz="4"/>
              <w:bottom w:val="single" w:color="CCCCCC" w:sz="4"/>
              <w:right w:val="single" w:color="CCCCCC" w:sz="4"/>
            </w:tcBorders>
            <w:shd w:fill="EEF4F8"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8% + Participation Rights</w:t>
            </w:r>
          </w:p>
        </w:tc>
      </w:tr>
      <w:tr>
        <w:tc>
          <w:tcPr>
            <w:tcW w:type="dxa" w:w="30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jc w:val="left"/>
            </w:pPr>
            <w:r>
              <w:rPr>
                <w:rFonts w:ascii="Arial" w:cs="Arial" w:eastAsia="Arial" w:hAnsi="Arial"/>
                <w:b/>
                <w:bCs/>
                <w:sz w:val="18"/>
                <w:szCs w:val="18"/>
              </w:rPr>
              <w:t xml:space="preserve">Renee Keeps ALCC?</w:t>
            </w:r>
          </w:p>
        </w:tc>
        <w:tc>
          <w:tcPr>
            <w:tcW w:type="dxa" w:w="2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YES — retains all operations</w:t>
            </w:r>
          </w:p>
        </w:tc>
        <w:tc>
          <w:tcPr>
            <w:tcW w:type="dxa" w:w="2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NO — full non-compete</w:t>
            </w:r>
          </w:p>
        </w:tc>
        <w:tc>
          <w:tcPr>
            <w:tcW w:type="dxa" w:w="2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NO — full non-compete</w:t>
            </w:r>
          </w:p>
        </w:tc>
      </w:tr>
      <w:tr>
        <w:tc>
          <w:tcPr>
            <w:tcW w:type="dxa" w:w="30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jc w:val="left"/>
            </w:pPr>
            <w:r>
              <w:rPr>
                <w:rFonts w:ascii="Arial" w:cs="Arial" w:eastAsia="Arial" w:hAnsi="Arial"/>
                <w:b/>
                <w:bCs/>
                <w:sz w:val="18"/>
                <w:szCs w:val="18"/>
              </w:rPr>
              <w:t xml:space="preserve">Referral Fee (Client Sales to Docks)</w:t>
            </w:r>
          </w:p>
        </w:tc>
        <w:tc>
          <w:tcPr>
            <w:tcW w:type="dxa" w:w="2120"/>
            <w:tcBorders>
              <w:top w:val="single" w:color="CCCCCC" w:sz="4"/>
              <w:left w:val="single" w:color="CCCCCC" w:sz="4"/>
              <w:bottom w:val="single" w:color="CCCCCC" w:sz="4"/>
              <w:right w:val="single" w:color="CCCCCC" w:sz="4"/>
            </w:tcBorders>
            <w:shd w:fill="EEF4F8"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5% of acquisition price per client</w:t>
            </w:r>
          </w:p>
        </w:tc>
        <w:tc>
          <w:tcPr>
            <w:tcW w:type="dxa" w:w="2120"/>
            <w:tcBorders>
              <w:top w:val="single" w:color="CCCCCC" w:sz="4"/>
              <w:left w:val="single" w:color="CCCCCC" w:sz="4"/>
              <w:bottom w:val="single" w:color="CCCCCC" w:sz="4"/>
              <w:right w:val="single" w:color="CCCCCC" w:sz="4"/>
            </w:tcBorders>
            <w:shd w:fill="EEF4F8"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5% of acquisition price per client</w:t>
            </w:r>
          </w:p>
        </w:tc>
        <w:tc>
          <w:tcPr>
            <w:tcW w:type="dxa" w:w="2120"/>
            <w:tcBorders>
              <w:top w:val="single" w:color="CCCCCC" w:sz="4"/>
              <w:left w:val="single" w:color="CCCCCC" w:sz="4"/>
              <w:bottom w:val="single" w:color="CCCCCC" w:sz="4"/>
              <w:right w:val="single" w:color="CCCCCC" w:sz="4"/>
            </w:tcBorders>
            <w:shd w:fill="EEF4F8"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5% of acquisition price per client</w:t>
            </w:r>
          </w:p>
        </w:tc>
      </w:tr>
      <w:tr>
        <w:tc>
          <w:tcPr>
            <w:tcW w:type="dxa" w:w="30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jc w:val="left"/>
            </w:pPr>
            <w:r>
              <w:rPr>
                <w:rFonts w:ascii="Arial" w:cs="Arial" w:eastAsia="Arial" w:hAnsi="Arial"/>
                <w:b/>
                <w:bCs/>
                <w:sz w:val="18"/>
                <w:szCs w:val="18"/>
              </w:rPr>
              <w:t xml:space="preserve">Performance Bonus</w:t>
            </w:r>
          </w:p>
        </w:tc>
        <w:tc>
          <w:tcPr>
            <w:tcW w:type="dxa" w:w="2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w:t>
            </w:r>
          </w:p>
        </w:tc>
        <w:tc>
          <w:tcPr>
            <w:tcW w:type="dxa" w:w="2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10–15% of base</w:t>
            </w:r>
          </w:p>
        </w:tc>
        <w:tc>
          <w:tcPr>
            <w:tcW w:type="dxa" w:w="2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Portfolio growth bonus + signing $50K+</w:t>
            </w:r>
          </w:p>
        </w:tc>
      </w:tr>
    </w:tbl>
    <w:p>
      <w:pPr>
        <w:spacing w:before="0" w:after="0"/>
      </w:pPr>
      <w:r>
        <w:t xml:space="preserve"/>
      </w:r>
    </w:p>
    <w:p>
      <w:pPr>
        <w:spacing w:before="60" w:after="60"/>
      </w:pPr>
      <w:r>
        <w:rPr>
          <w:rFonts w:ascii="Arial" w:cs="Arial" w:eastAsia="Arial" w:hAnsi="Arial"/>
          <w:i/>
          <w:iCs/>
          <w:color w:val="555555"/>
          <w:sz w:val="17"/>
          <w:szCs w:val="17"/>
        </w:rPr>
        <w:t xml:space="preserve">Employment terms are a condition, not an add-on, in all three proposals. The non-compete payment and employment contract are negotiated and accepted as a single integrated package.</w:t>
      </w:r>
    </w:p>
    <w:p>
      <w:pPr>
        <w:spacing w:before="0" w:after="0"/>
      </w:pPr>
      <w:r>
        <w:t xml:space="preserve"/>
      </w:r>
    </w:p>
    <w:p>
      <w:r>
        <w:br w:type="page"/>
      </w:r>
    </w:p>
    <w:p>
      <w:pPr>
        <w:pStyle w:val="Heading1"/>
        <w:pBdr>
          <w:bottom w:val="single" w:color="C8922A" w:sz="6" w:space="4"/>
        </w:pBdr>
        <w:spacing w:before="360" w:after="120"/>
      </w:pPr>
      <w:r>
        <w:rPr>
          <w:rFonts w:ascii="Arial" w:cs="Arial" w:eastAsia="Arial" w:hAnsi="Arial"/>
          <w:b/>
          <w:bCs/>
          <w:color w:val="1B3A5C"/>
          <w:sz w:val="28"/>
          <w:szCs w:val="28"/>
        </w:rPr>
        <w:t xml:space="preserve">7.  PROPOSAL A — EXECUTIVE SERVICES ARRANGEMENT</w:t>
      </w:r>
    </w:p>
    <w:p>
      <w:pPr>
        <w:spacing w:before="60" w:after="120"/>
      </w:pPr>
      <w:r>
        <w:rPr>
          <w:rFonts w:ascii="Arial" w:cs="Arial" w:eastAsia="Arial" w:hAnsi="Arial"/>
          <w:i/>
          <w:iCs/>
          <w:color w:val="C8922A"/>
          <w:sz w:val="20"/>
          <w:szCs w:val="20"/>
        </w:rPr>
        <w:t xml:space="preserve">No Non-Compete Payment | Renee Retains All Business Operations</w:t>
      </w:r>
    </w:p>
    <w:p>
      <w:pPr>
        <w:spacing w:before="60" w:after="60"/>
        <w:jc w:val="left"/>
      </w:pPr>
      <w:r>
        <w:rPr>
          <w:rFonts w:ascii="Arial" w:cs="Arial" w:eastAsia="Arial" w:hAnsi="Arial"/>
          <w:b w:val="false"/>
          <w:bCs w:val="false"/>
          <w:i w:val="false"/>
          <w:iCs w:val="false"/>
          <w:color w:val="000000"/>
          <w:sz w:val="20"/>
          <w:szCs w:val="20"/>
        </w:rPr>
        <w:t xml:space="preserve">Proposal A is the baseline arrangement. Docks Sutherland employs Renee as a senior executive for the national PEO conglomerate. She provides full-time executive leadership to the new national entity while retaining ALCC and all existing business operations. There is no non-compete, no restriction on her existing clients, and no restriction on her ancillary business lines.</w:t>
      </w:r>
    </w:p>
    <w:p>
      <w:pPr>
        <w:spacing w:before="0" w:after="0"/>
      </w:pPr>
      <w:r>
        <w:t xml:space="preserve"/>
      </w:r>
    </w:p>
    <w:p>
      <w:pPr>
        <w:pStyle w:val="Heading2"/>
        <w:spacing w:before="240" w:after="80"/>
      </w:pPr>
      <w:r>
        <w:rPr>
          <w:rFonts w:ascii="Arial" w:cs="Arial" w:eastAsia="Arial" w:hAnsi="Arial"/>
          <w:b/>
          <w:bCs/>
          <w:color w:val="1B3A5C"/>
          <w:sz w:val="22"/>
          <w:szCs w:val="22"/>
        </w:rPr>
        <w:t xml:space="preserve">Summary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Term</w:t>
            </w:r>
          </w:p>
        </w:tc>
        <w:tc>
          <w:tcPr>
            <w:tcW w:type="dxa" w:w="636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Detail</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Structure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Executive Employment Agreement — no asset acquisition, no non-compete payment</w:t>
            </w:r>
          </w:p>
        </w:tc>
      </w:tr>
      <w:tr>
        <w:tc>
          <w:tcPr>
            <w:tcW w:type="dxa" w:w="3000"/>
            <w:tcBorders>
              <w:top w:val="single" w:color="CCCCCC" w:sz="4"/>
              <w:left w:val="single" w:color="CCCCCC" w:sz="4"/>
              <w:bottom w:val="single" w:color="CCCCCC" w:sz="4"/>
              <w:right w:val="single" w:color="CCCCCC" w:sz="4"/>
            </w:tcBorders>
            <w:shd w:fill="EEF4F8" w:val="clear"/>
            <w:tcMar>
              <w:top w:type="dxa" w:w="80"/>
              <w:left w:type="dxa" w:w="120"/>
              <w:bottom w:type="dxa" w:w="80"/>
              <w:right w:type="dxa" w:w="120"/>
            </w:tcMar>
          </w:tcPr>
          <w:p>
            <w:r>
              <w:rPr>
                <w:rFonts w:ascii="Arial" w:cs="Arial" w:eastAsia="Arial" w:hAnsi="Arial"/>
                <w:b w:val="false"/>
                <w:bCs w:val="false"/>
                <w:sz w:val="18"/>
                <w:szCs w:val="18"/>
              </w:rPr>
              <w:t xml:space="preserve">Annual Base Salary</w:t>
            </w:r>
          </w:p>
        </w:tc>
        <w:tc>
          <w:tcPr>
            <w:tcW w:type="dxa" w:w="6360"/>
            <w:tcBorders>
              <w:top w:val="single" w:color="CCCCCC" w:sz="4"/>
              <w:left w:val="single" w:color="CCCCCC" w:sz="4"/>
              <w:bottom w:val="single" w:color="CCCCCC" w:sz="4"/>
              <w:right w:val="single" w:color="CCCCCC" w:sz="4"/>
            </w:tcBorders>
            <w:shd w:fill="EEF4F8" w:val="clear"/>
            <w:tcMar>
              <w:top w:type="dxa" w:w="80"/>
              <w:left w:type="dxa" w:w="120"/>
              <w:bottom w:type="dxa" w:w="80"/>
              <w:right w:type="dxa" w:w="120"/>
            </w:tcMar>
          </w:tcPr>
          <w:p>
            <w:r>
              <w:rPr>
                <w:rFonts w:ascii="Arial" w:cs="Arial" w:eastAsia="Arial" w:hAnsi="Arial"/>
                <w:b w:val="false"/>
                <w:bCs w:val="false"/>
                <w:sz w:val="18"/>
                <w:szCs w:val="18"/>
              </w:rPr>
              <w:t xml:space="preserve">$400,000</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Equity / Options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 equity stake in the new national PEO entity + standard option plan participation</w:t>
            </w:r>
          </w:p>
        </w:tc>
      </w:tr>
      <w:tr>
        <w:tc>
          <w:tcPr>
            <w:tcW w:type="dxa" w:w="3000"/>
            <w:tcBorders>
              <w:top w:val="single" w:color="CCCCCC" w:sz="4"/>
              <w:left w:val="single" w:color="CCCCCC" w:sz="4"/>
              <w:bottom w:val="single" w:color="CCCCCC" w:sz="4"/>
              <w:right w:val="single" w:color="CCCCCC" w:sz="4"/>
            </w:tcBorders>
            <w:shd w:fill="EEF4F8" w:val="clear"/>
            <w:tcMar>
              <w:top w:type="dxa" w:w="80"/>
              <w:left w:type="dxa" w:w="120"/>
              <w:bottom w:type="dxa" w:w="80"/>
              <w:right w:type="dxa" w:w="120"/>
            </w:tcMar>
          </w:tcPr>
          <w:p>
            <w:r>
              <w:rPr>
                <w:rFonts w:ascii="Arial" w:cs="Arial" w:eastAsia="Arial" w:hAnsi="Arial"/>
                <w:b w:val="false"/>
                <w:bCs w:val="false"/>
                <w:sz w:val="18"/>
                <w:szCs w:val="18"/>
              </w:rPr>
              <w:t xml:space="preserve">Employment Term</w:t>
            </w:r>
          </w:p>
        </w:tc>
        <w:tc>
          <w:tcPr>
            <w:tcW w:type="dxa" w:w="6360"/>
            <w:tcBorders>
              <w:top w:val="single" w:color="CCCCCC" w:sz="4"/>
              <w:left w:val="single" w:color="CCCCCC" w:sz="4"/>
              <w:bottom w:val="single" w:color="CCCCCC" w:sz="4"/>
              <w:right w:val="single" w:color="CCCCCC" w:sz="4"/>
            </w:tcBorders>
            <w:shd w:fill="EEF4F8" w:val="clear"/>
            <w:tcMar>
              <w:top w:type="dxa" w:w="80"/>
              <w:left w:type="dxa" w:w="120"/>
              <w:bottom w:type="dxa" w:w="80"/>
              <w:right w:type="dxa" w:w="120"/>
            </w:tcMar>
          </w:tcPr>
          <w:p>
            <w:r>
              <w:rPr>
                <w:rFonts w:ascii="Arial" w:cs="Arial" w:eastAsia="Arial" w:hAnsi="Arial"/>
                <w:b w:val="false"/>
                <w:bCs w:val="false"/>
                <w:sz w:val="18"/>
                <w:szCs w:val="18"/>
              </w:rPr>
              <w:t xml:space="preserve">Minimum 3-year agreement; cause-only termination; 12-month severance without cause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Benefits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Senior executive package: health, dental, vision, retirement</w:t>
            </w:r>
          </w:p>
        </w:tc>
      </w:tr>
      <w:tr>
        <w:tc>
          <w:tcPr>
            <w:tcW w:type="dxa" w:w="3000"/>
            <w:tcBorders>
              <w:top w:val="single" w:color="CCCCCC" w:sz="4"/>
              <w:left w:val="single" w:color="CCCCCC" w:sz="4"/>
              <w:bottom w:val="single" w:color="CCCCCC" w:sz="4"/>
              <w:right w:val="single" w:color="CCCCCC" w:sz="4"/>
            </w:tcBorders>
            <w:shd w:fill="EEF4F8" w:val="clear"/>
            <w:tcMar>
              <w:top w:type="dxa" w:w="80"/>
              <w:left w:type="dxa" w:w="120"/>
              <w:bottom w:type="dxa" w:w="80"/>
              <w:right w:type="dxa" w:w="120"/>
            </w:tcMar>
          </w:tcPr>
          <w:p>
            <w:r>
              <w:rPr>
                <w:rFonts w:ascii="Arial" w:cs="Arial" w:eastAsia="Arial" w:hAnsi="Arial"/>
                <w:b w:val="false"/>
                <w:bCs w:val="false"/>
                <w:sz w:val="18"/>
                <w:szCs w:val="18"/>
              </w:rPr>
              <w:t xml:space="preserve">Renee Retains ALCC</w:t>
            </w:r>
          </w:p>
        </w:tc>
        <w:tc>
          <w:tcPr>
            <w:tcW w:type="dxa" w:w="6360"/>
            <w:tcBorders>
              <w:top w:val="single" w:color="CCCCCC" w:sz="4"/>
              <w:left w:val="single" w:color="CCCCCC" w:sz="4"/>
              <w:bottom w:val="single" w:color="CCCCCC" w:sz="4"/>
              <w:right w:val="single" w:color="CCCCCC" w:sz="4"/>
            </w:tcBorders>
            <w:shd w:fill="EEF4F8" w:val="clear"/>
            <w:tcMar>
              <w:top w:type="dxa" w:w="80"/>
              <w:left w:type="dxa" w:w="120"/>
              <w:bottom w:type="dxa" w:w="80"/>
              <w:right w:type="dxa" w:w="120"/>
            </w:tcMar>
          </w:tcPr>
          <w:p>
            <w:r>
              <w:rPr>
                <w:rFonts w:ascii="Arial" w:cs="Arial" w:eastAsia="Arial" w:hAnsi="Arial"/>
                <w:b w:val="false"/>
                <w:bCs w:val="false"/>
                <w:sz w:val="18"/>
                <w:szCs w:val="18"/>
              </w:rPr>
              <w:t xml:space="preserve">YES — all 10 PEO clients, recorded statements, drug testing, field investigations remain active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Non-Compete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NONE — Renee may continue all existing business operations</w:t>
            </w:r>
          </w:p>
        </w:tc>
      </w:tr>
      <w:tr>
        <w:tc>
          <w:tcPr>
            <w:tcW w:type="dxa" w:w="3000"/>
            <w:tcBorders>
              <w:top w:val="single" w:color="CCCCCC" w:sz="4"/>
              <w:left w:val="single" w:color="CCCCCC" w:sz="4"/>
              <w:bottom w:val="single" w:color="CCCCCC" w:sz="4"/>
              <w:right w:val="single" w:color="CCCCCC" w:sz="4"/>
            </w:tcBorders>
            <w:shd w:fill="EEF4F8" w:val="clear"/>
            <w:tcMar>
              <w:top w:type="dxa" w:w="80"/>
              <w:left w:type="dxa" w:w="120"/>
              <w:bottom w:type="dxa" w:w="80"/>
              <w:right w:type="dxa" w:w="120"/>
            </w:tcMar>
          </w:tcPr>
          <w:p>
            <w:r>
              <w:rPr>
                <w:rFonts w:ascii="Arial" w:cs="Arial" w:eastAsia="Arial" w:hAnsi="Arial"/>
                <w:b w:val="false"/>
                <w:bCs w:val="false"/>
                <w:sz w:val="18"/>
                <w:szCs w:val="18"/>
              </w:rPr>
              <w:t xml:space="preserve">Referral Fee</w:t>
            </w:r>
          </w:p>
        </w:tc>
        <w:tc>
          <w:tcPr>
            <w:tcW w:type="dxa" w:w="6360"/>
            <w:tcBorders>
              <w:top w:val="single" w:color="CCCCCC" w:sz="4"/>
              <w:left w:val="single" w:color="CCCCCC" w:sz="4"/>
              <w:bottom w:val="single" w:color="CCCCCC" w:sz="4"/>
              <w:right w:val="single" w:color="CCCCCC" w:sz="4"/>
            </w:tcBorders>
            <w:shd w:fill="EEF4F8" w:val="clear"/>
            <w:tcMar>
              <w:top w:type="dxa" w:w="80"/>
              <w:left w:type="dxa" w:w="120"/>
              <w:bottom w:type="dxa" w:w="80"/>
              <w:right w:type="dxa" w:w="120"/>
            </w:tcMar>
          </w:tcPr>
          <w:p>
            <w:r>
              <w:rPr>
                <w:rFonts w:ascii="Arial" w:cs="Arial" w:eastAsia="Arial" w:hAnsi="Arial"/>
                <w:b w:val="false"/>
                <w:bCs w:val="false"/>
                <w:sz w:val="18"/>
                <w:szCs w:val="18"/>
              </w:rPr>
              <w:t xml:space="preserve">5% of acquisition consideration if any existing ALCC PEO client sells to Docks within 5 years</w:t>
            </w:r>
          </w:p>
        </w:tc>
      </w:tr>
    </w:tbl>
    <w:p>
      <w:pPr>
        <w:spacing w:before="0" w:after="0"/>
      </w:pPr>
      <w:r>
        <w:t xml:space="preserve"/>
      </w:r>
    </w:p>
    <w:p>
      <w:pPr>
        <w:pStyle w:val="Heading2"/>
        <w:spacing w:before="240" w:after="80"/>
      </w:pPr>
      <w:r>
        <w:rPr>
          <w:rFonts w:ascii="Arial" w:cs="Arial" w:eastAsia="Arial" w:hAnsi="Arial"/>
          <w:b/>
          <w:bCs/>
          <w:color w:val="1B3A5C"/>
          <w:sz w:val="22"/>
          <w:szCs w:val="22"/>
        </w:rPr>
        <w:t xml:space="preserve">What the Buyer Gets</w:t>
      </w:r>
    </w:p>
    <w:p>
      <w:pPr>
        <w:pStyle w:val="ListParagraph"/>
        <w:numPr>
          <w:ilvl w:val="0"/>
          <w:numId w:val="2"/>
        </w:numPr>
        <w:spacing w:before="40" w:after="40"/>
      </w:pPr>
      <w:r>
        <w:rPr>
          <w:rFonts w:ascii="Arial" w:cs="Arial" w:eastAsia="Arial" w:hAnsi="Arial"/>
          <w:b w:val="false"/>
          <w:bCs w:val="false"/>
          <w:sz w:val="20"/>
          <w:szCs w:val="20"/>
        </w:rPr>
        <w:t xml:space="preserve">Renee's senior executive focus on building the national PEO claims infrastructure</w:t>
      </w:r>
    </w:p>
    <w:p>
      <w:pPr>
        <w:pStyle w:val="ListParagraph"/>
        <w:numPr>
          <w:ilvl w:val="0"/>
          <w:numId w:val="2"/>
        </w:numPr>
        <w:spacing w:before="40" w:after="40"/>
      </w:pPr>
      <w:r>
        <w:rPr>
          <w:rFonts w:ascii="Arial" w:cs="Arial" w:eastAsia="Arial" w:hAnsi="Arial"/>
          <w:b w:val="false"/>
          <w:bCs w:val="false"/>
          <w:sz w:val="20"/>
          <w:szCs w:val="20"/>
        </w:rPr>
        <w:t xml:space="preserve">Operational continuity for Standard Resources and Florida Resource Management — no disruption risk</w:t>
      </w:r>
    </w:p>
    <w:p>
      <w:pPr>
        <w:pStyle w:val="ListParagraph"/>
        <w:numPr>
          <w:ilvl w:val="0"/>
          <w:numId w:val="2"/>
        </w:numPr>
        <w:spacing w:before="40" w:after="40"/>
      </w:pPr>
      <w:r>
        <w:rPr>
          <w:rFonts w:ascii="Arial" w:cs="Arial" w:eastAsia="Arial" w:hAnsi="Arial"/>
          <w:b w:val="false"/>
          <w:bCs w:val="false"/>
          <w:sz w:val="20"/>
          <w:szCs w:val="20"/>
        </w:rPr>
        <w:t xml:space="preserve">Access to the institutional knowledge, vendor network, and SOP library Renee has built — applied to the national portfolio</w:t>
      </w:r>
    </w:p>
    <w:p>
      <w:pPr>
        <w:pStyle w:val="ListParagraph"/>
        <w:numPr>
          <w:ilvl w:val="0"/>
          <w:numId w:val="2"/>
        </w:numPr>
        <w:spacing w:before="40" w:after="40"/>
      </w:pPr>
      <w:r>
        <w:rPr>
          <w:rFonts w:ascii="Arial" w:cs="Arial" w:eastAsia="Arial" w:hAnsi="Arial"/>
          <w:b w:val="false"/>
          <w:bCs w:val="false"/>
          <w:sz w:val="20"/>
          <w:szCs w:val="20"/>
        </w:rPr>
        <w:t xml:space="preserve">A senior executive with proven performance already validated inside Docks' own portfolio</w:t>
      </w:r>
    </w:p>
    <w:p>
      <w:pPr>
        <w:spacing w:before="0" w:after="0"/>
      </w:pPr>
      <w:r>
        <w:t xml:space="preserve"/>
      </w:r>
    </w:p>
    <w:p>
      <w:pPr>
        <w:pStyle w:val="Heading2"/>
        <w:spacing w:before="240" w:after="80"/>
      </w:pPr>
      <w:r>
        <w:rPr>
          <w:rFonts w:ascii="Arial" w:cs="Arial" w:eastAsia="Arial" w:hAnsi="Arial"/>
          <w:b/>
          <w:bCs/>
          <w:color w:val="1B3A5C"/>
          <w:sz w:val="22"/>
          <w:szCs w:val="22"/>
        </w:rPr>
        <w:t xml:space="preserve">What the Buyer Does Not Get</w:t>
      </w:r>
    </w:p>
    <w:p>
      <w:pPr>
        <w:pStyle w:val="ListParagraph"/>
        <w:numPr>
          <w:ilvl w:val="0"/>
          <w:numId w:val="2"/>
        </w:numPr>
        <w:spacing w:before="40" w:after="40"/>
      </w:pPr>
      <w:r>
        <w:rPr>
          <w:rFonts w:ascii="Arial" w:cs="Arial" w:eastAsia="Arial" w:hAnsi="Arial"/>
          <w:b w:val="false"/>
          <w:bCs w:val="false"/>
          <w:sz w:val="20"/>
          <w:szCs w:val="20"/>
        </w:rPr>
        <w:t xml:space="preserve">Exclusivity — Renee continues to service ALCC's 10 existing PEO clients in parallel</w:t>
      </w:r>
    </w:p>
    <w:p>
      <w:pPr>
        <w:pStyle w:val="ListParagraph"/>
        <w:numPr>
          <w:ilvl w:val="0"/>
          <w:numId w:val="2"/>
        </w:numPr>
        <w:spacing w:before="40" w:after="40"/>
      </w:pPr>
      <w:r>
        <w:rPr>
          <w:rFonts w:ascii="Arial" w:cs="Arial" w:eastAsia="Arial" w:hAnsi="Arial"/>
          <w:b w:val="false"/>
          <w:bCs w:val="false"/>
          <w:sz w:val="20"/>
          <w:szCs w:val="20"/>
        </w:rPr>
        <w:t xml:space="preserve">Non-compete protection — Renee may expand her independent business if the national arrangement does not meet her expectations</w:t>
      </w:r>
    </w:p>
    <w:p>
      <w:pPr>
        <w:pStyle w:val="ListParagraph"/>
        <w:numPr>
          <w:ilvl w:val="0"/>
          <w:numId w:val="2"/>
        </w:numPr>
        <w:spacing w:before="40" w:after="40"/>
      </w:pPr>
      <w:r>
        <w:rPr>
          <w:rFonts w:ascii="Arial" w:cs="Arial" w:eastAsia="Arial" w:hAnsi="Arial"/>
          <w:b w:val="false"/>
          <w:bCs w:val="false"/>
          <w:sz w:val="20"/>
          <w:szCs w:val="20"/>
        </w:rPr>
        <w:t xml:space="preserve">Acquisition of the revenue stream — the $541,200 PEO ARR remains ALCC's</w:t>
      </w:r>
    </w:p>
    <w:p>
      <w:pPr>
        <w:spacing w:before="0" w:after="0"/>
      </w:pPr>
      <w:r>
        <w:t xml:space="preserve"/>
      </w:r>
    </w:p>
    <w:p>
      <w:pPr>
        <w:pBdr>
          <w:top w:val="single" w:color="C8922A" w:sz="4"/>
          <w:bottom w:val="single" w:color="C8922A" w:sz="4"/>
          <w:left w:val="thick" w:color="C8922A" w:sz="12"/>
          <w:right w:val="none" w:color="FFFFFF" w:sz="0"/>
        </w:pBdr>
        <w:spacing w:before="120" w:after="120"/>
        <w:ind w:left="360" w:right="360"/>
      </w:pPr>
      <w:r>
        <w:rPr>
          <w:rFonts w:ascii="Arial" w:cs="Arial" w:eastAsia="Arial" w:hAnsi="Arial"/>
          <w:b/>
          <w:bCs/>
          <w:i/>
          <w:iCs/>
          <w:color w:val="1B3A5C"/>
          <w:sz w:val="20"/>
          <w:szCs w:val="20"/>
        </w:rPr>
        <w:t xml:space="preserve">Proposal A is the lowest-cost entry point but the highest ongoing exposure to key-person split attention and non-exclusivity. It is structured for buyers who want Renee's expertise without requiring her to exit her existing business.</w:t>
      </w:r>
    </w:p>
    <w:p>
      <w:pPr>
        <w:spacing w:before="0" w:after="0"/>
      </w:pPr>
      <w:r>
        <w:t xml:space="preserve"/>
      </w:r>
    </w:p>
    <w:p>
      <w:pPr>
        <w:pStyle w:val="Heading2"/>
        <w:spacing w:before="240" w:after="80"/>
      </w:pPr>
      <w:r>
        <w:rPr>
          <w:rFonts w:ascii="Arial" w:cs="Arial" w:eastAsia="Arial" w:hAnsi="Arial"/>
          <w:b/>
          <w:bCs/>
          <w:color w:val="1B3A5C"/>
          <w:sz w:val="22"/>
          <w:szCs w:val="22"/>
        </w:rPr>
        <w:t xml:space="preserve">Valuation Logic</w:t>
      </w:r>
    </w:p>
    <w:p>
      <w:pPr>
        <w:pStyle w:val="ListParagraph"/>
        <w:numPr>
          <w:ilvl w:val="0"/>
          <w:numId w:val="2"/>
        </w:numPr>
        <w:spacing w:before="40" w:after="40"/>
      </w:pPr>
      <w:r>
        <w:rPr>
          <w:rFonts w:ascii="Arial" w:cs="Arial" w:eastAsia="Arial" w:hAnsi="Arial"/>
          <w:b w:val="false"/>
          <w:bCs w:val="false"/>
          <w:sz w:val="20"/>
          <w:szCs w:val="20"/>
        </w:rPr>
        <w:t xml:space="preserve">$400,000 annual salary is commensurate with a senior executive managing national claims infrastructure across a multi-entity PEO portfolio</w:t>
      </w:r>
    </w:p>
    <w:p>
      <w:pPr>
        <w:pStyle w:val="ListParagraph"/>
        <w:numPr>
          <w:ilvl w:val="0"/>
          <w:numId w:val="2"/>
        </w:numPr>
        <w:spacing w:before="40" w:after="40"/>
      </w:pPr>
      <w:r>
        <w:rPr>
          <w:rFonts w:ascii="Arial" w:cs="Arial" w:eastAsia="Arial" w:hAnsi="Arial"/>
          <w:b w:val="false"/>
          <w:bCs w:val="false"/>
          <w:sz w:val="20"/>
          <w:szCs w:val="20"/>
        </w:rPr>
        <w:t xml:space="preserve">3% equity reflects meaningful participation in the upside of the national entity without the non-compete premium</w:t>
      </w:r>
    </w:p>
    <w:p>
      <w:pPr>
        <w:pStyle w:val="ListParagraph"/>
        <w:numPr>
          <w:ilvl w:val="0"/>
          <w:numId w:val="2"/>
        </w:numPr>
        <w:spacing w:before="40" w:after="40"/>
      </w:pPr>
      <w:r>
        <w:rPr>
          <w:rFonts w:ascii="Arial" w:cs="Arial" w:eastAsia="Arial" w:hAnsi="Arial"/>
          <w:b w:val="false"/>
          <w:bCs w:val="false"/>
          <w:sz w:val="20"/>
          <w:szCs w:val="20"/>
        </w:rPr>
        <w:t xml:space="preserve">No lump-sum payment is required because Renee retains her full income-producing operations</w:t>
      </w:r>
    </w:p>
    <w:p>
      <w:pPr>
        <w:spacing w:before="0" w:after="0"/>
      </w:pPr>
      <w:r>
        <w:t xml:space="preserve"/>
      </w:r>
    </w:p>
    <w:p>
      <w:r>
        <w:br w:type="page"/>
      </w:r>
    </w:p>
    <w:p>
      <w:pPr>
        <w:pStyle w:val="Heading1"/>
        <w:pBdr>
          <w:bottom w:val="single" w:color="C8922A" w:sz="6" w:space="4"/>
        </w:pBdr>
        <w:spacing w:before="360" w:after="120"/>
      </w:pPr>
      <w:r>
        <w:rPr>
          <w:rFonts w:ascii="Arial" w:cs="Arial" w:eastAsia="Arial" w:hAnsi="Arial"/>
          <w:b/>
          <w:bCs/>
          <w:color w:val="1B3A5C"/>
          <w:sz w:val="28"/>
          <w:szCs w:val="28"/>
        </w:rPr>
        <w:t xml:space="preserve">8.  PROPOSAL B — FULL NON-COMPETE (MID-TIER)</w:t>
      </w:r>
    </w:p>
    <w:p>
      <w:pPr>
        <w:spacing w:before="60" w:after="120"/>
      </w:pPr>
      <w:r>
        <w:rPr>
          <w:rFonts w:ascii="Arial" w:cs="Arial" w:eastAsia="Arial" w:hAnsi="Arial"/>
          <w:i/>
          <w:iCs/>
          <w:color w:val="C8922A"/>
          <w:sz w:val="20"/>
          <w:szCs w:val="20"/>
        </w:rPr>
        <w:t xml:space="preserve">Non-Compete Payment: $4,250,000 | Annual Salary: $375,000 | Equity: 5% + 3-Year Vesting</w:t>
      </w:r>
    </w:p>
    <w:p>
      <w:pPr>
        <w:spacing w:before="60" w:after="60"/>
        <w:jc w:val="left"/>
      </w:pPr>
      <w:r>
        <w:rPr>
          <w:rFonts w:ascii="Arial" w:cs="Arial" w:eastAsia="Arial" w:hAnsi="Arial"/>
          <w:b w:val="false"/>
          <w:bCs w:val="false"/>
          <w:i w:val="false"/>
          <w:iCs w:val="false"/>
          <w:color w:val="000000"/>
          <w:sz w:val="20"/>
          <w:szCs w:val="20"/>
        </w:rPr>
        <w:t xml:space="preserve">Proposal B compensates Renee for the full cessation of all ALCC business operations — PEO services, recorded statements (FFVA and all other carriers), drug testing, and field investigations. The lump-sum non-compete payment of $4,250,000 reflects both the goodwill value of the PEO client relationships she is being restricted from and the capitalized value of the ancillary income streams she is surrendering.</w:t>
      </w:r>
    </w:p>
    <w:p>
      <w:pPr>
        <w:spacing w:before="0" w:after="0"/>
      </w:pPr>
      <w:r>
        <w:t xml:space="preserve"/>
      </w:r>
    </w:p>
    <w:p>
      <w:pPr>
        <w:pStyle w:val="Heading2"/>
        <w:spacing w:before="240" w:after="80"/>
      </w:pPr>
      <w:r>
        <w:rPr>
          <w:rFonts w:ascii="Arial" w:cs="Arial" w:eastAsia="Arial" w:hAnsi="Arial"/>
          <w:b/>
          <w:bCs/>
          <w:color w:val="1B3A5C"/>
          <w:sz w:val="22"/>
          <w:szCs w:val="22"/>
        </w:rPr>
        <w:t xml:space="preserve">Summary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Term</w:t>
            </w:r>
          </w:p>
        </w:tc>
        <w:tc>
          <w:tcPr>
            <w:tcW w:type="dxa" w:w="636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Detail</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Non-Compete Payment (Lump Sum)</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$4,250,000</w:t>
            </w:r>
          </w:p>
        </w:tc>
      </w:tr>
      <w:tr>
        <w:tc>
          <w:tcPr>
            <w:tcW w:type="dxa" w:w="3000"/>
            <w:tcBorders>
              <w:top w:val="single" w:color="CCCCCC" w:sz="4"/>
              <w:left w:val="single" w:color="CCCCCC" w:sz="4"/>
              <w:bottom w:val="single" w:color="CCCCCC" w:sz="4"/>
              <w:right w:val="single" w:color="CCCCCC" w:sz="4"/>
            </w:tcBorders>
            <w:shd w:fill="EEF4F8" w:val="clear"/>
            <w:tcMar>
              <w:top w:type="dxa" w:w="80"/>
              <w:left w:type="dxa" w:w="120"/>
              <w:bottom w:type="dxa" w:w="80"/>
              <w:right w:type="dxa" w:w="120"/>
            </w:tcMar>
          </w:tcPr>
          <w:p>
            <w:r>
              <w:rPr>
                <w:rFonts w:ascii="Arial" w:cs="Arial" w:eastAsia="Arial" w:hAnsi="Arial"/>
                <w:b w:val="false"/>
                <w:bCs w:val="false"/>
                <w:sz w:val="18"/>
                <w:szCs w:val="18"/>
              </w:rPr>
              <w:t xml:space="preserve">Annual Base Salary</w:t>
            </w:r>
          </w:p>
        </w:tc>
        <w:tc>
          <w:tcPr>
            <w:tcW w:type="dxa" w:w="6360"/>
            <w:tcBorders>
              <w:top w:val="single" w:color="CCCCCC" w:sz="4"/>
              <w:left w:val="single" w:color="CCCCCC" w:sz="4"/>
              <w:bottom w:val="single" w:color="CCCCCC" w:sz="4"/>
              <w:right w:val="single" w:color="CCCCCC" w:sz="4"/>
            </w:tcBorders>
            <w:shd w:fill="EEF4F8" w:val="clear"/>
            <w:tcMar>
              <w:top w:type="dxa" w:w="80"/>
              <w:left w:type="dxa" w:w="120"/>
              <w:bottom w:type="dxa" w:w="80"/>
              <w:right w:type="dxa" w:w="120"/>
            </w:tcMar>
          </w:tcPr>
          <w:p>
            <w:r>
              <w:rPr>
                <w:rFonts w:ascii="Arial" w:cs="Arial" w:eastAsia="Arial" w:hAnsi="Arial"/>
                <w:b w:val="false"/>
                <w:bCs w:val="false"/>
                <w:sz w:val="18"/>
                <w:szCs w:val="18"/>
              </w:rPr>
              <w:t xml:space="preserve">$375,000</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Equity / Incentive Terms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5% equity stake + 3-year vesting schedule</w:t>
            </w:r>
          </w:p>
        </w:tc>
      </w:tr>
      <w:tr>
        <w:tc>
          <w:tcPr>
            <w:tcW w:type="dxa" w:w="3000"/>
            <w:tcBorders>
              <w:top w:val="single" w:color="CCCCCC" w:sz="4"/>
              <w:left w:val="single" w:color="CCCCCC" w:sz="4"/>
              <w:bottom w:val="single" w:color="CCCCCC" w:sz="4"/>
              <w:right w:val="single" w:color="CCCCCC" w:sz="4"/>
            </w:tcBorders>
            <w:shd w:fill="EEF4F8" w:val="clear"/>
            <w:tcMar>
              <w:top w:type="dxa" w:w="80"/>
              <w:left w:type="dxa" w:w="120"/>
              <w:bottom w:type="dxa" w:w="80"/>
              <w:right w:type="dxa" w:w="120"/>
            </w:tcMar>
          </w:tcPr>
          <w:p>
            <w:r>
              <w:rPr>
                <w:rFonts w:ascii="Arial" w:cs="Arial" w:eastAsia="Arial" w:hAnsi="Arial"/>
                <w:b w:val="false"/>
                <w:bCs w:val="false"/>
                <w:sz w:val="18"/>
                <w:szCs w:val="18"/>
              </w:rPr>
              <w:t xml:space="preserve">Performance Bonus</w:t>
            </w:r>
          </w:p>
        </w:tc>
        <w:tc>
          <w:tcPr>
            <w:tcW w:type="dxa" w:w="6360"/>
            <w:tcBorders>
              <w:top w:val="single" w:color="CCCCCC" w:sz="4"/>
              <w:left w:val="single" w:color="CCCCCC" w:sz="4"/>
              <w:bottom w:val="single" w:color="CCCCCC" w:sz="4"/>
              <w:right w:val="single" w:color="CCCCCC" w:sz="4"/>
            </w:tcBorders>
            <w:shd w:fill="EEF4F8" w:val="clear"/>
            <w:tcMar>
              <w:top w:type="dxa" w:w="80"/>
              <w:left w:type="dxa" w:w="120"/>
              <w:bottom w:type="dxa" w:w="80"/>
              <w:right w:type="dxa" w:w="120"/>
            </w:tcMar>
          </w:tcPr>
          <w:p>
            <w:r>
              <w:rPr>
                <w:rFonts w:ascii="Arial" w:cs="Arial" w:eastAsia="Arial" w:hAnsi="Arial"/>
                <w:b w:val="false"/>
                <w:bCs w:val="false"/>
                <w:sz w:val="18"/>
                <w:szCs w:val="18"/>
              </w:rPr>
              <w:t xml:space="preserve">Annual bonus tied to claims portfolio management outcomes (target: 10–15% of base)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Employment Term</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Minimum 3-year agreement; renewable by mutual consent; cause-only termination</w:t>
            </w:r>
          </w:p>
        </w:tc>
      </w:tr>
      <w:tr>
        <w:tc>
          <w:tcPr>
            <w:tcW w:type="dxa" w:w="3000"/>
            <w:tcBorders>
              <w:top w:val="single" w:color="CCCCCC" w:sz="4"/>
              <w:left w:val="single" w:color="CCCCCC" w:sz="4"/>
              <w:bottom w:val="single" w:color="CCCCCC" w:sz="4"/>
              <w:right w:val="single" w:color="CCCCCC" w:sz="4"/>
            </w:tcBorders>
            <w:shd w:fill="EEF4F8" w:val="clear"/>
            <w:tcMar>
              <w:top w:type="dxa" w:w="80"/>
              <w:left w:type="dxa" w:w="120"/>
              <w:bottom w:type="dxa" w:w="80"/>
              <w:right w:type="dxa" w:w="120"/>
            </w:tcMar>
          </w:tcPr>
          <w:p>
            <w:r>
              <w:rPr>
                <w:rFonts w:ascii="Arial" w:cs="Arial" w:eastAsia="Arial" w:hAnsi="Arial"/>
                <w:b w:val="false"/>
                <w:bCs w:val="false"/>
                <w:sz w:val="18"/>
                <w:szCs w:val="18"/>
              </w:rPr>
              <w:t xml:space="preserve">Benefits</w:t>
            </w:r>
          </w:p>
        </w:tc>
        <w:tc>
          <w:tcPr>
            <w:tcW w:type="dxa" w:w="6360"/>
            <w:tcBorders>
              <w:top w:val="single" w:color="CCCCCC" w:sz="4"/>
              <w:left w:val="single" w:color="CCCCCC" w:sz="4"/>
              <w:bottom w:val="single" w:color="CCCCCC" w:sz="4"/>
              <w:right w:val="single" w:color="CCCCCC" w:sz="4"/>
            </w:tcBorders>
            <w:shd w:fill="EEF4F8" w:val="clear"/>
            <w:tcMar>
              <w:top w:type="dxa" w:w="80"/>
              <w:left w:type="dxa" w:w="120"/>
              <w:bottom w:type="dxa" w:w="80"/>
              <w:right w:type="dxa" w:w="120"/>
            </w:tcMar>
          </w:tcPr>
          <w:p>
            <w:r>
              <w:rPr>
                <w:rFonts w:ascii="Arial" w:cs="Arial" w:eastAsia="Arial" w:hAnsi="Arial"/>
                <w:b w:val="false"/>
                <w:bCs w:val="false"/>
                <w:sz w:val="18"/>
                <w:szCs w:val="18"/>
              </w:rPr>
              <w:t xml:space="preserve">Senior executive package: health, dental, vision, retirement</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Non-Compete Scope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PEO claims services + recorded statements + drug testing + field investigations</w:t>
            </w:r>
          </w:p>
        </w:tc>
      </w:tr>
      <w:tr>
        <w:tc>
          <w:tcPr>
            <w:tcW w:type="dxa" w:w="3000"/>
            <w:tcBorders>
              <w:top w:val="single" w:color="CCCCCC" w:sz="4"/>
              <w:left w:val="single" w:color="CCCCCC" w:sz="4"/>
              <w:bottom w:val="single" w:color="CCCCCC" w:sz="4"/>
              <w:right w:val="single" w:color="CCCCCC" w:sz="4"/>
            </w:tcBorders>
            <w:shd w:fill="EEF4F8" w:val="clear"/>
            <w:tcMar>
              <w:top w:type="dxa" w:w="80"/>
              <w:left w:type="dxa" w:w="120"/>
              <w:bottom w:type="dxa" w:w="80"/>
              <w:right w:type="dxa" w:w="120"/>
            </w:tcMar>
          </w:tcPr>
          <w:p>
            <w:r>
              <w:rPr>
                <w:rFonts w:ascii="Arial" w:cs="Arial" w:eastAsia="Arial" w:hAnsi="Arial"/>
                <w:b w:val="false"/>
                <w:bCs w:val="false"/>
                <w:sz w:val="18"/>
                <w:szCs w:val="18"/>
              </w:rPr>
              <w:t xml:space="preserve">Non-Compete Duration</w:t>
            </w:r>
          </w:p>
        </w:tc>
        <w:tc>
          <w:tcPr>
            <w:tcW w:type="dxa" w:w="6360"/>
            <w:tcBorders>
              <w:top w:val="single" w:color="CCCCCC" w:sz="4"/>
              <w:left w:val="single" w:color="CCCCCC" w:sz="4"/>
              <w:bottom w:val="single" w:color="CCCCCC" w:sz="4"/>
              <w:right w:val="single" w:color="CCCCCC" w:sz="4"/>
            </w:tcBorders>
            <w:shd w:fill="EEF4F8" w:val="clear"/>
            <w:tcMar>
              <w:top w:type="dxa" w:w="80"/>
              <w:left w:type="dxa" w:w="120"/>
              <w:bottom w:type="dxa" w:w="80"/>
              <w:right w:type="dxa" w:w="120"/>
            </w:tcMar>
          </w:tcPr>
          <w:p>
            <w:r>
              <w:rPr>
                <w:rFonts w:ascii="Arial" w:cs="Arial" w:eastAsia="Arial" w:hAnsi="Arial"/>
                <w:b w:val="false"/>
                <w:bCs w:val="false"/>
                <w:sz w:val="18"/>
                <w:szCs w:val="18"/>
              </w:rPr>
              <w:t xml:space="preserve">5 years from closing; geographic scope: all jurisdictions where ALCC currently operates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Renee Retains ALCC</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 — ALCC may retain its legal entity but Renee is prohibited from operating or directing competing services</w:t>
            </w:r>
          </w:p>
        </w:tc>
      </w:tr>
      <w:tr>
        <w:tc>
          <w:tcPr>
            <w:tcW w:type="dxa" w:w="3000"/>
            <w:tcBorders>
              <w:top w:val="single" w:color="CCCCCC" w:sz="4"/>
              <w:left w:val="single" w:color="CCCCCC" w:sz="4"/>
              <w:bottom w:val="single" w:color="CCCCCC" w:sz="4"/>
              <w:right w:val="single" w:color="CCCCCC" w:sz="4"/>
            </w:tcBorders>
            <w:shd w:fill="EEF4F8" w:val="clear"/>
            <w:tcMar>
              <w:top w:type="dxa" w:w="80"/>
              <w:left w:type="dxa" w:w="120"/>
              <w:bottom w:type="dxa" w:w="80"/>
              <w:right w:type="dxa" w:w="120"/>
            </w:tcMar>
          </w:tcPr>
          <w:p>
            <w:r>
              <w:rPr>
                <w:rFonts w:ascii="Arial" w:cs="Arial" w:eastAsia="Arial" w:hAnsi="Arial"/>
                <w:b w:val="false"/>
                <w:bCs w:val="false"/>
                <w:sz w:val="18"/>
                <w:szCs w:val="18"/>
              </w:rPr>
              <w:t xml:space="preserve">Referral Fee</w:t>
            </w:r>
          </w:p>
        </w:tc>
        <w:tc>
          <w:tcPr>
            <w:tcW w:type="dxa" w:w="6360"/>
            <w:tcBorders>
              <w:top w:val="single" w:color="CCCCCC" w:sz="4"/>
              <w:left w:val="single" w:color="CCCCCC" w:sz="4"/>
              <w:bottom w:val="single" w:color="CCCCCC" w:sz="4"/>
              <w:right w:val="single" w:color="CCCCCC" w:sz="4"/>
            </w:tcBorders>
            <w:shd w:fill="EEF4F8" w:val="clear"/>
            <w:tcMar>
              <w:top w:type="dxa" w:w="80"/>
              <w:left w:type="dxa" w:w="120"/>
              <w:bottom w:type="dxa" w:w="80"/>
              <w:right w:type="dxa" w:w="120"/>
            </w:tcMar>
          </w:tcPr>
          <w:p>
            <w:r>
              <w:rPr>
                <w:rFonts w:ascii="Arial" w:cs="Arial" w:eastAsia="Arial" w:hAnsi="Arial"/>
                <w:b w:val="false"/>
                <w:bCs w:val="false"/>
                <w:sz w:val="18"/>
                <w:szCs w:val="18"/>
              </w:rPr>
              <w:t xml:space="preserve">5% of acquisition consideration if any existing ALCC PEO client sells to Docks within 5 years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Signing Bonus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Included in non-compete payment structure — no additional signing bonus at this tier</w:t>
            </w:r>
          </w:p>
        </w:tc>
      </w:tr>
      <w:tr>
        <w:tc>
          <w:tcPr>
            <w:tcW w:type="dxa" w:w="3000"/>
            <w:tcBorders>
              <w:top w:val="single" w:color="CCCCCC" w:sz="4"/>
              <w:left w:val="single" w:color="CCCCCC" w:sz="4"/>
              <w:bottom w:val="single" w:color="CCCCCC" w:sz="4"/>
              <w:right w:val="single" w:color="CCCCCC" w:sz="4"/>
            </w:tcBorders>
            <w:shd w:fill="EEF4F8" w:val="clear"/>
            <w:tcMar>
              <w:top w:type="dxa" w:w="80"/>
              <w:left w:type="dxa" w:w="120"/>
              <w:bottom w:type="dxa" w:w="80"/>
              <w:right w:type="dxa" w:w="120"/>
            </w:tcMar>
          </w:tcPr>
          <w:p>
            <w:r>
              <w:rPr>
                <w:rFonts w:ascii="Arial" w:cs="Arial" w:eastAsia="Arial" w:hAnsi="Arial"/>
                <w:b w:val="false"/>
                <w:bCs w:val="false"/>
                <w:sz w:val="18"/>
                <w:szCs w:val="18"/>
              </w:rPr>
              <w:t xml:space="preserve">Buyer Integration Support</w:t>
            </w:r>
          </w:p>
        </w:tc>
        <w:tc>
          <w:tcPr>
            <w:tcW w:type="dxa" w:w="6360"/>
            <w:tcBorders>
              <w:top w:val="single" w:color="CCCCCC" w:sz="4"/>
              <w:left w:val="single" w:color="CCCCCC" w:sz="4"/>
              <w:bottom w:val="single" w:color="CCCCCC" w:sz="4"/>
              <w:right w:val="single" w:color="CCCCCC" w:sz="4"/>
            </w:tcBorders>
            <w:shd w:fill="EEF4F8" w:val="clear"/>
            <w:tcMar>
              <w:top w:type="dxa" w:w="80"/>
              <w:left w:type="dxa" w:w="120"/>
              <w:bottom w:type="dxa" w:w="80"/>
              <w:right w:type="dxa" w:w="120"/>
            </w:tcMar>
          </w:tcPr>
          <w:p>
            <w:r>
              <w:rPr>
                <w:rFonts w:ascii="Arial" w:cs="Arial" w:eastAsia="Arial" w:hAnsi="Arial"/>
                <w:b w:val="false"/>
                <w:bCs w:val="false"/>
                <w:sz w:val="18"/>
                <w:szCs w:val="18"/>
              </w:rPr>
              <w:t xml:space="preserve">Buyer to provide organizational onboarding support for all newly acquired PEOs within 24 months post-closing</w:t>
            </w:r>
          </w:p>
        </w:tc>
      </w:tr>
    </w:tbl>
    <w:p>
      <w:pPr>
        <w:spacing w:before="0" w:after="0"/>
      </w:pPr>
      <w:r>
        <w:t xml:space="preserve"/>
      </w:r>
    </w:p>
    <w:p>
      <w:pPr>
        <w:pStyle w:val="Heading2"/>
        <w:spacing w:before="240" w:after="80"/>
      </w:pPr>
      <w:r>
        <w:rPr>
          <w:rFonts w:ascii="Arial" w:cs="Arial" w:eastAsia="Arial" w:hAnsi="Arial"/>
          <w:b/>
          <w:bCs/>
          <w:color w:val="1B3A5C"/>
          <w:sz w:val="22"/>
          <w:szCs w:val="22"/>
        </w:rPr>
        <w:t xml:space="preserve">Non-Compete Payment Breakdown — Proposal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Income Stream Restricted</w:t>
            </w:r>
          </w:p>
        </w:tc>
        <w:tc>
          <w:tcPr>
            <w:tcW w:type="dxa" w:w="586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Compensation Basis</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PEO Claims Services — $541,200 ARR</w:t>
            </w:r>
          </w:p>
        </w:tc>
        <w:tc>
          <w:tcPr>
            <w:tcW w:type="dxa" w:w="5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6.0x ARR = $3,247,200 (comparable to Proposal A purchase price in v4; now structured as non-compete payment rather than client contract purchase)</w:t>
            </w:r>
          </w:p>
        </w:tc>
      </w:tr>
      <w:tr>
        <w:tc>
          <w:tcPr>
            <w:tcW w:type="dxa" w:w="3500"/>
            <w:tcBorders>
              <w:top w:val="single" w:color="CCCCCC" w:sz="4"/>
              <w:left w:val="single" w:color="CCCCCC" w:sz="4"/>
              <w:bottom w:val="single" w:color="CCCCCC" w:sz="4"/>
              <w:right w:val="single" w:color="CCCCCC" w:sz="4"/>
            </w:tcBorders>
            <w:shd w:fill="EEF4F8" w:val="clear"/>
            <w:tcMar>
              <w:top w:type="dxa" w:w="80"/>
              <w:left w:type="dxa" w:w="120"/>
              <w:bottom w:type="dxa" w:w="80"/>
              <w:right w:type="dxa" w:w="120"/>
            </w:tcMar>
          </w:tcPr>
          <w:p>
            <w:r>
              <w:rPr>
                <w:rFonts w:ascii="Arial" w:cs="Arial" w:eastAsia="Arial" w:hAnsi="Arial"/>
                <w:b w:val="false"/>
                <w:bCs w:val="false"/>
                <w:sz w:val="18"/>
                <w:szCs w:val="18"/>
              </w:rPr>
              <w:t xml:space="preserve">Recorded Statements (FFVA + Carriers) — $82,000–$92,000/yr avg</w:t>
            </w:r>
          </w:p>
        </w:tc>
        <w:tc>
          <w:tcPr>
            <w:tcW w:type="dxa" w:w="5860"/>
            <w:tcBorders>
              <w:top w:val="single" w:color="CCCCCC" w:sz="4"/>
              <w:left w:val="single" w:color="CCCCCC" w:sz="4"/>
              <w:bottom w:val="single" w:color="CCCCCC" w:sz="4"/>
              <w:right w:val="single" w:color="CCCCCC" w:sz="4"/>
            </w:tcBorders>
            <w:shd w:fill="EEF4F8" w:val="clear"/>
            <w:tcMar>
              <w:top w:type="dxa" w:w="80"/>
              <w:left w:type="dxa" w:w="120"/>
              <w:bottom w:type="dxa" w:w="80"/>
              <w:right w:type="dxa" w:w="120"/>
            </w:tcMar>
          </w:tcPr>
          <w:p>
            <w:r>
              <w:rPr>
                <w:rFonts w:ascii="Arial" w:cs="Arial" w:eastAsia="Arial" w:hAnsi="Arial"/>
                <w:b w:val="false"/>
                <w:bCs w:val="false"/>
                <w:sz w:val="18"/>
                <w:szCs w:val="18"/>
              </w:rPr>
              <w:t xml:space="preserve">3-year capitalization at $87,000 avg = $261,000</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Drug Testing &amp; Field Investigations — $100,000–$200,000/yr</w:t>
            </w:r>
          </w:p>
        </w:tc>
        <w:tc>
          <w:tcPr>
            <w:tcW w:type="dxa" w:w="5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3-year capitalization at $150,000 avg = $450,000; partially absorbed in the blended non-compete payment</w:t>
            </w:r>
          </w:p>
        </w:tc>
      </w:tr>
      <w:tr>
        <w:tc>
          <w:tcPr>
            <w:tcW w:type="dxa" w:w="3500"/>
            <w:tcBorders>
              <w:top w:val="single" w:color="CCCCCC" w:sz="4"/>
              <w:left w:val="single" w:color="CCCCCC" w:sz="4"/>
              <w:bottom w:val="single" w:color="CCCCCC" w:sz="4"/>
              <w:right w:val="single" w:color="CCCCCC" w:sz="4"/>
            </w:tcBorders>
            <w:shd w:fill="EEF4F8" w:val="clear"/>
            <w:tcMar>
              <w:top w:type="dxa" w:w="80"/>
              <w:left w:type="dxa" w:w="120"/>
              <w:bottom w:type="dxa" w:w="80"/>
              <w:right w:type="dxa" w:w="120"/>
            </w:tcMar>
          </w:tcPr>
          <w:p>
            <w:r>
              <w:rPr>
                <w:rFonts w:ascii="Arial" w:cs="Arial" w:eastAsia="Arial" w:hAnsi="Arial"/>
                <w:b w:val="false"/>
                <w:bCs w:val="false"/>
                <w:sz w:val="18"/>
                <w:szCs w:val="18"/>
              </w:rPr>
              <w:t xml:space="preserve">Entrepreneurial Freedom Premium</w:t>
            </w:r>
          </w:p>
        </w:tc>
        <w:tc>
          <w:tcPr>
            <w:tcW w:type="dxa" w:w="5860"/>
            <w:tcBorders>
              <w:top w:val="single" w:color="CCCCCC" w:sz="4"/>
              <w:left w:val="single" w:color="CCCCCC" w:sz="4"/>
              <w:bottom w:val="single" w:color="CCCCCC" w:sz="4"/>
              <w:right w:val="single" w:color="CCCCCC" w:sz="4"/>
            </w:tcBorders>
            <w:shd w:fill="EEF4F8" w:val="clear"/>
            <w:tcMar>
              <w:top w:type="dxa" w:w="80"/>
              <w:left w:type="dxa" w:w="120"/>
              <w:bottom w:type="dxa" w:w="80"/>
              <w:right w:type="dxa" w:w="120"/>
            </w:tcMar>
          </w:tcPr>
          <w:p>
            <w:r>
              <w:rPr>
                <w:rFonts w:ascii="Arial" w:cs="Arial" w:eastAsia="Arial" w:hAnsi="Arial"/>
                <w:b w:val="false"/>
                <w:bCs w:val="false"/>
                <w:sz w:val="18"/>
                <w:szCs w:val="18"/>
              </w:rPr>
              <w:t xml:space="preserve">Premium for relinquishing optionality and independent business control; embedded in the overall $4,250,000 figure</w:t>
            </w:r>
          </w:p>
        </w:tc>
      </w:tr>
      <w:tr>
        <w:tc>
          <w:tcPr>
            <w:tcW w:type="dxa" w:w="3500"/>
            <w:tcBorders>
              <w:top w:val="single" w:color="C8922A" w:sz="4"/>
              <w:left w:val="single" w:color="C8922A" w:sz="4"/>
              <w:bottom w:val="single" w:color="C8922A" w:sz="4"/>
              <w:right w:val="single" w:color="C8922A" w:sz="4"/>
            </w:tcBorders>
            <w:shd w:fill="FFF3DC" w:val="clear"/>
            <w:tcMar>
              <w:top w:type="dxa" w:w="80"/>
              <w:left w:type="dxa" w:w="120"/>
              <w:bottom w:type="dxa" w:w="80"/>
              <w:right w:type="dxa" w:w="120"/>
            </w:tcMar>
          </w:tcPr>
          <w:p>
            <w:r>
              <w:rPr>
                <w:rFonts w:ascii="Arial" w:cs="Arial" w:eastAsia="Arial" w:hAnsi="Arial"/>
                <w:b/>
                <w:bCs/>
                <w:sz w:val="18"/>
                <w:szCs w:val="18"/>
              </w:rPr>
              <w:t xml:space="preserve">TOTAL NON-COMPETE PAYMENT</w:t>
            </w:r>
          </w:p>
        </w:tc>
        <w:tc>
          <w:tcPr>
            <w:tcW w:type="dxa" w:w="5860"/>
            <w:tcBorders>
              <w:top w:val="single" w:color="C8922A" w:sz="4"/>
              <w:left w:val="single" w:color="C8922A" w:sz="4"/>
              <w:bottom w:val="single" w:color="C8922A" w:sz="4"/>
              <w:right w:val="single" w:color="C8922A" w:sz="4"/>
            </w:tcBorders>
            <w:shd w:fill="FFF3DC" w:val="clear"/>
            <w:tcMar>
              <w:top w:type="dxa" w:w="80"/>
              <w:left w:type="dxa" w:w="120"/>
              <w:bottom w:type="dxa" w:w="80"/>
              <w:right w:type="dxa" w:w="120"/>
            </w:tcMar>
          </w:tcPr>
          <w:p>
            <w:r>
              <w:rPr>
                <w:rFonts w:ascii="Arial" w:cs="Arial" w:eastAsia="Arial" w:hAnsi="Arial"/>
                <w:b/>
                <w:bCs/>
                <w:sz w:val="18"/>
                <w:szCs w:val="18"/>
              </w:rPr>
              <w:t xml:space="preserve">$4,250,000</w:t>
            </w:r>
          </w:p>
        </w:tc>
      </w:tr>
    </w:tbl>
    <w:p>
      <w:pPr>
        <w:spacing w:before="0" w:after="0"/>
      </w:pPr>
      <w:r>
        <w:t xml:space="preserve"/>
      </w:r>
    </w:p>
    <w:p>
      <w:pPr>
        <w:pStyle w:val="Heading2"/>
        <w:spacing w:before="240" w:after="80"/>
      </w:pPr>
      <w:r>
        <w:rPr>
          <w:rFonts w:ascii="Arial" w:cs="Arial" w:eastAsia="Arial" w:hAnsi="Arial"/>
          <w:b/>
          <w:bCs/>
          <w:color w:val="1B3A5C"/>
          <w:sz w:val="22"/>
          <w:szCs w:val="22"/>
        </w:rPr>
        <w:t xml:space="preserve">Renee's Post-Arrangement Time Allocation — Phased Evolution</w:t>
      </w:r>
    </w:p>
    <w:p>
      <w:pPr>
        <w:spacing w:before="60" w:after="60"/>
        <w:jc w:val="left"/>
      </w:pPr>
      <w:r>
        <w:rPr>
          <w:rFonts w:ascii="Arial" w:cs="Arial" w:eastAsia="Arial" w:hAnsi="Arial"/>
          <w:b w:val="false"/>
          <w:bCs w:val="false"/>
          <w:i w:val="false"/>
          <w:iCs w:val="false"/>
          <w:color w:val="000000"/>
          <w:sz w:val="20"/>
          <w:szCs w:val="20"/>
        </w:rPr>
        <w:t xml:space="preserve">Under Proposals B and C, Renee's transition from legacy portfolio stewardship to full national portfolio focus follows a deliberate 12-month phased timeline: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3160"/>
      </w:tblGrid>
      <w:tr>
        <w:tc>
          <w:tcPr>
            <w:tcW w:type="dxa" w:w="220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Phase</w:t>
            </w:r>
          </w:p>
        </w:tc>
        <w:tc>
          <w:tcPr>
            <w:tcW w:type="dxa" w:w="200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Legacy Portfolio</w:t>
            </w:r>
          </w:p>
        </w:tc>
        <w:tc>
          <w:tcPr>
            <w:tcW w:type="dxa" w:w="200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National Build-Out</w:t>
            </w:r>
          </w:p>
        </w:tc>
        <w:tc>
          <w:tcPr>
            <w:tcW w:type="dxa" w:w="316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Primary Objective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Months 1–3
(Pre-Employment Transition)</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70–80%</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20–30%</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Full SOP documentation; all 10 client files transferred to support staff protocols</w:t>
            </w:r>
          </w:p>
        </w:tc>
      </w:tr>
      <w:tr>
        <w:tc>
          <w:tcPr>
            <w:tcW w:type="dxa" w:w="2200"/>
            <w:tcBorders>
              <w:top w:val="single" w:color="CCCCCC" w:sz="4"/>
              <w:left w:val="single" w:color="CCCCCC" w:sz="4"/>
              <w:bottom w:val="single" w:color="CCCCCC" w:sz="4"/>
              <w:right w:val="single" w:color="CCCCCC" w:sz="4"/>
            </w:tcBorders>
            <w:shd w:fill="EEF4F8" w:val="clear"/>
            <w:tcMar>
              <w:top w:type="dxa" w:w="80"/>
              <w:left w:type="dxa" w:w="120"/>
              <w:bottom w:type="dxa" w:w="80"/>
              <w:right w:type="dxa" w:w="120"/>
            </w:tcMar>
          </w:tcPr>
          <w:p>
            <w:pPr>
              <w:jc w:val="left"/>
            </w:pPr>
            <w:r>
              <w:rPr>
                <w:rFonts w:ascii="Arial" w:cs="Arial" w:eastAsia="Arial" w:hAnsi="Arial"/>
                <w:sz w:val="18"/>
                <w:szCs w:val="18"/>
              </w:rPr>
              <w:t xml:space="preserve">Months 4–12
(Stabilization)</w:t>
            </w:r>
          </w:p>
        </w:tc>
        <w:tc>
          <w:tcPr>
            <w:tcW w:type="dxa" w:w="2000"/>
            <w:tcBorders>
              <w:top w:val="single" w:color="CCCCCC" w:sz="4"/>
              <w:left w:val="single" w:color="CCCCCC" w:sz="4"/>
              <w:bottom w:val="single" w:color="CCCCCC" w:sz="4"/>
              <w:right w:val="single" w:color="CCCCCC" w:sz="4"/>
            </w:tcBorders>
            <w:shd w:fill="EEF4F8" w:val="clear"/>
            <w:tcMar>
              <w:top w:type="dxa" w:w="80"/>
              <w:left w:type="dxa" w:w="120"/>
              <w:bottom w:type="dxa" w:w="80"/>
              <w:right w:type="dxa" w:w="120"/>
            </w:tcMar>
          </w:tcPr>
          <w:p>
            <w:pPr>
              <w:jc w:val="center"/>
            </w:pPr>
            <w:r>
              <w:rPr>
                <w:rFonts w:ascii="Arial" w:cs="Arial" w:eastAsia="Arial" w:hAnsi="Arial"/>
                <w:sz w:val="18"/>
                <w:szCs w:val="18"/>
              </w:rPr>
              <w:t xml:space="preserve">20–30%</w:t>
            </w:r>
          </w:p>
        </w:tc>
        <w:tc>
          <w:tcPr>
            <w:tcW w:type="dxa" w:w="2000"/>
            <w:tcBorders>
              <w:top w:val="single" w:color="CCCCCC" w:sz="4"/>
              <w:left w:val="single" w:color="CCCCCC" w:sz="4"/>
              <w:bottom w:val="single" w:color="CCCCCC" w:sz="4"/>
              <w:right w:val="single" w:color="CCCCCC" w:sz="4"/>
            </w:tcBorders>
            <w:shd w:fill="EEF4F8" w:val="clear"/>
            <w:tcMar>
              <w:top w:type="dxa" w:w="80"/>
              <w:left w:type="dxa" w:w="120"/>
              <w:bottom w:type="dxa" w:w="80"/>
              <w:right w:type="dxa" w:w="120"/>
            </w:tcMar>
          </w:tcPr>
          <w:p>
            <w:pPr>
              <w:jc w:val="center"/>
            </w:pPr>
            <w:r>
              <w:rPr>
                <w:rFonts w:ascii="Arial" w:cs="Arial" w:eastAsia="Arial" w:hAnsi="Arial"/>
                <w:sz w:val="18"/>
                <w:szCs w:val="18"/>
              </w:rPr>
              <w:t xml:space="preserve">70–80%</w:t>
            </w:r>
          </w:p>
        </w:tc>
        <w:tc>
          <w:tcPr>
            <w:tcW w:type="dxa" w:w="3160"/>
            <w:tcBorders>
              <w:top w:val="single" w:color="CCCCCC" w:sz="4"/>
              <w:left w:val="single" w:color="CCCCCC" w:sz="4"/>
              <w:bottom w:val="single" w:color="CCCCCC" w:sz="4"/>
              <w:right w:val="single" w:color="CCCCCC" w:sz="4"/>
            </w:tcBorders>
            <w:shd w:fill="EEF4F8" w:val="clear"/>
            <w:tcMar>
              <w:top w:type="dxa" w:w="80"/>
              <w:left w:type="dxa" w:w="120"/>
              <w:bottom w:type="dxa" w:w="80"/>
              <w:right w:type="dxa" w:w="120"/>
            </w:tcMar>
          </w:tcPr>
          <w:p>
            <w:pPr>
              <w:jc w:val="left"/>
            </w:pPr>
            <w:r>
              <w:rPr>
                <w:rFonts w:ascii="Arial" w:cs="Arial" w:eastAsia="Arial" w:hAnsi="Arial"/>
                <w:sz w:val="18"/>
                <w:szCs w:val="18"/>
              </w:rPr>
              <w:t xml:space="preserve">Support staff takes full day-to-day ownership; Renee handles escalations and relationship oversight only</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Month 12+
(Ongoing)</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&lt; 10%</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&gt; 90%</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Renee fully focused on buyer's national vision; legacy portfolio runs on the system she built</w:t>
            </w:r>
          </w:p>
        </w:tc>
      </w:tr>
    </w:tbl>
    <w:p>
      <w:pPr>
        <w:spacing w:before="0" w:after="0"/>
      </w:pPr>
      <w:r>
        <w:t xml:space="preserve"/>
      </w:r>
    </w:p>
    <w:p>
      <w:pPr>
        <w:pBdr>
          <w:top w:val="single" w:color="C8922A" w:sz="4"/>
          <w:bottom w:val="single" w:color="C8922A" w:sz="4"/>
          <w:left w:val="thick" w:color="C8922A" w:sz="12"/>
          <w:right w:val="none" w:color="FFFFFF" w:sz="0"/>
        </w:pBdr>
        <w:spacing w:before="120" w:after="120"/>
        <w:ind w:left="360" w:right="360"/>
      </w:pPr>
      <w:r>
        <w:rPr>
          <w:rFonts w:ascii="Arial" w:cs="Arial" w:eastAsia="Arial" w:hAnsi="Arial"/>
          <w:b/>
          <w:bCs/>
          <w:i/>
          <w:iCs/>
          <w:color w:val="1B3A5C"/>
          <w:sz w:val="20"/>
          <w:szCs w:val="20"/>
        </w:rPr>
        <w:t xml:space="preserve">By Month 12, Docks Sutherland has what he is paying for: a senior executive fully focused on building the national claims infrastructure. The transition period is specifically designed to make this handoff clean, documented, and permanent.</w:t>
      </w:r>
    </w:p>
    <w:p>
      <w:pPr>
        <w:spacing w:before="0" w:after="0"/>
      </w:pPr>
      <w:r>
        <w:t xml:space="preserve"/>
      </w:r>
    </w:p>
    <w:p>
      <w:r>
        <w:br w:type="page"/>
      </w:r>
    </w:p>
    <w:p>
      <w:pPr>
        <w:pStyle w:val="Heading1"/>
        <w:pBdr>
          <w:bottom w:val="single" w:color="C8922A" w:sz="6" w:space="4"/>
        </w:pBdr>
        <w:spacing w:before="360" w:after="120"/>
      </w:pPr>
      <w:r>
        <w:rPr>
          <w:rFonts w:ascii="Arial" w:cs="Arial" w:eastAsia="Arial" w:hAnsi="Arial"/>
          <w:b/>
          <w:bCs/>
          <w:color w:val="1B3A5C"/>
          <w:sz w:val="28"/>
          <w:szCs w:val="28"/>
        </w:rPr>
        <w:t xml:space="preserve">9.  PROPOSAL C — FULL NON-COMPETE (STRATEGIC PREMIUM)</w:t>
      </w:r>
    </w:p>
    <w:p>
      <w:pPr>
        <w:spacing w:before="60" w:after="120"/>
      </w:pPr>
      <w:r>
        <w:rPr>
          <w:rFonts w:ascii="Arial" w:cs="Arial" w:eastAsia="Arial" w:hAnsi="Arial"/>
          <w:i/>
          <w:iCs/>
          <w:color w:val="C8922A"/>
          <w:sz w:val="20"/>
          <w:szCs w:val="20"/>
        </w:rPr>
        <w:t xml:space="preserve">Non-Compete Payment: $5,750,000 | Annual Salary: $425,000 | Equity: 8% + Participation Rights</w:t>
      </w:r>
    </w:p>
    <w:p>
      <w:pPr>
        <w:spacing w:before="60" w:after="60"/>
        <w:jc w:val="left"/>
      </w:pPr>
      <w:r>
        <w:rPr>
          <w:rFonts w:ascii="Arial" w:cs="Arial" w:eastAsia="Arial" w:hAnsi="Arial"/>
          <w:b w:val="false"/>
          <w:bCs w:val="false"/>
          <w:i w:val="false"/>
          <w:iCs w:val="false"/>
          <w:color w:val="000000"/>
          <w:sz w:val="20"/>
          <w:szCs w:val="20"/>
        </w:rPr>
        <w:t xml:space="preserve">Proposal C is the full strategic premium — reflecting niche market expertise, a proven performance record inside the buyer's own portfolio, first-mover advantage in centralizing PEO claims infrastructure nationally, and the full cessation of all of Renee's independent business activities. The EBITDA multiple of 11.9x on the PEO division's post-arrangement profitability is consistent with PE pricing for high-quality niche service businesses with defensible competitive positions.</w:t>
      </w:r>
    </w:p>
    <w:p>
      <w:pPr>
        <w:spacing w:before="0" w:after="0"/>
      </w:pPr>
      <w:r>
        <w:t xml:space="preserve"/>
      </w:r>
    </w:p>
    <w:p>
      <w:pPr>
        <w:pStyle w:val="Heading2"/>
        <w:spacing w:before="240" w:after="80"/>
      </w:pPr>
      <w:r>
        <w:rPr>
          <w:rFonts w:ascii="Arial" w:cs="Arial" w:eastAsia="Arial" w:hAnsi="Arial"/>
          <w:b/>
          <w:bCs/>
          <w:color w:val="1B3A5C"/>
          <w:sz w:val="22"/>
          <w:szCs w:val="22"/>
        </w:rPr>
        <w:t xml:space="preserve">Summary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Term</w:t>
            </w:r>
          </w:p>
        </w:tc>
        <w:tc>
          <w:tcPr>
            <w:tcW w:type="dxa" w:w="636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Detail</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Non-Compete Payment (Lump Sum)</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$5,750,000</w:t>
            </w:r>
          </w:p>
        </w:tc>
      </w:tr>
      <w:tr>
        <w:tc>
          <w:tcPr>
            <w:tcW w:type="dxa" w:w="3000"/>
            <w:tcBorders>
              <w:top w:val="single" w:color="CCCCCC" w:sz="4"/>
              <w:left w:val="single" w:color="CCCCCC" w:sz="4"/>
              <w:bottom w:val="single" w:color="CCCCCC" w:sz="4"/>
              <w:right w:val="single" w:color="CCCCCC" w:sz="4"/>
            </w:tcBorders>
            <w:shd w:fill="EEF4F8" w:val="clear"/>
            <w:tcMar>
              <w:top w:type="dxa" w:w="80"/>
              <w:left w:type="dxa" w:w="120"/>
              <w:bottom w:type="dxa" w:w="80"/>
              <w:right w:type="dxa" w:w="120"/>
            </w:tcMar>
          </w:tcPr>
          <w:p>
            <w:r>
              <w:rPr>
                <w:rFonts w:ascii="Arial" w:cs="Arial" w:eastAsia="Arial" w:hAnsi="Arial"/>
                <w:b w:val="false"/>
                <w:bCs w:val="false"/>
                <w:sz w:val="18"/>
                <w:szCs w:val="18"/>
              </w:rPr>
              <w:t xml:space="preserve">Annual Base Salary</w:t>
            </w:r>
          </w:p>
        </w:tc>
        <w:tc>
          <w:tcPr>
            <w:tcW w:type="dxa" w:w="6360"/>
            <w:tcBorders>
              <w:top w:val="single" w:color="CCCCCC" w:sz="4"/>
              <w:left w:val="single" w:color="CCCCCC" w:sz="4"/>
              <w:bottom w:val="single" w:color="CCCCCC" w:sz="4"/>
              <w:right w:val="single" w:color="CCCCCC" w:sz="4"/>
            </w:tcBorders>
            <w:shd w:fill="EEF4F8" w:val="clear"/>
            <w:tcMar>
              <w:top w:type="dxa" w:w="80"/>
              <w:left w:type="dxa" w:w="120"/>
              <w:bottom w:type="dxa" w:w="80"/>
              <w:right w:type="dxa" w:w="120"/>
            </w:tcMar>
          </w:tcPr>
          <w:p>
            <w:r>
              <w:rPr>
                <w:rFonts w:ascii="Arial" w:cs="Arial" w:eastAsia="Arial" w:hAnsi="Arial"/>
                <w:b w:val="false"/>
                <w:bCs w:val="false"/>
                <w:sz w:val="18"/>
                <w:szCs w:val="18"/>
              </w:rPr>
              <w:t xml:space="preserve">$425,000</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Equity / Incentive Terms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8% equity stake with Participation Rights (Top-up Options) — Renee retains the right to invest pro-rata alongside the buyer in future funding rounds to maintain her percentage; structured as an option, not a free adjustment</w:t>
            </w:r>
          </w:p>
        </w:tc>
      </w:tr>
      <w:tr>
        <w:tc>
          <w:tcPr>
            <w:tcW w:type="dxa" w:w="3000"/>
            <w:tcBorders>
              <w:top w:val="single" w:color="CCCCCC" w:sz="4"/>
              <w:left w:val="single" w:color="CCCCCC" w:sz="4"/>
              <w:bottom w:val="single" w:color="CCCCCC" w:sz="4"/>
              <w:right w:val="single" w:color="CCCCCC" w:sz="4"/>
            </w:tcBorders>
            <w:shd w:fill="EEF4F8" w:val="clear"/>
            <w:tcMar>
              <w:top w:type="dxa" w:w="80"/>
              <w:left w:type="dxa" w:w="120"/>
              <w:bottom w:type="dxa" w:w="80"/>
              <w:right w:type="dxa" w:w="120"/>
            </w:tcMar>
          </w:tcPr>
          <w:p>
            <w:r>
              <w:rPr>
                <w:rFonts w:ascii="Arial" w:cs="Arial" w:eastAsia="Arial" w:hAnsi="Arial"/>
                <w:b w:val="false"/>
                <w:bCs w:val="false"/>
                <w:sz w:val="18"/>
                <w:szCs w:val="18"/>
              </w:rPr>
              <w:t xml:space="preserve">Performance Bonus</w:t>
            </w:r>
          </w:p>
        </w:tc>
        <w:tc>
          <w:tcPr>
            <w:tcW w:type="dxa" w:w="6360"/>
            <w:tcBorders>
              <w:top w:val="single" w:color="CCCCCC" w:sz="4"/>
              <w:left w:val="single" w:color="CCCCCC" w:sz="4"/>
              <w:bottom w:val="single" w:color="CCCCCC" w:sz="4"/>
              <w:right w:val="single" w:color="CCCCCC" w:sz="4"/>
            </w:tcBorders>
            <w:shd w:fill="EEF4F8" w:val="clear"/>
            <w:tcMar>
              <w:top w:type="dxa" w:w="80"/>
              <w:left w:type="dxa" w:w="120"/>
              <w:bottom w:type="dxa" w:w="80"/>
              <w:right w:type="dxa" w:w="120"/>
            </w:tcMar>
          </w:tcPr>
          <w:p>
            <w:r>
              <w:rPr>
                <w:rFonts w:ascii="Arial" w:cs="Arial" w:eastAsia="Arial" w:hAnsi="Arial"/>
                <w:b w:val="false"/>
                <w:bCs w:val="false"/>
                <w:sz w:val="18"/>
                <w:szCs w:val="18"/>
              </w:rPr>
              <w:t xml:space="preserve">Portfolio growth bonus + claims management outcomes bonus; target structure to be negotiated</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Signing Bonus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Minimum $50,000; to be negotiated in addition to non-compete payment</w:t>
            </w:r>
          </w:p>
        </w:tc>
      </w:tr>
      <w:tr>
        <w:tc>
          <w:tcPr>
            <w:tcW w:type="dxa" w:w="3000"/>
            <w:tcBorders>
              <w:top w:val="single" w:color="CCCCCC" w:sz="4"/>
              <w:left w:val="single" w:color="CCCCCC" w:sz="4"/>
              <w:bottom w:val="single" w:color="CCCCCC" w:sz="4"/>
              <w:right w:val="single" w:color="CCCCCC" w:sz="4"/>
            </w:tcBorders>
            <w:shd w:fill="EEF4F8" w:val="clear"/>
            <w:tcMar>
              <w:top w:type="dxa" w:w="80"/>
              <w:left w:type="dxa" w:w="120"/>
              <w:bottom w:type="dxa" w:w="80"/>
              <w:right w:type="dxa" w:w="120"/>
            </w:tcMar>
          </w:tcPr>
          <w:p>
            <w:r>
              <w:rPr>
                <w:rFonts w:ascii="Arial" w:cs="Arial" w:eastAsia="Arial" w:hAnsi="Arial"/>
                <w:b w:val="false"/>
                <w:bCs w:val="false"/>
                <w:sz w:val="18"/>
                <w:szCs w:val="18"/>
              </w:rPr>
              <w:t xml:space="preserve">Employment Term</w:t>
            </w:r>
          </w:p>
        </w:tc>
        <w:tc>
          <w:tcPr>
            <w:tcW w:type="dxa" w:w="6360"/>
            <w:tcBorders>
              <w:top w:val="single" w:color="CCCCCC" w:sz="4"/>
              <w:left w:val="single" w:color="CCCCCC" w:sz="4"/>
              <w:bottom w:val="single" w:color="CCCCCC" w:sz="4"/>
              <w:right w:val="single" w:color="CCCCCC" w:sz="4"/>
            </w:tcBorders>
            <w:shd w:fill="EEF4F8" w:val="clear"/>
            <w:tcMar>
              <w:top w:type="dxa" w:w="80"/>
              <w:left w:type="dxa" w:w="120"/>
              <w:bottom w:type="dxa" w:w="80"/>
              <w:right w:type="dxa" w:w="120"/>
            </w:tcMar>
          </w:tcPr>
          <w:p>
            <w:r>
              <w:rPr>
                <w:rFonts w:ascii="Arial" w:cs="Arial" w:eastAsia="Arial" w:hAnsi="Arial"/>
                <w:b w:val="false"/>
                <w:bCs w:val="false"/>
                <w:sz w:val="18"/>
                <w:szCs w:val="18"/>
              </w:rPr>
              <w:t xml:space="preserve">3-year initial term; automatic renewal; cause-only or 180-day notice termination</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Benefits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Senior executive package: health, dental, vision, retirement</w:t>
            </w:r>
          </w:p>
        </w:tc>
      </w:tr>
      <w:tr>
        <w:tc>
          <w:tcPr>
            <w:tcW w:type="dxa" w:w="3000"/>
            <w:tcBorders>
              <w:top w:val="single" w:color="CCCCCC" w:sz="4"/>
              <w:left w:val="single" w:color="CCCCCC" w:sz="4"/>
              <w:bottom w:val="single" w:color="CCCCCC" w:sz="4"/>
              <w:right w:val="single" w:color="CCCCCC" w:sz="4"/>
            </w:tcBorders>
            <w:shd w:fill="EEF4F8" w:val="clear"/>
            <w:tcMar>
              <w:top w:type="dxa" w:w="80"/>
              <w:left w:type="dxa" w:w="120"/>
              <w:bottom w:type="dxa" w:w="80"/>
              <w:right w:type="dxa" w:w="120"/>
            </w:tcMar>
          </w:tcPr>
          <w:p>
            <w:r>
              <w:rPr>
                <w:rFonts w:ascii="Arial" w:cs="Arial" w:eastAsia="Arial" w:hAnsi="Arial"/>
                <w:b w:val="false"/>
                <w:bCs w:val="false"/>
                <w:sz w:val="18"/>
                <w:szCs w:val="18"/>
              </w:rPr>
              <w:t xml:space="preserve">Non-Compete Scope</w:t>
            </w:r>
          </w:p>
        </w:tc>
        <w:tc>
          <w:tcPr>
            <w:tcW w:type="dxa" w:w="6360"/>
            <w:tcBorders>
              <w:top w:val="single" w:color="CCCCCC" w:sz="4"/>
              <w:left w:val="single" w:color="CCCCCC" w:sz="4"/>
              <w:bottom w:val="single" w:color="CCCCCC" w:sz="4"/>
              <w:right w:val="single" w:color="CCCCCC" w:sz="4"/>
            </w:tcBorders>
            <w:shd w:fill="EEF4F8" w:val="clear"/>
            <w:tcMar>
              <w:top w:type="dxa" w:w="80"/>
              <w:left w:type="dxa" w:w="120"/>
              <w:bottom w:type="dxa" w:w="80"/>
              <w:right w:type="dxa" w:w="120"/>
            </w:tcMar>
          </w:tcPr>
          <w:p>
            <w:r>
              <w:rPr>
                <w:rFonts w:ascii="Arial" w:cs="Arial" w:eastAsia="Arial" w:hAnsi="Arial"/>
                <w:b w:val="false"/>
                <w:bCs w:val="false"/>
                <w:sz w:val="18"/>
                <w:szCs w:val="18"/>
              </w:rPr>
              <w:t xml:space="preserve">PEO claims services + recorded statements + drug testing + field investigations — full cessation</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Non-Compete Duration</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5 years from closing; geographic scope: all jurisdictions where ALCC currently operates</w:t>
            </w:r>
          </w:p>
        </w:tc>
      </w:tr>
      <w:tr>
        <w:tc>
          <w:tcPr>
            <w:tcW w:type="dxa" w:w="3000"/>
            <w:tcBorders>
              <w:top w:val="single" w:color="CCCCCC" w:sz="4"/>
              <w:left w:val="single" w:color="CCCCCC" w:sz="4"/>
              <w:bottom w:val="single" w:color="CCCCCC" w:sz="4"/>
              <w:right w:val="single" w:color="CCCCCC" w:sz="4"/>
            </w:tcBorders>
            <w:shd w:fill="EEF4F8" w:val="clear"/>
            <w:tcMar>
              <w:top w:type="dxa" w:w="80"/>
              <w:left w:type="dxa" w:w="120"/>
              <w:bottom w:type="dxa" w:w="80"/>
              <w:right w:type="dxa" w:w="120"/>
            </w:tcMar>
          </w:tcPr>
          <w:p>
            <w:r>
              <w:rPr>
                <w:rFonts w:ascii="Arial" w:cs="Arial" w:eastAsia="Arial" w:hAnsi="Arial"/>
                <w:b w:val="false"/>
                <w:bCs w:val="false"/>
                <w:sz w:val="18"/>
                <w:szCs w:val="18"/>
              </w:rPr>
              <w:t xml:space="preserve">Advisory / Leadership Role</w:t>
            </w:r>
          </w:p>
        </w:tc>
        <w:tc>
          <w:tcPr>
            <w:tcW w:type="dxa" w:w="6360"/>
            <w:tcBorders>
              <w:top w:val="single" w:color="CCCCCC" w:sz="4"/>
              <w:left w:val="single" w:color="CCCCCC" w:sz="4"/>
              <w:bottom w:val="single" w:color="CCCCCC" w:sz="4"/>
              <w:right w:val="single" w:color="CCCCCC" w:sz="4"/>
            </w:tcBorders>
            <w:shd w:fill="EEF4F8" w:val="clear"/>
            <w:tcMar>
              <w:top w:type="dxa" w:w="80"/>
              <w:left w:type="dxa" w:w="120"/>
              <w:bottom w:type="dxa" w:w="80"/>
              <w:right w:type="dxa" w:w="120"/>
            </w:tcMar>
          </w:tcPr>
          <w:p>
            <w:r>
              <w:rPr>
                <w:rFonts w:ascii="Arial" w:cs="Arial" w:eastAsia="Arial" w:hAnsi="Arial"/>
                <w:b w:val="false"/>
                <w:bCs w:val="false"/>
                <w:sz w:val="18"/>
                <w:szCs w:val="18"/>
              </w:rPr>
              <w:t xml:space="preserve">Seat on the operational leadership committee or advisory board of the new entity</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Referral Fee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5% of acquisition consideration if any existing ALCC PEO client sells to Docks within 5 years</w:t>
            </w:r>
          </w:p>
        </w:tc>
      </w:tr>
      <w:tr>
        <w:tc>
          <w:tcPr>
            <w:tcW w:type="dxa" w:w="3000"/>
            <w:tcBorders>
              <w:top w:val="single" w:color="CCCCCC" w:sz="4"/>
              <w:left w:val="single" w:color="CCCCCC" w:sz="4"/>
              <w:bottom w:val="single" w:color="CCCCCC" w:sz="4"/>
              <w:right w:val="single" w:color="CCCCCC" w:sz="4"/>
            </w:tcBorders>
            <w:shd w:fill="EEF4F8" w:val="clear"/>
            <w:tcMar>
              <w:top w:type="dxa" w:w="80"/>
              <w:left w:type="dxa" w:w="120"/>
              <w:bottom w:type="dxa" w:w="80"/>
              <w:right w:type="dxa" w:w="120"/>
            </w:tcMar>
          </w:tcPr>
          <w:p>
            <w:r>
              <w:rPr>
                <w:rFonts w:ascii="Arial" w:cs="Arial" w:eastAsia="Arial" w:hAnsi="Arial"/>
                <w:b w:val="false"/>
                <w:bCs w:val="false"/>
                <w:sz w:val="18"/>
                <w:szCs w:val="18"/>
              </w:rPr>
              <w:t xml:space="preserve">Additional Equity Protections</w:t>
            </w:r>
          </w:p>
        </w:tc>
        <w:tc>
          <w:tcPr>
            <w:tcW w:type="dxa" w:w="6360"/>
            <w:tcBorders>
              <w:top w:val="single" w:color="CCCCCC" w:sz="4"/>
              <w:left w:val="single" w:color="CCCCCC" w:sz="4"/>
              <w:bottom w:val="single" w:color="CCCCCC" w:sz="4"/>
              <w:right w:val="single" w:color="CCCCCC" w:sz="4"/>
            </w:tcBorders>
            <w:shd w:fill="EEF4F8" w:val="clear"/>
            <w:tcMar>
              <w:top w:type="dxa" w:w="80"/>
              <w:left w:type="dxa" w:w="120"/>
              <w:bottom w:type="dxa" w:w="80"/>
              <w:right w:type="dxa" w:w="120"/>
            </w:tcMar>
          </w:tcPr>
          <w:p>
            <w:r>
              <w:rPr>
                <w:rFonts w:ascii="Arial" w:cs="Arial" w:eastAsia="Arial" w:hAnsi="Arial"/>
                <w:b w:val="false"/>
                <w:bCs w:val="false"/>
                <w:sz w:val="18"/>
                <w:szCs w:val="18"/>
              </w:rPr>
              <w:t xml:space="preserve">Right-of-first-refusal on additional grants; defined vesting acceleration upon change of control</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Transaction Structure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To accommodate tax-efficient treatment for the seller entity — structure to be agreed with legal counsel</w:t>
            </w:r>
          </w:p>
        </w:tc>
      </w:tr>
    </w:tbl>
    <w:p>
      <w:pPr>
        <w:spacing w:before="0" w:after="0"/>
      </w:pPr>
      <w:r>
        <w:t xml:space="preserve"/>
      </w:r>
    </w:p>
    <w:p>
      <w:pPr>
        <w:pStyle w:val="Heading2"/>
        <w:spacing w:before="240" w:after="80"/>
      </w:pPr>
      <w:r>
        <w:rPr>
          <w:rFonts w:ascii="Arial" w:cs="Arial" w:eastAsia="Arial" w:hAnsi="Arial"/>
          <w:b/>
          <w:bCs/>
          <w:color w:val="1B3A5C"/>
          <w:sz w:val="22"/>
          <w:szCs w:val="22"/>
        </w:rPr>
        <w:t xml:space="preserve">Non-Compete Payment Breakdown — Proposal 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Income Stream Restricted</w:t>
            </w:r>
          </w:p>
        </w:tc>
        <w:tc>
          <w:tcPr>
            <w:tcW w:type="dxa" w:w="586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Compensation Basis</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PEO Claims Services — $541,200 ARR</w:t>
            </w:r>
          </w:p>
        </w:tc>
        <w:tc>
          <w:tcPr>
            <w:tcW w:type="dxa" w:w="5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7.85x ARR (consistent with Proposal B v4 purchase price tier) = $4,248,420; rounded within the blended figure</w:t>
            </w:r>
          </w:p>
        </w:tc>
      </w:tr>
      <w:tr>
        <w:tc>
          <w:tcPr>
            <w:tcW w:type="dxa" w:w="3500"/>
            <w:tcBorders>
              <w:top w:val="single" w:color="CCCCCC" w:sz="4"/>
              <w:left w:val="single" w:color="CCCCCC" w:sz="4"/>
              <w:bottom w:val="single" w:color="CCCCCC" w:sz="4"/>
              <w:right w:val="single" w:color="CCCCCC" w:sz="4"/>
            </w:tcBorders>
            <w:shd w:fill="EEF4F8" w:val="clear"/>
            <w:tcMar>
              <w:top w:type="dxa" w:w="80"/>
              <w:left w:type="dxa" w:w="120"/>
              <w:bottom w:type="dxa" w:w="80"/>
              <w:right w:type="dxa" w:w="120"/>
            </w:tcMar>
          </w:tcPr>
          <w:p>
            <w:r>
              <w:rPr>
                <w:rFonts w:ascii="Arial" w:cs="Arial" w:eastAsia="Arial" w:hAnsi="Arial"/>
                <w:b w:val="false"/>
                <w:bCs w:val="false"/>
                <w:sz w:val="18"/>
                <w:szCs w:val="18"/>
              </w:rPr>
              <w:t xml:space="preserve">Recorded Statements (FFVA + Carriers) — $82,000–$92,000/yr avg</w:t>
            </w:r>
          </w:p>
        </w:tc>
        <w:tc>
          <w:tcPr>
            <w:tcW w:type="dxa" w:w="5860"/>
            <w:tcBorders>
              <w:top w:val="single" w:color="CCCCCC" w:sz="4"/>
              <w:left w:val="single" w:color="CCCCCC" w:sz="4"/>
              <w:bottom w:val="single" w:color="CCCCCC" w:sz="4"/>
              <w:right w:val="single" w:color="CCCCCC" w:sz="4"/>
            </w:tcBorders>
            <w:shd w:fill="EEF4F8" w:val="clear"/>
            <w:tcMar>
              <w:top w:type="dxa" w:w="80"/>
              <w:left w:type="dxa" w:w="120"/>
              <w:bottom w:type="dxa" w:w="80"/>
              <w:right w:type="dxa" w:w="120"/>
            </w:tcMar>
          </w:tcPr>
          <w:p>
            <w:r>
              <w:rPr>
                <w:rFonts w:ascii="Arial" w:cs="Arial" w:eastAsia="Arial" w:hAnsi="Arial"/>
                <w:b w:val="false"/>
                <w:bCs w:val="false"/>
                <w:sz w:val="18"/>
                <w:szCs w:val="18"/>
              </w:rPr>
              <w:t xml:space="preserve">4-year capitalization at $87,000 avg = $348,000</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Drug Testing &amp; Field Investigations — $100,000–$200,000/yr</w:t>
            </w:r>
          </w:p>
        </w:tc>
        <w:tc>
          <w:tcPr>
            <w:tcW w:type="dxa" w:w="5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4-year capitalization at $150,000 avg = $600,000</w:t>
            </w:r>
          </w:p>
        </w:tc>
      </w:tr>
      <w:tr>
        <w:tc>
          <w:tcPr>
            <w:tcW w:type="dxa" w:w="3500"/>
            <w:tcBorders>
              <w:top w:val="single" w:color="CCCCCC" w:sz="4"/>
              <w:left w:val="single" w:color="CCCCCC" w:sz="4"/>
              <w:bottom w:val="single" w:color="CCCCCC" w:sz="4"/>
              <w:right w:val="single" w:color="CCCCCC" w:sz="4"/>
            </w:tcBorders>
            <w:shd w:fill="EEF4F8" w:val="clear"/>
            <w:tcMar>
              <w:top w:type="dxa" w:w="80"/>
              <w:left w:type="dxa" w:w="120"/>
              <w:bottom w:type="dxa" w:w="80"/>
              <w:right w:type="dxa" w:w="120"/>
            </w:tcMar>
          </w:tcPr>
          <w:p>
            <w:r>
              <w:rPr>
                <w:rFonts w:ascii="Arial" w:cs="Arial" w:eastAsia="Arial" w:hAnsi="Arial"/>
                <w:b w:val="false"/>
                <w:bCs w:val="false"/>
                <w:sz w:val="18"/>
                <w:szCs w:val="18"/>
              </w:rPr>
              <w:t xml:space="preserve">Strategic Premium — Niche Expertise &amp; First-Mover Advantage</w:t>
            </w:r>
          </w:p>
        </w:tc>
        <w:tc>
          <w:tcPr>
            <w:tcW w:type="dxa" w:w="5860"/>
            <w:tcBorders>
              <w:top w:val="single" w:color="CCCCCC" w:sz="4"/>
              <w:left w:val="single" w:color="CCCCCC" w:sz="4"/>
              <w:bottom w:val="single" w:color="CCCCCC" w:sz="4"/>
              <w:right w:val="single" w:color="CCCCCC" w:sz="4"/>
            </w:tcBorders>
            <w:shd w:fill="EEF4F8" w:val="clear"/>
            <w:tcMar>
              <w:top w:type="dxa" w:w="80"/>
              <w:left w:type="dxa" w:w="120"/>
              <w:bottom w:type="dxa" w:w="80"/>
              <w:right w:type="dxa" w:w="120"/>
            </w:tcMar>
          </w:tcPr>
          <w:p>
            <w:r>
              <w:rPr>
                <w:rFonts w:ascii="Arial" w:cs="Arial" w:eastAsia="Arial" w:hAnsi="Arial"/>
                <w:b w:val="false"/>
                <w:bCs w:val="false"/>
                <w:sz w:val="18"/>
                <w:szCs w:val="18"/>
              </w:rPr>
              <w:t xml:space="preserve">Premium reflecting: (1) no meaningful competition at this operational scale, (2) first-mover position in national PEO claims centralization, (3) proven performance record inside buyer's own portfolio</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Entrepreneurial Freedom &amp; Control Premium</w:t>
            </w:r>
          </w:p>
        </w:tc>
        <w:tc>
          <w:tcPr>
            <w:tcW w:type="dxa" w:w="5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Enhanced premium for full cessation of independent operations, advisory/board participation, and exclusivity at the highest tier</w:t>
            </w:r>
          </w:p>
        </w:tc>
      </w:tr>
      <w:tr>
        <w:tc>
          <w:tcPr>
            <w:tcW w:type="dxa" w:w="3500"/>
            <w:tcBorders>
              <w:top w:val="single" w:color="C8922A" w:sz="4"/>
              <w:left w:val="single" w:color="C8922A" w:sz="4"/>
              <w:bottom w:val="single" w:color="C8922A" w:sz="4"/>
              <w:right w:val="single" w:color="C8922A" w:sz="4"/>
            </w:tcBorders>
            <w:shd w:fill="FFF3DC" w:val="clear"/>
            <w:tcMar>
              <w:top w:type="dxa" w:w="80"/>
              <w:left w:type="dxa" w:w="120"/>
              <w:bottom w:type="dxa" w:w="80"/>
              <w:right w:type="dxa" w:w="120"/>
            </w:tcMar>
          </w:tcPr>
          <w:p>
            <w:r>
              <w:rPr>
                <w:rFonts w:ascii="Arial" w:cs="Arial" w:eastAsia="Arial" w:hAnsi="Arial"/>
                <w:b/>
                <w:bCs/>
                <w:sz w:val="18"/>
                <w:szCs w:val="18"/>
              </w:rPr>
              <w:t xml:space="preserve">TOTAL NON-COMPETE PAYMENT</w:t>
            </w:r>
          </w:p>
        </w:tc>
        <w:tc>
          <w:tcPr>
            <w:tcW w:type="dxa" w:w="5860"/>
            <w:tcBorders>
              <w:top w:val="single" w:color="C8922A" w:sz="4"/>
              <w:left w:val="single" w:color="C8922A" w:sz="4"/>
              <w:bottom w:val="single" w:color="C8922A" w:sz="4"/>
              <w:right w:val="single" w:color="C8922A" w:sz="4"/>
            </w:tcBorders>
            <w:shd w:fill="FFF3DC" w:val="clear"/>
            <w:tcMar>
              <w:top w:type="dxa" w:w="80"/>
              <w:left w:type="dxa" w:w="120"/>
              <w:bottom w:type="dxa" w:w="80"/>
              <w:right w:type="dxa" w:w="120"/>
            </w:tcMar>
          </w:tcPr>
          <w:p>
            <w:r>
              <w:rPr>
                <w:rFonts w:ascii="Arial" w:cs="Arial" w:eastAsia="Arial" w:hAnsi="Arial"/>
                <w:b/>
                <w:bCs/>
                <w:sz w:val="18"/>
                <w:szCs w:val="18"/>
              </w:rPr>
              <w:t xml:space="preserve">$5,750,000</w:t>
            </w:r>
          </w:p>
        </w:tc>
      </w:tr>
    </w:tbl>
    <w:p>
      <w:pPr>
        <w:spacing w:before="0" w:after="0"/>
      </w:pPr>
      <w:r>
        <w:t xml:space="preserve"/>
      </w:r>
    </w:p>
    <w:p>
      <w:pPr>
        <w:pStyle w:val="Heading2"/>
        <w:spacing w:before="240" w:after="80"/>
      </w:pPr>
      <w:r>
        <w:rPr>
          <w:rFonts w:ascii="Arial" w:cs="Arial" w:eastAsia="Arial" w:hAnsi="Arial"/>
          <w:b/>
          <w:bCs/>
          <w:color w:val="1B3A5C"/>
          <w:sz w:val="22"/>
          <w:szCs w:val="22"/>
        </w:rPr>
        <w:t xml:space="preserve">The Strategic Case in Plain Language</w:t>
      </w:r>
    </w:p>
    <w:p>
      <w:pPr>
        <w:pStyle w:val="ListParagraph"/>
        <w:numPr>
          <w:ilvl w:val="0"/>
          <w:numId w:val="2"/>
        </w:numPr>
        <w:spacing w:before="40" w:after="40"/>
      </w:pPr>
      <w:r>
        <w:rPr>
          <w:rFonts w:ascii="Arial" w:cs="Arial" w:eastAsia="Arial" w:hAnsi="Arial"/>
          <w:b w:val="false"/>
          <w:bCs w:val="false"/>
          <w:sz w:val="20"/>
          <w:szCs w:val="20"/>
        </w:rPr>
        <w:t xml:space="preserve">Docks Sutherland is removing from the market the only claims operator that has already proven itself inside two of his own entities</w:t>
      </w:r>
    </w:p>
    <w:p>
      <w:pPr>
        <w:pStyle w:val="ListParagraph"/>
        <w:numPr>
          <w:ilvl w:val="0"/>
          <w:numId w:val="2"/>
        </w:numPr>
        <w:spacing w:before="40" w:after="40"/>
      </w:pPr>
      <w:r>
        <w:rPr>
          <w:rFonts w:ascii="Arial" w:cs="Arial" w:eastAsia="Arial" w:hAnsi="Arial"/>
          <w:b w:val="false"/>
          <w:bCs w:val="false"/>
          <w:sz w:val="20"/>
          <w:szCs w:val="20"/>
        </w:rPr>
        <w:t xml:space="preserve">He is securing the individual who will serve as the operational backbone of claims management across the entire national portfolio — a role whose value compounds with every new PEO acquired</w:t>
      </w:r>
    </w:p>
    <w:p>
      <w:pPr>
        <w:pStyle w:val="ListParagraph"/>
        <w:numPr>
          <w:ilvl w:val="0"/>
          <w:numId w:val="2"/>
        </w:numPr>
        <w:spacing w:before="40" w:after="40"/>
      </w:pPr>
      <w:r>
        <w:rPr>
          <w:rFonts w:ascii="Arial" w:cs="Arial" w:eastAsia="Arial" w:hAnsi="Arial"/>
          <w:b w:val="false"/>
          <w:bCs w:val="false"/>
          <w:sz w:val="20"/>
          <w:szCs w:val="20"/>
        </w:rPr>
        <w:t xml:space="preserve">The PEO claims niche is highly specialized; finding, hiring, and ramping a replacement of Renee's caliber takes 6–12 months and costs in excess of $560,300 by conservative estimate — entirely separate from the income streams Renee currently generates</w:t>
      </w:r>
    </w:p>
    <w:p>
      <w:pPr>
        <w:pStyle w:val="ListParagraph"/>
        <w:numPr>
          <w:ilvl w:val="0"/>
          <w:numId w:val="2"/>
        </w:numPr>
        <w:spacing w:before="40" w:after="40"/>
      </w:pPr>
      <w:r>
        <w:rPr>
          <w:rFonts w:ascii="Arial" w:cs="Arial" w:eastAsia="Arial" w:hAnsi="Arial"/>
          <w:b w:val="false"/>
          <w:bCs w:val="false"/>
          <w:sz w:val="20"/>
          <w:szCs w:val="20"/>
        </w:rPr>
        <w:t xml:space="preserve">At an EBITDA margin of ~89% on the restricted PEO revenue stream, the economics of the business being foreclosed upon are exceptional — the non-compete price reflects that quality</w:t>
      </w:r>
    </w:p>
    <w:p>
      <w:pPr>
        <w:pStyle w:val="ListParagraph"/>
        <w:numPr>
          <w:ilvl w:val="0"/>
          <w:numId w:val="2"/>
        </w:numPr>
        <w:spacing w:before="40" w:after="40"/>
      </w:pPr>
      <w:r>
        <w:rPr>
          <w:rFonts w:ascii="Arial" w:cs="Arial" w:eastAsia="Arial" w:hAnsi="Arial"/>
          <w:b w:val="false"/>
          <w:bCs w:val="false"/>
          <w:sz w:val="20"/>
          <w:szCs w:val="20"/>
        </w:rPr>
        <w:t xml:space="preserve">Proposal C also compensates Renee for surrendering $100,000–$200,000 in drug testing and field investigation revenue that has no equivalent in a senior executive employment package</w:t>
      </w:r>
    </w:p>
    <w:p>
      <w:pPr>
        <w:spacing w:before="0" w:after="0"/>
      </w:pPr>
      <w:r>
        <w:t xml:space="preserve"/>
      </w:r>
    </w:p>
    <w:p>
      <w:r>
        <w:br w:type="page"/>
      </w:r>
    </w:p>
    <w:p>
      <w:pPr>
        <w:pStyle w:val="Heading1"/>
        <w:pBdr>
          <w:bottom w:val="single" w:color="C8922A" w:sz="6" w:space="4"/>
        </w:pBdr>
        <w:spacing w:before="360" w:after="120"/>
      </w:pPr>
      <w:r>
        <w:rPr>
          <w:rFonts w:ascii="Arial" w:cs="Arial" w:eastAsia="Arial" w:hAnsi="Arial"/>
          <w:b/>
          <w:bCs/>
          <w:color w:val="1B3A5C"/>
          <w:sz w:val="28"/>
          <w:szCs w:val="28"/>
        </w:rPr>
        <w:t xml:space="preserve">10.  OPERATIONAL INFRASTRUCTURE &amp; KEY PERSON MITIGATION</w:t>
      </w:r>
    </w:p>
    <w:p>
      <w:pPr>
        <w:spacing w:before="60" w:after="60"/>
        <w:jc w:val="left"/>
      </w:pPr>
      <w:r>
        <w:rPr>
          <w:rFonts w:ascii="Arial" w:cs="Arial" w:eastAsia="Arial" w:hAnsi="Arial"/>
          <w:b w:val="false"/>
          <w:bCs w:val="false"/>
          <w:i w:val="false"/>
          <w:iCs w:val="false"/>
          <w:color w:val="000000"/>
          <w:sz w:val="20"/>
          <w:szCs w:val="20"/>
        </w:rPr>
        <w:t xml:space="preserve">Under Proposals B and C, Docks Sutherland benefits from the full transfer of the operational system Renee has built — even without a formal client contract assignment. The infrastructure transfers because it was built by Renee and she is the one being retained.</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Infrastructure Asset</w:t>
            </w:r>
          </w:p>
        </w:tc>
        <w:tc>
          <w:tcPr>
            <w:tcW w:type="dxa" w:w="636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Description &amp; Status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Claims Intake &amp; Triage SOPs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Documented intake procedures, intake forms, and triage workflows for each PEO client's specific plan and jurisdiction requirements — available for transfer and application to new national portfolio clients</w:t>
            </w:r>
          </w:p>
        </w:tc>
      </w:tr>
      <w:tr>
        <w:tc>
          <w:tcPr>
            <w:tcW w:type="dxa" w:w="3000"/>
            <w:tcBorders>
              <w:top w:val="single" w:color="CCCCCC" w:sz="4"/>
              <w:left w:val="single" w:color="CCCCCC" w:sz="4"/>
              <w:bottom w:val="single" w:color="CCCCCC" w:sz="4"/>
              <w:right w:val="single" w:color="CCCCCC" w:sz="4"/>
            </w:tcBorders>
            <w:shd w:fill="EEF4F8" w:val="clear"/>
            <w:tcMar>
              <w:top w:type="dxa" w:w="80"/>
              <w:left w:type="dxa" w:w="120"/>
              <w:bottom w:type="dxa" w:w="80"/>
              <w:right w:type="dxa" w:w="120"/>
            </w:tcMar>
          </w:tcPr>
          <w:p>
            <w:r>
              <w:rPr>
                <w:rFonts w:ascii="Arial" w:cs="Arial" w:eastAsia="Arial" w:hAnsi="Arial"/>
                <w:b w:val="false"/>
                <w:bCs w:val="false"/>
                <w:sz w:val="18"/>
                <w:szCs w:val="18"/>
              </w:rPr>
              <w:t xml:space="preserve">Client-Specific Protocol Library</w:t>
            </w:r>
          </w:p>
        </w:tc>
        <w:tc>
          <w:tcPr>
            <w:tcW w:type="dxa" w:w="6360"/>
            <w:tcBorders>
              <w:top w:val="single" w:color="CCCCCC" w:sz="4"/>
              <w:left w:val="single" w:color="CCCCCC" w:sz="4"/>
              <w:bottom w:val="single" w:color="CCCCCC" w:sz="4"/>
              <w:right w:val="single" w:color="CCCCCC" w:sz="4"/>
            </w:tcBorders>
            <w:shd w:fill="EEF4F8" w:val="clear"/>
            <w:tcMar>
              <w:top w:type="dxa" w:w="80"/>
              <w:left w:type="dxa" w:w="120"/>
              <w:bottom w:type="dxa" w:w="80"/>
              <w:right w:type="dxa" w:w="120"/>
            </w:tcMar>
          </w:tcPr>
          <w:p>
            <w:r>
              <w:rPr>
                <w:rFonts w:ascii="Arial" w:cs="Arial" w:eastAsia="Arial" w:hAnsi="Arial"/>
                <w:b w:val="false"/>
                <w:bCs w:val="false"/>
                <w:sz w:val="18"/>
                <w:szCs w:val="18"/>
              </w:rPr>
              <w:t xml:space="preserve">Individual profiles documenting reporting requirements, escalation paths, preferred vendors, and regulatory notes — transferable knowledge Renee built, regardless of client contract assignment</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Vendor &amp; Adjuster Network</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Established relationships with field investigators, independent adjusters, and medical evaluators across relevant jurisdictions — Renee takes this network to the national role</w:t>
            </w:r>
          </w:p>
        </w:tc>
      </w:tr>
      <w:tr>
        <w:tc>
          <w:tcPr>
            <w:tcW w:type="dxa" w:w="3000"/>
            <w:tcBorders>
              <w:top w:val="single" w:color="CCCCCC" w:sz="4"/>
              <w:left w:val="single" w:color="CCCCCC" w:sz="4"/>
              <w:bottom w:val="single" w:color="CCCCCC" w:sz="4"/>
              <w:right w:val="single" w:color="CCCCCC" w:sz="4"/>
            </w:tcBorders>
            <w:shd w:fill="EEF4F8" w:val="clear"/>
            <w:tcMar>
              <w:top w:type="dxa" w:w="80"/>
              <w:left w:type="dxa" w:w="120"/>
              <w:bottom w:type="dxa" w:w="80"/>
              <w:right w:type="dxa" w:w="120"/>
            </w:tcMar>
          </w:tcPr>
          <w:p>
            <w:r>
              <w:rPr>
                <w:rFonts w:ascii="Arial" w:cs="Arial" w:eastAsia="Arial" w:hAnsi="Arial"/>
                <w:b w:val="false"/>
                <w:bCs w:val="false"/>
                <w:sz w:val="18"/>
                <w:szCs w:val="18"/>
              </w:rPr>
              <w:t xml:space="preserve">Reporting Templates &amp; Cadence</w:t>
            </w:r>
          </w:p>
        </w:tc>
        <w:tc>
          <w:tcPr>
            <w:tcW w:type="dxa" w:w="6360"/>
            <w:tcBorders>
              <w:top w:val="single" w:color="CCCCCC" w:sz="4"/>
              <w:left w:val="single" w:color="CCCCCC" w:sz="4"/>
              <w:bottom w:val="single" w:color="CCCCCC" w:sz="4"/>
              <w:right w:val="single" w:color="CCCCCC" w:sz="4"/>
            </w:tcBorders>
            <w:shd w:fill="EEF4F8" w:val="clear"/>
            <w:tcMar>
              <w:top w:type="dxa" w:w="80"/>
              <w:left w:type="dxa" w:w="120"/>
              <w:bottom w:type="dxa" w:w="80"/>
              <w:right w:type="dxa" w:w="120"/>
            </w:tcMar>
          </w:tcPr>
          <w:p>
            <w:r>
              <w:rPr>
                <w:rFonts w:ascii="Arial" w:cs="Arial" w:eastAsia="Arial" w:hAnsi="Arial"/>
                <w:b w:val="false"/>
                <w:bCs w:val="false"/>
                <w:sz w:val="18"/>
                <w:szCs w:val="18"/>
              </w:rPr>
              <w:t xml:space="preserve">Standardized reporting formats, delivery schedules, and escalation matrices — immediately applicable to new national PEO clients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Technology &amp; Platform Access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Claims management platform experience and workflow methodology transferable to the new entity's chosen infrastructure</w:t>
            </w:r>
          </w:p>
        </w:tc>
      </w:tr>
      <w:tr>
        <w:tc>
          <w:tcPr>
            <w:tcW w:type="dxa" w:w="3000"/>
            <w:tcBorders>
              <w:top w:val="single" w:color="CCCCCC" w:sz="4"/>
              <w:left w:val="single" w:color="CCCCCC" w:sz="4"/>
              <w:bottom w:val="single" w:color="CCCCCC" w:sz="4"/>
              <w:right w:val="single" w:color="CCCCCC" w:sz="4"/>
            </w:tcBorders>
            <w:shd w:fill="EEF4F8" w:val="clear"/>
            <w:tcMar>
              <w:top w:type="dxa" w:w="80"/>
              <w:left w:type="dxa" w:w="120"/>
              <w:bottom w:type="dxa" w:w="80"/>
              <w:right w:type="dxa" w:w="120"/>
            </w:tcMar>
          </w:tcPr>
          <w:p>
            <w:r>
              <w:rPr>
                <w:rFonts w:ascii="Arial" w:cs="Arial" w:eastAsia="Arial" w:hAnsi="Arial"/>
                <w:b w:val="false"/>
                <w:bCs w:val="false"/>
                <w:sz w:val="18"/>
                <w:szCs w:val="18"/>
              </w:rPr>
              <w:t xml:space="preserve">Transition Support — 90 Days Pre-Employment</w:t>
            </w:r>
          </w:p>
        </w:tc>
        <w:tc>
          <w:tcPr>
            <w:tcW w:type="dxa" w:w="6360"/>
            <w:tcBorders>
              <w:top w:val="single" w:color="CCCCCC" w:sz="4"/>
              <w:left w:val="single" w:color="CCCCCC" w:sz="4"/>
              <w:bottom w:val="single" w:color="CCCCCC" w:sz="4"/>
              <w:right w:val="single" w:color="CCCCCC" w:sz="4"/>
            </w:tcBorders>
            <w:shd w:fill="EEF4F8" w:val="clear"/>
            <w:tcMar>
              <w:top w:type="dxa" w:w="80"/>
              <w:left w:type="dxa" w:w="120"/>
              <w:bottom w:type="dxa" w:w="80"/>
              <w:right w:type="dxa" w:w="120"/>
            </w:tcMar>
          </w:tcPr>
          <w:p>
            <w:r>
              <w:rPr>
                <w:rFonts w:ascii="Arial" w:cs="Arial" w:eastAsia="Arial" w:hAnsi="Arial"/>
                <w:b w:val="false"/>
                <w:bCs w:val="false"/>
                <w:sz w:val="18"/>
                <w:szCs w:val="18"/>
              </w:rPr>
              <w:t xml:space="preserve">Renee provides structured 90-day transition support prior to formal employment start; all SOPs documented and organized for the national portfolio build-out</w:t>
            </w:r>
          </w:p>
        </w:tc>
      </w:tr>
    </w:tbl>
    <w:p>
      <w:pPr>
        <w:spacing w:before="0" w:after="0"/>
      </w:pPr>
      <w:r>
        <w:t xml:space="preserve"/>
      </w:r>
    </w:p>
    <w:p>
      <w:pPr>
        <w:pStyle w:val="Heading2"/>
        <w:spacing w:before="240" w:after="80"/>
      </w:pPr>
      <w:r>
        <w:rPr>
          <w:rFonts w:ascii="Arial" w:cs="Arial" w:eastAsia="Arial" w:hAnsi="Arial"/>
          <w:b/>
          <w:bCs/>
          <w:color w:val="1B3A5C"/>
          <w:sz w:val="22"/>
          <w:szCs w:val="22"/>
        </w:rPr>
        <w:t xml:space="preserve">Key Person Risk — What Is In Place</w:t>
      </w:r>
    </w:p>
    <w:p>
      <w:pPr>
        <w:pStyle w:val="ListParagraph"/>
        <w:numPr>
          <w:ilvl w:val="0"/>
          <w:numId w:val="2"/>
        </w:numPr>
        <w:spacing w:before="40" w:after="40"/>
      </w:pPr>
      <w:r>
        <w:rPr>
          <w:rFonts w:ascii="Arial" w:cs="Arial" w:eastAsia="Arial" w:hAnsi="Arial"/>
          <w:b w:val="false"/>
          <w:bCs w:val="false"/>
          <w:sz w:val="20"/>
          <w:szCs w:val="20"/>
        </w:rPr>
        <w:t xml:space="preserve">The SOP library and documented processes are institutional knowledge — they exist in written form and are not solely in Renee's head</w:t>
      </w:r>
    </w:p>
    <w:p>
      <w:pPr>
        <w:pStyle w:val="ListParagraph"/>
        <w:numPr>
          <w:ilvl w:val="0"/>
          <w:numId w:val="2"/>
        </w:numPr>
        <w:spacing w:before="40" w:after="40"/>
      </w:pPr>
      <w:r>
        <w:rPr>
          <w:rFonts w:ascii="Arial" w:cs="Arial" w:eastAsia="Arial" w:hAnsi="Arial"/>
          <w:b w:val="false"/>
          <w:bCs w:val="false"/>
          <w:sz w:val="20"/>
          <w:szCs w:val="20"/>
        </w:rPr>
        <w:t xml:space="preserve">Renee's employment agreement includes a minimum 3-year term with 90-day pre-employment transition support, ensuring structured knowledge transfer</w:t>
      </w:r>
    </w:p>
    <w:p>
      <w:pPr>
        <w:pStyle w:val="ListParagraph"/>
        <w:numPr>
          <w:ilvl w:val="0"/>
          <w:numId w:val="2"/>
        </w:numPr>
        <w:spacing w:before="40" w:after="40"/>
      </w:pPr>
      <w:r>
        <w:rPr>
          <w:rFonts w:ascii="Arial" w:cs="Arial" w:eastAsia="Arial" w:hAnsi="Arial"/>
          <w:b w:val="false"/>
          <w:bCs w:val="false"/>
          <w:sz w:val="20"/>
          <w:szCs w:val="20"/>
        </w:rPr>
        <w:t xml:space="preserve">The 3-year employment term provides meaningful runway to develop redundancy within the national infrastructure</w:t>
      </w:r>
    </w:p>
    <w:p>
      <w:pPr>
        <w:pStyle w:val="ListParagraph"/>
        <w:numPr>
          <w:ilvl w:val="0"/>
          <w:numId w:val="2"/>
        </w:numPr>
        <w:spacing w:before="40" w:after="40"/>
      </w:pPr>
      <w:r>
        <w:rPr>
          <w:rFonts w:ascii="Arial" w:cs="Arial" w:eastAsia="Arial" w:hAnsi="Arial"/>
          <w:b w:val="false"/>
          <w:bCs w:val="false"/>
          <w:sz w:val="20"/>
          <w:szCs w:val="20"/>
        </w:rPr>
        <w:t xml:space="preserve">Seller recommends that within 18 months of closing, the buyer identify and onboard a mid-level claims coordinator beneath Renee to provide succession depth — estimated cost of retention is manageable at this organizational scale</w:t>
      </w:r>
    </w:p>
    <w:p>
      <w:pPr>
        <w:spacing w:before="0" w:after="0"/>
      </w:pPr>
      <w:r>
        <w:t xml:space="preserve"/>
      </w:r>
    </w:p>
    <w:p>
      <w:r>
        <w:br w:type="page"/>
      </w:r>
    </w:p>
    <w:p>
      <w:pPr>
        <w:pStyle w:val="Heading1"/>
        <w:pBdr>
          <w:bottom w:val="single" w:color="C8922A" w:sz="6" w:space="4"/>
        </w:pBdr>
        <w:spacing w:before="360" w:after="120"/>
      </w:pPr>
      <w:r>
        <w:rPr>
          <w:rFonts w:ascii="Arial" w:cs="Arial" w:eastAsia="Arial" w:hAnsi="Arial"/>
          <w:b/>
          <w:bCs/>
          <w:color w:val="1B3A5C"/>
          <w:sz w:val="28"/>
          <w:szCs w:val="28"/>
        </w:rPr>
        <w:t xml:space="preserve">11.  REVENUE PROJECTIONS — VALUATION REFERENCE</w:t>
      </w:r>
    </w:p>
    <w:p>
      <w:pPr>
        <w:spacing w:before="60" w:after="60"/>
        <w:jc w:val="left"/>
      </w:pPr>
      <w:r>
        <w:rPr>
          <w:rFonts w:ascii="Arial" w:cs="Arial" w:eastAsia="Arial" w:hAnsi="Arial"/>
          <w:b w:val="false"/>
          <w:bCs w:val="false"/>
          <w:i w:val="false"/>
          <w:iCs w:val="false"/>
          <w:color w:val="000000"/>
          <w:sz w:val="20"/>
          <w:szCs w:val="20"/>
        </w:rPr>
        <w:t xml:space="preserve">The following projections are provided as non-compete valuation reference data. They represent the revenue capacity of the PEO claims division under different growth scenarios and are used to substantiate the non-compete payment in Proposals B and C. These figures are not post-arrangement performance targets.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160"/>
        <w:gridCol w:w="1160"/>
        <w:gridCol w:w="1160"/>
        <w:gridCol w:w="1160"/>
        <w:gridCol w:w="1160"/>
        <w:gridCol w:w="1160"/>
      </w:tblGrid>
      <w:tr>
        <w:tc>
          <w:tcPr>
            <w:tcW w:type="dxa" w:w="240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Scenario</w:t>
            </w:r>
          </w:p>
        </w:tc>
        <w:tc>
          <w:tcPr>
            <w:tcW w:type="dxa" w:w="116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Year 1</w:t>
            </w:r>
          </w:p>
        </w:tc>
        <w:tc>
          <w:tcPr>
            <w:tcW w:type="dxa" w:w="116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Year 2</w:t>
            </w:r>
          </w:p>
        </w:tc>
        <w:tc>
          <w:tcPr>
            <w:tcW w:type="dxa" w:w="116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Year 3</w:t>
            </w:r>
          </w:p>
        </w:tc>
        <w:tc>
          <w:tcPr>
            <w:tcW w:type="dxa" w:w="116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Year 4</w:t>
            </w:r>
          </w:p>
        </w:tc>
        <w:tc>
          <w:tcPr>
            <w:tcW w:type="dxa" w:w="116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Year 5</w:t>
            </w:r>
          </w:p>
        </w:tc>
        <w:tc>
          <w:tcPr>
            <w:tcW w:type="dxa" w:w="116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5-Yr Total</w:t>
            </w:r>
          </w:p>
        </w:tc>
      </w:tr>
      <w:tr>
        <w:tc>
          <w:tcPr>
            <w:tcW w:type="dxa" w:w="2400"/>
            <w:tcBorders>
              <w:top w:val="single" w:color="CCCCCC" w:sz="4"/>
              <w:left w:val="single" w:color="CCCCCC" w:sz="4"/>
              <w:bottom w:val="single" w:color="CCCCCC" w:sz="4"/>
              <w:right w:val="single" w:color="CCCCCC" w:sz="4"/>
            </w:tcBorders>
            <w:shd w:fill="EEF4F8" w:val="clear"/>
            <w:tcMar>
              <w:top w:type="dxa" w:w="70"/>
              <w:left w:type="dxa" w:w="100"/>
              <w:bottom w:type="dxa" w:w="70"/>
              <w:right w:type="dxa" w:w="100"/>
            </w:tcMar>
          </w:tcPr>
          <w:p>
            <w:pPr>
              <w:jc w:val="left"/>
            </w:pPr>
            <w:r>
              <w:rPr>
                <w:rFonts w:ascii="Arial" w:cs="Arial" w:eastAsia="Arial" w:hAnsi="Arial"/>
                <w:b w:val="false"/>
                <w:bCs w:val="false"/>
                <w:i w:val="false"/>
                <w:iCs w:val="false"/>
                <w:sz w:val="17"/>
                <w:szCs w:val="17"/>
              </w:rPr>
              <w:t xml:space="preserve">Baseline (Flat — 10 Clients)</w:t>
            </w:r>
          </w:p>
        </w:tc>
        <w:tc>
          <w:tcPr>
            <w:tcW w:type="dxa" w:w="1160"/>
            <w:tcBorders>
              <w:top w:val="single" w:color="CCCCCC" w:sz="4"/>
              <w:left w:val="single" w:color="CCCCCC" w:sz="4"/>
              <w:bottom w:val="single" w:color="CCCCCC" w:sz="4"/>
              <w:right w:val="single" w:color="CCCCCC" w:sz="4"/>
            </w:tcBorders>
            <w:shd w:fill="EEF4F8" w:val="clear"/>
            <w:tcMar>
              <w:top w:type="dxa" w:w="70"/>
              <w:left w:type="dxa" w:w="100"/>
              <w:bottom w:type="dxa" w:w="70"/>
              <w:right w:type="dxa" w:w="100"/>
            </w:tcMar>
          </w:tcPr>
          <w:p>
            <w:pPr>
              <w:jc w:val="center"/>
            </w:pPr>
            <w:r>
              <w:rPr>
                <w:rFonts w:ascii="Arial" w:cs="Arial" w:eastAsia="Arial" w:hAnsi="Arial"/>
                <w:b w:val="false"/>
                <w:bCs w:val="false"/>
                <w:i w:val="false"/>
                <w:iCs w:val="false"/>
                <w:sz w:val="17"/>
                <w:szCs w:val="17"/>
              </w:rPr>
              <w:t xml:space="preserve">$541,200</w:t>
            </w:r>
          </w:p>
        </w:tc>
        <w:tc>
          <w:tcPr>
            <w:tcW w:type="dxa" w:w="1160"/>
            <w:tcBorders>
              <w:top w:val="single" w:color="CCCCCC" w:sz="4"/>
              <w:left w:val="single" w:color="CCCCCC" w:sz="4"/>
              <w:bottom w:val="single" w:color="CCCCCC" w:sz="4"/>
              <w:right w:val="single" w:color="CCCCCC" w:sz="4"/>
            </w:tcBorders>
            <w:shd w:fill="EEF4F8" w:val="clear"/>
            <w:tcMar>
              <w:top w:type="dxa" w:w="70"/>
              <w:left w:type="dxa" w:w="100"/>
              <w:bottom w:type="dxa" w:w="70"/>
              <w:right w:type="dxa" w:w="100"/>
            </w:tcMar>
          </w:tcPr>
          <w:p>
            <w:pPr>
              <w:jc w:val="center"/>
            </w:pPr>
            <w:r>
              <w:rPr>
                <w:rFonts w:ascii="Arial" w:cs="Arial" w:eastAsia="Arial" w:hAnsi="Arial"/>
                <w:b w:val="false"/>
                <w:bCs w:val="false"/>
                <w:i w:val="false"/>
                <w:iCs w:val="false"/>
                <w:sz w:val="17"/>
                <w:szCs w:val="17"/>
              </w:rPr>
              <w:t xml:space="preserve">$541,200</w:t>
            </w:r>
          </w:p>
        </w:tc>
        <w:tc>
          <w:tcPr>
            <w:tcW w:type="dxa" w:w="1160"/>
            <w:tcBorders>
              <w:top w:val="single" w:color="CCCCCC" w:sz="4"/>
              <w:left w:val="single" w:color="CCCCCC" w:sz="4"/>
              <w:bottom w:val="single" w:color="CCCCCC" w:sz="4"/>
              <w:right w:val="single" w:color="CCCCCC" w:sz="4"/>
            </w:tcBorders>
            <w:shd w:fill="EEF4F8" w:val="clear"/>
            <w:tcMar>
              <w:top w:type="dxa" w:w="70"/>
              <w:left w:type="dxa" w:w="100"/>
              <w:bottom w:type="dxa" w:w="70"/>
              <w:right w:type="dxa" w:w="100"/>
            </w:tcMar>
          </w:tcPr>
          <w:p>
            <w:pPr>
              <w:jc w:val="center"/>
            </w:pPr>
            <w:r>
              <w:rPr>
                <w:rFonts w:ascii="Arial" w:cs="Arial" w:eastAsia="Arial" w:hAnsi="Arial"/>
                <w:b w:val="false"/>
                <w:bCs w:val="false"/>
                <w:i w:val="false"/>
                <w:iCs w:val="false"/>
                <w:sz w:val="17"/>
                <w:szCs w:val="17"/>
              </w:rPr>
              <w:t xml:space="preserve">$541,200</w:t>
            </w:r>
          </w:p>
        </w:tc>
        <w:tc>
          <w:tcPr>
            <w:tcW w:type="dxa" w:w="1160"/>
            <w:tcBorders>
              <w:top w:val="single" w:color="CCCCCC" w:sz="4"/>
              <w:left w:val="single" w:color="CCCCCC" w:sz="4"/>
              <w:bottom w:val="single" w:color="CCCCCC" w:sz="4"/>
              <w:right w:val="single" w:color="CCCCCC" w:sz="4"/>
            </w:tcBorders>
            <w:shd w:fill="EEF4F8" w:val="clear"/>
            <w:tcMar>
              <w:top w:type="dxa" w:w="70"/>
              <w:left w:type="dxa" w:w="100"/>
              <w:bottom w:type="dxa" w:w="70"/>
              <w:right w:type="dxa" w:w="100"/>
            </w:tcMar>
          </w:tcPr>
          <w:p>
            <w:pPr>
              <w:jc w:val="center"/>
            </w:pPr>
            <w:r>
              <w:rPr>
                <w:rFonts w:ascii="Arial" w:cs="Arial" w:eastAsia="Arial" w:hAnsi="Arial"/>
                <w:b w:val="false"/>
                <w:bCs w:val="false"/>
                <w:i w:val="false"/>
                <w:iCs w:val="false"/>
                <w:sz w:val="17"/>
                <w:szCs w:val="17"/>
              </w:rPr>
              <w:t xml:space="preserve">$541,200</w:t>
            </w:r>
          </w:p>
        </w:tc>
        <w:tc>
          <w:tcPr>
            <w:tcW w:type="dxa" w:w="1160"/>
            <w:tcBorders>
              <w:top w:val="single" w:color="CCCCCC" w:sz="4"/>
              <w:left w:val="single" w:color="CCCCCC" w:sz="4"/>
              <w:bottom w:val="single" w:color="CCCCCC" w:sz="4"/>
              <w:right w:val="single" w:color="CCCCCC" w:sz="4"/>
            </w:tcBorders>
            <w:shd w:fill="EEF4F8" w:val="clear"/>
            <w:tcMar>
              <w:top w:type="dxa" w:w="70"/>
              <w:left w:type="dxa" w:w="100"/>
              <w:bottom w:type="dxa" w:w="70"/>
              <w:right w:type="dxa" w:w="100"/>
            </w:tcMar>
          </w:tcPr>
          <w:p>
            <w:pPr>
              <w:jc w:val="center"/>
            </w:pPr>
            <w:r>
              <w:rPr>
                <w:rFonts w:ascii="Arial" w:cs="Arial" w:eastAsia="Arial" w:hAnsi="Arial"/>
                <w:b w:val="false"/>
                <w:bCs w:val="false"/>
                <w:i w:val="false"/>
                <w:iCs w:val="false"/>
                <w:sz w:val="17"/>
                <w:szCs w:val="17"/>
              </w:rPr>
              <w:t xml:space="preserve">$541,200</w:t>
            </w:r>
          </w:p>
        </w:tc>
        <w:tc>
          <w:tcPr>
            <w:tcW w:type="dxa" w:w="1160"/>
            <w:tcBorders>
              <w:top w:val="single" w:color="CCCCCC" w:sz="4"/>
              <w:left w:val="single" w:color="CCCCCC" w:sz="4"/>
              <w:bottom w:val="single" w:color="CCCCCC" w:sz="4"/>
              <w:right w:val="single" w:color="CCCCCC" w:sz="4"/>
            </w:tcBorders>
            <w:shd w:fill="EEF4F8" w:val="clear"/>
            <w:tcMar>
              <w:top w:type="dxa" w:w="70"/>
              <w:left w:type="dxa" w:w="100"/>
              <w:bottom w:type="dxa" w:w="70"/>
              <w:right w:type="dxa" w:w="100"/>
            </w:tcMar>
          </w:tcPr>
          <w:p>
            <w:pPr>
              <w:jc w:val="center"/>
            </w:pPr>
            <w:r>
              <w:rPr>
                <w:rFonts w:ascii="Arial" w:cs="Arial" w:eastAsia="Arial" w:hAnsi="Arial"/>
                <w:b/>
                <w:bCs/>
                <w:i w:val="false"/>
                <w:iCs w:val="false"/>
                <w:sz w:val="17"/>
                <w:szCs w:val="17"/>
              </w:rPr>
              <w:t xml:space="preserve">$2,706,000</w:t>
            </w:r>
          </w:p>
        </w:tc>
      </w:tr>
      <w:tr>
        <w:tc>
          <w:tcPr>
            <w:tcW w:type="dxa" w:w="24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jc w:val="left"/>
            </w:pPr>
            <w:r>
              <w:rPr>
                <w:rFonts w:ascii="Arial" w:cs="Arial" w:eastAsia="Arial" w:hAnsi="Arial"/>
                <w:b w:val="false"/>
                <w:bCs w:val="false"/>
                <w:i/>
                <w:iCs/>
                <w:sz w:val="17"/>
                <w:szCs w:val="17"/>
              </w:rPr>
              <w:t xml:space="preserve"># PEO Clients</w:t>
            </w:r>
          </w:p>
        </w:tc>
        <w:tc>
          <w:tcPr>
            <w:tcW w:type="dxa" w:w="116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jc w:val="center"/>
            </w:pPr>
            <w:r>
              <w:rPr>
                <w:rFonts w:ascii="Arial" w:cs="Arial" w:eastAsia="Arial" w:hAnsi="Arial"/>
                <w:b w:val="false"/>
                <w:bCs w:val="false"/>
                <w:i/>
                <w:iCs/>
                <w:sz w:val="17"/>
                <w:szCs w:val="17"/>
              </w:rPr>
              <w:t xml:space="preserve">10</w:t>
            </w:r>
          </w:p>
        </w:tc>
        <w:tc>
          <w:tcPr>
            <w:tcW w:type="dxa" w:w="116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jc w:val="center"/>
            </w:pPr>
            <w:r>
              <w:rPr>
                <w:rFonts w:ascii="Arial" w:cs="Arial" w:eastAsia="Arial" w:hAnsi="Arial"/>
                <w:b w:val="false"/>
                <w:bCs w:val="false"/>
                <w:i/>
                <w:iCs/>
                <w:sz w:val="17"/>
                <w:szCs w:val="17"/>
              </w:rPr>
              <w:t xml:space="preserve">10</w:t>
            </w:r>
          </w:p>
        </w:tc>
        <w:tc>
          <w:tcPr>
            <w:tcW w:type="dxa" w:w="116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jc w:val="center"/>
            </w:pPr>
            <w:r>
              <w:rPr>
                <w:rFonts w:ascii="Arial" w:cs="Arial" w:eastAsia="Arial" w:hAnsi="Arial"/>
                <w:b w:val="false"/>
                <w:bCs w:val="false"/>
                <w:i/>
                <w:iCs/>
                <w:sz w:val="17"/>
                <w:szCs w:val="17"/>
              </w:rPr>
              <w:t xml:space="preserve">10</w:t>
            </w:r>
          </w:p>
        </w:tc>
        <w:tc>
          <w:tcPr>
            <w:tcW w:type="dxa" w:w="116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jc w:val="center"/>
            </w:pPr>
            <w:r>
              <w:rPr>
                <w:rFonts w:ascii="Arial" w:cs="Arial" w:eastAsia="Arial" w:hAnsi="Arial"/>
                <w:b w:val="false"/>
                <w:bCs w:val="false"/>
                <w:i/>
                <w:iCs/>
                <w:sz w:val="17"/>
                <w:szCs w:val="17"/>
              </w:rPr>
              <w:t xml:space="preserve">10</w:t>
            </w:r>
          </w:p>
        </w:tc>
        <w:tc>
          <w:tcPr>
            <w:tcW w:type="dxa" w:w="116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jc w:val="center"/>
            </w:pPr>
            <w:r>
              <w:rPr>
                <w:rFonts w:ascii="Arial" w:cs="Arial" w:eastAsia="Arial" w:hAnsi="Arial"/>
                <w:b w:val="false"/>
                <w:bCs w:val="false"/>
                <w:i/>
                <w:iCs/>
                <w:sz w:val="17"/>
                <w:szCs w:val="17"/>
              </w:rPr>
              <w:t xml:space="preserve">10</w:t>
            </w:r>
          </w:p>
        </w:tc>
        <w:tc>
          <w:tcPr>
            <w:tcW w:type="dxa" w:w="116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jc w:val="center"/>
            </w:pPr>
            <w:r>
              <w:rPr>
                <w:rFonts w:ascii="Arial" w:cs="Arial" w:eastAsia="Arial" w:hAnsi="Arial"/>
                <w:b w:val="false"/>
                <w:bCs w:val="false"/>
                <w:i/>
                <w:iCs/>
                <w:sz w:val="17"/>
                <w:szCs w:val="17"/>
              </w:rPr>
              <w:t xml:space="preserve"/>
            </w:r>
          </w:p>
        </w:tc>
      </w:tr>
      <w:tr>
        <w:tc>
          <w:tcPr>
            <w:tcW w:type="dxa" w:w="24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jc w:val="left"/>
            </w:pPr>
            <w:r>
              <w:rPr>
                <w:rFonts w:ascii="Arial" w:cs="Arial" w:eastAsia="Arial" w:hAnsi="Arial"/>
                <w:b w:val="false"/>
                <w:bCs w:val="false"/>
                <w:i w:val="false"/>
                <w:iCs w:val="false"/>
                <w:sz w:val="17"/>
                <w:szCs w:val="17"/>
              </w:rPr>
              <w:t xml:space="preserve">Conservative (+3 — Valuation Basis)</w:t>
            </w:r>
          </w:p>
        </w:tc>
        <w:tc>
          <w:tcPr>
            <w:tcW w:type="dxa" w:w="116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jc w:val="center"/>
            </w:pPr>
            <w:r>
              <w:rPr>
                <w:rFonts w:ascii="Arial" w:cs="Arial" w:eastAsia="Arial" w:hAnsi="Arial"/>
                <w:b w:val="false"/>
                <w:bCs w:val="false"/>
                <w:i w:val="false"/>
                <w:iCs w:val="false"/>
                <w:sz w:val="17"/>
                <w:szCs w:val="17"/>
              </w:rPr>
              <w:t xml:space="preserve">$541,200</w:t>
            </w:r>
          </w:p>
        </w:tc>
        <w:tc>
          <w:tcPr>
            <w:tcW w:type="dxa" w:w="116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jc w:val="center"/>
            </w:pPr>
            <w:r>
              <w:rPr>
                <w:rFonts w:ascii="Arial" w:cs="Arial" w:eastAsia="Arial" w:hAnsi="Arial"/>
                <w:b w:val="false"/>
                <w:bCs w:val="false"/>
                <w:i w:val="false"/>
                <w:iCs w:val="false"/>
                <w:sz w:val="17"/>
                <w:szCs w:val="17"/>
              </w:rPr>
              <w:t xml:space="preserve">$595,320</w:t>
            </w:r>
          </w:p>
        </w:tc>
        <w:tc>
          <w:tcPr>
            <w:tcW w:type="dxa" w:w="116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jc w:val="center"/>
            </w:pPr>
            <w:r>
              <w:rPr>
                <w:rFonts w:ascii="Arial" w:cs="Arial" w:eastAsia="Arial" w:hAnsi="Arial"/>
                <w:b w:val="false"/>
                <w:bCs w:val="false"/>
                <w:i w:val="false"/>
                <w:iCs w:val="false"/>
                <w:sz w:val="17"/>
                <w:szCs w:val="17"/>
              </w:rPr>
              <w:t xml:space="preserve">$649,440</w:t>
            </w:r>
          </w:p>
        </w:tc>
        <w:tc>
          <w:tcPr>
            <w:tcW w:type="dxa" w:w="116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jc w:val="center"/>
            </w:pPr>
            <w:r>
              <w:rPr>
                <w:rFonts w:ascii="Arial" w:cs="Arial" w:eastAsia="Arial" w:hAnsi="Arial"/>
                <w:b w:val="false"/>
                <w:bCs w:val="false"/>
                <w:i w:val="false"/>
                <w:iCs w:val="false"/>
                <w:sz w:val="17"/>
                <w:szCs w:val="17"/>
              </w:rPr>
              <w:t xml:space="preserve">$703,560</w:t>
            </w:r>
          </w:p>
        </w:tc>
        <w:tc>
          <w:tcPr>
            <w:tcW w:type="dxa" w:w="116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jc w:val="center"/>
            </w:pPr>
            <w:r>
              <w:rPr>
                <w:rFonts w:ascii="Arial" w:cs="Arial" w:eastAsia="Arial" w:hAnsi="Arial"/>
                <w:b w:val="false"/>
                <w:bCs w:val="false"/>
                <w:i w:val="false"/>
                <w:iCs w:val="false"/>
                <w:sz w:val="17"/>
                <w:szCs w:val="17"/>
              </w:rPr>
              <w:t xml:space="preserve">$703,560</w:t>
            </w:r>
          </w:p>
        </w:tc>
        <w:tc>
          <w:tcPr>
            <w:tcW w:type="dxa" w:w="116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jc w:val="center"/>
            </w:pPr>
            <w:r>
              <w:rPr>
                <w:rFonts w:ascii="Arial" w:cs="Arial" w:eastAsia="Arial" w:hAnsi="Arial"/>
                <w:b/>
                <w:bCs/>
                <w:i w:val="false"/>
                <w:iCs w:val="false"/>
                <w:sz w:val="17"/>
                <w:szCs w:val="17"/>
              </w:rPr>
              <w:t xml:space="preserve">$3,193,080</w:t>
            </w:r>
          </w:p>
        </w:tc>
      </w:tr>
      <w:tr>
        <w:tc>
          <w:tcPr>
            <w:tcW w:type="dxa" w:w="24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jc w:val="left"/>
            </w:pPr>
            <w:r>
              <w:rPr>
                <w:rFonts w:ascii="Arial" w:cs="Arial" w:eastAsia="Arial" w:hAnsi="Arial"/>
                <w:b w:val="false"/>
                <w:bCs w:val="false"/>
                <w:i/>
                <w:iCs/>
                <w:sz w:val="17"/>
                <w:szCs w:val="17"/>
              </w:rPr>
              <w:t xml:space="preserve"># PEO Clients</w:t>
            </w:r>
          </w:p>
        </w:tc>
        <w:tc>
          <w:tcPr>
            <w:tcW w:type="dxa" w:w="116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jc w:val="center"/>
            </w:pPr>
            <w:r>
              <w:rPr>
                <w:rFonts w:ascii="Arial" w:cs="Arial" w:eastAsia="Arial" w:hAnsi="Arial"/>
                <w:b w:val="false"/>
                <w:bCs w:val="false"/>
                <w:i/>
                <w:iCs/>
                <w:sz w:val="17"/>
                <w:szCs w:val="17"/>
              </w:rPr>
              <w:t xml:space="preserve">10</w:t>
            </w:r>
          </w:p>
        </w:tc>
        <w:tc>
          <w:tcPr>
            <w:tcW w:type="dxa" w:w="116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jc w:val="center"/>
            </w:pPr>
            <w:r>
              <w:rPr>
                <w:rFonts w:ascii="Arial" w:cs="Arial" w:eastAsia="Arial" w:hAnsi="Arial"/>
                <w:b w:val="false"/>
                <w:bCs w:val="false"/>
                <w:i/>
                <w:iCs/>
                <w:sz w:val="17"/>
                <w:szCs w:val="17"/>
              </w:rPr>
              <w:t xml:space="preserve">11</w:t>
            </w:r>
          </w:p>
        </w:tc>
        <w:tc>
          <w:tcPr>
            <w:tcW w:type="dxa" w:w="116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jc w:val="center"/>
            </w:pPr>
            <w:r>
              <w:rPr>
                <w:rFonts w:ascii="Arial" w:cs="Arial" w:eastAsia="Arial" w:hAnsi="Arial"/>
                <w:b w:val="false"/>
                <w:bCs w:val="false"/>
                <w:i/>
                <w:iCs/>
                <w:sz w:val="17"/>
                <w:szCs w:val="17"/>
              </w:rPr>
              <w:t xml:space="preserve">12</w:t>
            </w:r>
          </w:p>
        </w:tc>
        <w:tc>
          <w:tcPr>
            <w:tcW w:type="dxa" w:w="116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jc w:val="center"/>
            </w:pPr>
            <w:r>
              <w:rPr>
                <w:rFonts w:ascii="Arial" w:cs="Arial" w:eastAsia="Arial" w:hAnsi="Arial"/>
                <w:b w:val="false"/>
                <w:bCs w:val="false"/>
                <w:i/>
                <w:iCs/>
                <w:sz w:val="17"/>
                <w:szCs w:val="17"/>
              </w:rPr>
              <w:t xml:space="preserve">13</w:t>
            </w:r>
          </w:p>
        </w:tc>
        <w:tc>
          <w:tcPr>
            <w:tcW w:type="dxa" w:w="116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jc w:val="center"/>
            </w:pPr>
            <w:r>
              <w:rPr>
                <w:rFonts w:ascii="Arial" w:cs="Arial" w:eastAsia="Arial" w:hAnsi="Arial"/>
                <w:b w:val="false"/>
                <w:bCs w:val="false"/>
                <w:i/>
                <w:iCs/>
                <w:sz w:val="17"/>
                <w:szCs w:val="17"/>
              </w:rPr>
              <w:t xml:space="preserve">13</w:t>
            </w:r>
          </w:p>
        </w:tc>
        <w:tc>
          <w:tcPr>
            <w:tcW w:type="dxa" w:w="116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jc w:val="center"/>
            </w:pPr>
            <w:r>
              <w:rPr>
                <w:rFonts w:ascii="Arial" w:cs="Arial" w:eastAsia="Arial" w:hAnsi="Arial"/>
                <w:b w:val="false"/>
                <w:bCs w:val="false"/>
                <w:i/>
                <w:iCs/>
                <w:sz w:val="17"/>
                <w:szCs w:val="17"/>
              </w:rPr>
              <w:t xml:space="preserve"/>
            </w:r>
          </w:p>
        </w:tc>
      </w:tr>
      <w:tr>
        <w:tc>
          <w:tcPr>
            <w:tcW w:type="dxa" w:w="2400"/>
            <w:tcBorders>
              <w:top w:val="single" w:color="CCCCCC" w:sz="4"/>
              <w:left w:val="single" w:color="CCCCCC" w:sz="4"/>
              <w:bottom w:val="single" w:color="CCCCCC" w:sz="4"/>
              <w:right w:val="single" w:color="CCCCCC" w:sz="4"/>
            </w:tcBorders>
            <w:shd w:fill="EEF4F8" w:val="clear"/>
            <w:tcMar>
              <w:top w:type="dxa" w:w="70"/>
              <w:left w:type="dxa" w:w="100"/>
              <w:bottom w:type="dxa" w:w="70"/>
              <w:right w:type="dxa" w:w="100"/>
            </w:tcMar>
          </w:tcPr>
          <w:p>
            <w:pPr>
              <w:jc w:val="left"/>
            </w:pPr>
            <w:r>
              <w:rPr>
                <w:rFonts w:ascii="Arial" w:cs="Arial" w:eastAsia="Arial" w:hAnsi="Arial"/>
                <w:b w:val="false"/>
                <w:bCs w:val="false"/>
                <w:i w:val="false"/>
                <w:iCs w:val="false"/>
                <w:sz w:val="17"/>
                <w:szCs w:val="17"/>
              </w:rPr>
              <w:t xml:space="preserve">Aggressive (+5 — Valuation Basis)</w:t>
            </w:r>
          </w:p>
        </w:tc>
        <w:tc>
          <w:tcPr>
            <w:tcW w:type="dxa" w:w="1160"/>
            <w:tcBorders>
              <w:top w:val="single" w:color="CCCCCC" w:sz="4"/>
              <w:left w:val="single" w:color="CCCCCC" w:sz="4"/>
              <w:bottom w:val="single" w:color="CCCCCC" w:sz="4"/>
              <w:right w:val="single" w:color="CCCCCC" w:sz="4"/>
            </w:tcBorders>
            <w:shd w:fill="EEF4F8" w:val="clear"/>
            <w:tcMar>
              <w:top w:type="dxa" w:w="70"/>
              <w:left w:type="dxa" w:w="100"/>
              <w:bottom w:type="dxa" w:w="70"/>
              <w:right w:type="dxa" w:w="100"/>
            </w:tcMar>
          </w:tcPr>
          <w:p>
            <w:pPr>
              <w:jc w:val="center"/>
            </w:pPr>
            <w:r>
              <w:rPr>
                <w:rFonts w:ascii="Arial" w:cs="Arial" w:eastAsia="Arial" w:hAnsi="Arial"/>
                <w:b w:val="false"/>
                <w:bCs w:val="false"/>
                <w:i w:val="false"/>
                <w:iCs w:val="false"/>
                <w:sz w:val="17"/>
                <w:szCs w:val="17"/>
              </w:rPr>
              <w:t xml:space="preserve">$541,200</w:t>
            </w:r>
          </w:p>
        </w:tc>
        <w:tc>
          <w:tcPr>
            <w:tcW w:type="dxa" w:w="1160"/>
            <w:tcBorders>
              <w:top w:val="single" w:color="CCCCCC" w:sz="4"/>
              <w:left w:val="single" w:color="CCCCCC" w:sz="4"/>
              <w:bottom w:val="single" w:color="CCCCCC" w:sz="4"/>
              <w:right w:val="single" w:color="CCCCCC" w:sz="4"/>
            </w:tcBorders>
            <w:shd w:fill="EEF4F8" w:val="clear"/>
            <w:tcMar>
              <w:top w:type="dxa" w:w="70"/>
              <w:left w:type="dxa" w:w="100"/>
              <w:bottom w:type="dxa" w:w="70"/>
              <w:right w:type="dxa" w:w="100"/>
            </w:tcMar>
          </w:tcPr>
          <w:p>
            <w:pPr>
              <w:jc w:val="center"/>
            </w:pPr>
            <w:r>
              <w:rPr>
                <w:rFonts w:ascii="Arial" w:cs="Arial" w:eastAsia="Arial" w:hAnsi="Arial"/>
                <w:b w:val="false"/>
                <w:bCs w:val="false"/>
                <w:i w:val="false"/>
                <w:iCs w:val="false"/>
                <w:sz w:val="17"/>
                <w:szCs w:val="17"/>
              </w:rPr>
              <w:t xml:space="preserve">$649,440</w:t>
            </w:r>
          </w:p>
        </w:tc>
        <w:tc>
          <w:tcPr>
            <w:tcW w:type="dxa" w:w="1160"/>
            <w:tcBorders>
              <w:top w:val="single" w:color="CCCCCC" w:sz="4"/>
              <w:left w:val="single" w:color="CCCCCC" w:sz="4"/>
              <w:bottom w:val="single" w:color="CCCCCC" w:sz="4"/>
              <w:right w:val="single" w:color="CCCCCC" w:sz="4"/>
            </w:tcBorders>
            <w:shd w:fill="EEF4F8" w:val="clear"/>
            <w:tcMar>
              <w:top w:type="dxa" w:w="70"/>
              <w:left w:type="dxa" w:w="100"/>
              <w:bottom w:type="dxa" w:w="70"/>
              <w:right w:type="dxa" w:w="100"/>
            </w:tcMar>
          </w:tcPr>
          <w:p>
            <w:pPr>
              <w:jc w:val="center"/>
            </w:pPr>
            <w:r>
              <w:rPr>
                <w:rFonts w:ascii="Arial" w:cs="Arial" w:eastAsia="Arial" w:hAnsi="Arial"/>
                <w:b w:val="false"/>
                <w:bCs w:val="false"/>
                <w:i w:val="false"/>
                <w:iCs w:val="false"/>
                <w:sz w:val="17"/>
                <w:szCs w:val="17"/>
              </w:rPr>
              <w:t xml:space="preserve">$703,560</w:t>
            </w:r>
          </w:p>
        </w:tc>
        <w:tc>
          <w:tcPr>
            <w:tcW w:type="dxa" w:w="1160"/>
            <w:tcBorders>
              <w:top w:val="single" w:color="CCCCCC" w:sz="4"/>
              <w:left w:val="single" w:color="CCCCCC" w:sz="4"/>
              <w:bottom w:val="single" w:color="CCCCCC" w:sz="4"/>
              <w:right w:val="single" w:color="CCCCCC" w:sz="4"/>
            </w:tcBorders>
            <w:shd w:fill="EEF4F8" w:val="clear"/>
            <w:tcMar>
              <w:top w:type="dxa" w:w="70"/>
              <w:left w:type="dxa" w:w="100"/>
              <w:bottom w:type="dxa" w:w="70"/>
              <w:right w:type="dxa" w:w="100"/>
            </w:tcMar>
          </w:tcPr>
          <w:p>
            <w:pPr>
              <w:jc w:val="center"/>
            </w:pPr>
            <w:r>
              <w:rPr>
                <w:rFonts w:ascii="Arial" w:cs="Arial" w:eastAsia="Arial" w:hAnsi="Arial"/>
                <w:b w:val="false"/>
                <w:bCs w:val="false"/>
                <w:i w:val="false"/>
                <w:iCs w:val="false"/>
                <w:sz w:val="17"/>
                <w:szCs w:val="17"/>
              </w:rPr>
              <w:t xml:space="preserve">$757,680</w:t>
            </w:r>
          </w:p>
        </w:tc>
        <w:tc>
          <w:tcPr>
            <w:tcW w:type="dxa" w:w="1160"/>
            <w:tcBorders>
              <w:top w:val="single" w:color="CCCCCC" w:sz="4"/>
              <w:left w:val="single" w:color="CCCCCC" w:sz="4"/>
              <w:bottom w:val="single" w:color="CCCCCC" w:sz="4"/>
              <w:right w:val="single" w:color="CCCCCC" w:sz="4"/>
            </w:tcBorders>
            <w:shd w:fill="EEF4F8" w:val="clear"/>
            <w:tcMar>
              <w:top w:type="dxa" w:w="70"/>
              <w:left w:type="dxa" w:w="100"/>
              <w:bottom w:type="dxa" w:w="70"/>
              <w:right w:type="dxa" w:w="100"/>
            </w:tcMar>
          </w:tcPr>
          <w:p>
            <w:pPr>
              <w:jc w:val="center"/>
            </w:pPr>
            <w:r>
              <w:rPr>
                <w:rFonts w:ascii="Arial" w:cs="Arial" w:eastAsia="Arial" w:hAnsi="Arial"/>
                <w:b w:val="false"/>
                <w:bCs w:val="false"/>
                <w:i w:val="false"/>
                <w:iCs w:val="false"/>
                <w:sz w:val="17"/>
                <w:szCs w:val="17"/>
              </w:rPr>
              <w:t xml:space="preserve">$811,800</w:t>
            </w:r>
          </w:p>
        </w:tc>
        <w:tc>
          <w:tcPr>
            <w:tcW w:type="dxa" w:w="1160"/>
            <w:tcBorders>
              <w:top w:val="single" w:color="CCCCCC" w:sz="4"/>
              <w:left w:val="single" w:color="CCCCCC" w:sz="4"/>
              <w:bottom w:val="single" w:color="CCCCCC" w:sz="4"/>
              <w:right w:val="single" w:color="CCCCCC" w:sz="4"/>
            </w:tcBorders>
            <w:shd w:fill="EEF4F8" w:val="clear"/>
            <w:tcMar>
              <w:top w:type="dxa" w:w="70"/>
              <w:left w:type="dxa" w:w="100"/>
              <w:bottom w:type="dxa" w:w="70"/>
              <w:right w:type="dxa" w:w="100"/>
            </w:tcMar>
          </w:tcPr>
          <w:p>
            <w:pPr>
              <w:jc w:val="center"/>
            </w:pPr>
            <w:r>
              <w:rPr>
                <w:rFonts w:ascii="Arial" w:cs="Arial" w:eastAsia="Arial" w:hAnsi="Arial"/>
                <w:b/>
                <w:bCs/>
                <w:i w:val="false"/>
                <w:iCs w:val="false"/>
                <w:sz w:val="17"/>
                <w:szCs w:val="17"/>
              </w:rPr>
              <w:t xml:space="preserve">$3,463,680</w:t>
            </w:r>
          </w:p>
        </w:tc>
      </w:tr>
      <w:tr>
        <w:tc>
          <w:tcPr>
            <w:tcW w:type="dxa" w:w="24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jc w:val="left"/>
            </w:pPr>
            <w:r>
              <w:rPr>
                <w:rFonts w:ascii="Arial" w:cs="Arial" w:eastAsia="Arial" w:hAnsi="Arial"/>
                <w:b w:val="false"/>
                <w:bCs w:val="false"/>
                <w:i/>
                <w:iCs/>
                <w:sz w:val="17"/>
                <w:szCs w:val="17"/>
              </w:rPr>
              <w:t xml:space="preserve"># PEO Clients</w:t>
            </w:r>
          </w:p>
        </w:tc>
        <w:tc>
          <w:tcPr>
            <w:tcW w:type="dxa" w:w="116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jc w:val="center"/>
            </w:pPr>
            <w:r>
              <w:rPr>
                <w:rFonts w:ascii="Arial" w:cs="Arial" w:eastAsia="Arial" w:hAnsi="Arial"/>
                <w:b w:val="false"/>
                <w:bCs w:val="false"/>
                <w:i/>
                <w:iCs/>
                <w:sz w:val="17"/>
                <w:szCs w:val="17"/>
              </w:rPr>
              <w:t xml:space="preserve">10</w:t>
            </w:r>
          </w:p>
        </w:tc>
        <w:tc>
          <w:tcPr>
            <w:tcW w:type="dxa" w:w="116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jc w:val="center"/>
            </w:pPr>
            <w:r>
              <w:rPr>
                <w:rFonts w:ascii="Arial" w:cs="Arial" w:eastAsia="Arial" w:hAnsi="Arial"/>
                <w:b w:val="false"/>
                <w:bCs w:val="false"/>
                <w:i/>
                <w:iCs/>
                <w:sz w:val="17"/>
                <w:szCs w:val="17"/>
              </w:rPr>
              <w:t xml:space="preserve">12</w:t>
            </w:r>
          </w:p>
        </w:tc>
        <w:tc>
          <w:tcPr>
            <w:tcW w:type="dxa" w:w="116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jc w:val="center"/>
            </w:pPr>
            <w:r>
              <w:rPr>
                <w:rFonts w:ascii="Arial" w:cs="Arial" w:eastAsia="Arial" w:hAnsi="Arial"/>
                <w:b w:val="false"/>
                <w:bCs w:val="false"/>
                <w:i/>
                <w:iCs/>
                <w:sz w:val="17"/>
                <w:szCs w:val="17"/>
              </w:rPr>
              <w:t xml:space="preserve">13</w:t>
            </w:r>
          </w:p>
        </w:tc>
        <w:tc>
          <w:tcPr>
            <w:tcW w:type="dxa" w:w="116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jc w:val="center"/>
            </w:pPr>
            <w:r>
              <w:rPr>
                <w:rFonts w:ascii="Arial" w:cs="Arial" w:eastAsia="Arial" w:hAnsi="Arial"/>
                <w:b w:val="false"/>
                <w:bCs w:val="false"/>
                <w:i/>
                <w:iCs/>
                <w:sz w:val="17"/>
                <w:szCs w:val="17"/>
              </w:rPr>
              <w:t xml:space="preserve">14</w:t>
            </w:r>
          </w:p>
        </w:tc>
        <w:tc>
          <w:tcPr>
            <w:tcW w:type="dxa" w:w="116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jc w:val="center"/>
            </w:pPr>
            <w:r>
              <w:rPr>
                <w:rFonts w:ascii="Arial" w:cs="Arial" w:eastAsia="Arial" w:hAnsi="Arial"/>
                <w:b w:val="false"/>
                <w:bCs w:val="false"/>
                <w:i/>
                <w:iCs/>
                <w:sz w:val="17"/>
                <w:szCs w:val="17"/>
              </w:rPr>
              <w:t xml:space="preserve">15</w:t>
            </w:r>
          </w:p>
        </w:tc>
        <w:tc>
          <w:tcPr>
            <w:tcW w:type="dxa" w:w="116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jc w:val="center"/>
            </w:pPr>
            <w:r>
              <w:rPr>
                <w:rFonts w:ascii="Arial" w:cs="Arial" w:eastAsia="Arial" w:hAnsi="Arial"/>
                <w:b w:val="false"/>
                <w:bCs w:val="false"/>
                <w:i/>
                <w:iCs/>
                <w:sz w:val="17"/>
                <w:szCs w:val="17"/>
              </w:rPr>
              <w:t xml:space="preserve"/>
            </w:r>
          </w:p>
        </w:tc>
      </w:tr>
    </w:tbl>
    <w:p>
      <w:pPr>
        <w:spacing w:before="0" w:after="0"/>
      </w:pPr>
      <w:r>
        <w:t xml:space="preserve"/>
      </w:r>
    </w:p>
    <w:p>
      <w:pPr>
        <w:spacing w:before="60" w:after="60"/>
      </w:pPr>
      <w:r>
        <w:rPr>
          <w:rFonts w:ascii="Arial" w:cs="Arial" w:eastAsia="Arial" w:hAnsi="Arial"/>
          <w:i/>
          <w:iCs/>
          <w:color w:val="555555"/>
          <w:sz w:val="17"/>
          <w:szCs w:val="17"/>
        </w:rPr>
        <w:t xml:space="preserve">Conservative and Aggressive scenarios reflect the natural demand pipeline created by the buyer's own national PEO acquisition strategy. Each PEO added to the buyer's portfolio is a candidate for this claims management platform. Growth is embedded in the buyer's business model — not dependent on independent commercial development by Renee.</w:t>
      </w:r>
    </w:p>
    <w:p>
      <w:pPr>
        <w:spacing w:before="0" w:after="0"/>
      </w:pPr>
      <w:r>
        <w:t xml:space="preserve"/>
      </w:r>
    </w:p>
    <w:p>
      <w:r>
        <w:br w:type="page"/>
      </w:r>
    </w:p>
    <w:p>
      <w:pPr>
        <w:pStyle w:val="Heading1"/>
        <w:pBdr>
          <w:bottom w:val="single" w:color="C8922A" w:sz="6" w:space="4"/>
        </w:pBdr>
        <w:spacing w:before="360" w:after="120"/>
      </w:pPr>
      <w:r>
        <w:rPr>
          <w:rFonts w:ascii="Arial" w:cs="Arial" w:eastAsia="Arial" w:hAnsi="Arial"/>
          <w:b/>
          <w:bCs/>
          <w:color w:val="1B3A5C"/>
          <w:sz w:val="28"/>
          <w:szCs w:val="28"/>
        </w:rPr>
        <w:t xml:space="preserve">12.  UNIVERSAL TERMS &amp; CONDITIONS</w:t>
      </w:r>
    </w:p>
    <w:p>
      <w:pPr>
        <w:pStyle w:val="Heading2"/>
        <w:spacing w:before="240" w:after="80"/>
      </w:pPr>
      <w:r>
        <w:rPr>
          <w:rFonts w:ascii="Arial" w:cs="Arial" w:eastAsia="Arial" w:hAnsi="Arial"/>
          <w:b/>
          <w:bCs/>
          <w:color w:val="1B3A5C"/>
          <w:sz w:val="22"/>
          <w:szCs w:val="22"/>
        </w:rPr>
        <w:t xml:space="preserve">Transaction Structure</w:t>
      </w:r>
    </w:p>
    <w:p>
      <w:pPr>
        <w:pStyle w:val="ListParagraph"/>
        <w:numPr>
          <w:ilvl w:val="0"/>
          <w:numId w:val="2"/>
        </w:numPr>
        <w:spacing w:before="40" w:after="40"/>
      </w:pPr>
      <w:r>
        <w:rPr>
          <w:rFonts w:ascii="Arial" w:cs="Arial" w:eastAsia="Arial" w:hAnsi="Arial"/>
          <w:b w:val="false"/>
          <w:bCs w:val="false"/>
          <w:sz w:val="20"/>
          <w:szCs w:val="20"/>
        </w:rPr>
        <w:t xml:space="preserve">This is an executive services and non-compete arrangement — not a client contract acquisition</w:t>
      </w:r>
    </w:p>
    <w:p>
      <w:pPr>
        <w:pStyle w:val="ListParagraph"/>
        <w:numPr>
          <w:ilvl w:val="0"/>
          <w:numId w:val="2"/>
        </w:numPr>
        <w:spacing w:before="40" w:after="40"/>
      </w:pPr>
      <w:r>
        <w:rPr>
          <w:rFonts w:ascii="Arial" w:cs="Arial" w:eastAsia="Arial" w:hAnsi="Arial"/>
          <w:b w:val="false"/>
          <w:bCs w:val="false"/>
          <w:sz w:val="20"/>
          <w:szCs w:val="20"/>
        </w:rPr>
        <w:t xml:space="preserve">ALCC, LLC retains all client contracts; Renee is restricted (under Proposals B/C) from performing services under those contracts</w:t>
      </w:r>
    </w:p>
    <w:p>
      <w:pPr>
        <w:pStyle w:val="ListParagraph"/>
        <w:numPr>
          <w:ilvl w:val="0"/>
          <w:numId w:val="2"/>
        </w:numPr>
        <w:spacing w:before="40" w:after="40"/>
      </w:pPr>
      <w:r>
        <w:rPr>
          <w:rFonts w:ascii="Arial" w:cs="Arial" w:eastAsia="Arial" w:hAnsi="Arial"/>
          <w:b w:val="false"/>
          <w:bCs w:val="false"/>
          <w:sz w:val="20"/>
          <w:szCs w:val="20"/>
        </w:rPr>
        <w:t xml:space="preserve">The non-compete payment compensates for the restriction, not the purchase of client goodwill as an asset</w:t>
      </w:r>
    </w:p>
    <w:p>
      <w:pPr>
        <w:pStyle w:val="ListParagraph"/>
        <w:numPr>
          <w:ilvl w:val="0"/>
          <w:numId w:val="2"/>
        </w:numPr>
        <w:spacing w:before="40" w:after="40"/>
      </w:pPr>
      <w:r>
        <w:rPr>
          <w:rFonts w:ascii="Arial" w:cs="Arial" w:eastAsia="Arial" w:hAnsi="Arial"/>
          <w:b w:val="false"/>
          <w:bCs w:val="false"/>
          <w:sz w:val="20"/>
          <w:szCs w:val="20"/>
        </w:rPr>
        <w:t xml:space="preserve">ALCC's ancillary service lines (recorded statements, drug testing, field investigations) are excluded from transfer; restricted under Proposals B and C</w:t>
      </w:r>
    </w:p>
    <w:p>
      <w:pPr>
        <w:pStyle w:val="ListParagraph"/>
        <w:numPr>
          <w:ilvl w:val="0"/>
          <w:numId w:val="2"/>
        </w:numPr>
        <w:spacing w:before="40" w:after="40"/>
      </w:pPr>
      <w:r>
        <w:rPr>
          <w:rFonts w:ascii="Arial" w:cs="Arial" w:eastAsia="Arial" w:hAnsi="Arial"/>
          <w:b w:val="false"/>
          <w:bCs w:val="false"/>
          <w:sz w:val="20"/>
          <w:szCs w:val="20"/>
        </w:rPr>
        <w:t xml:space="preserve">ALCC, LLC may continue to exist as a legal entity; its operations are restricted per the non-compete scope selected</w:t>
      </w:r>
    </w:p>
    <w:p>
      <w:pPr>
        <w:spacing w:before="0" w:after="0"/>
      </w:pPr>
      <w:r>
        <w:t xml:space="preserve"/>
      </w:r>
    </w:p>
    <w:p>
      <w:pPr>
        <w:pStyle w:val="Heading2"/>
        <w:spacing w:before="240" w:after="80"/>
      </w:pPr>
      <w:r>
        <w:rPr>
          <w:rFonts w:ascii="Arial" w:cs="Arial" w:eastAsia="Arial" w:hAnsi="Arial"/>
          <w:b/>
          <w:bCs/>
          <w:color w:val="1B3A5C"/>
          <w:sz w:val="22"/>
          <w:szCs w:val="22"/>
        </w:rPr>
        <w:t xml:space="preserve">Employment Is a Condition, Not an Add-On</w:t>
      </w:r>
    </w:p>
    <w:p>
      <w:pPr>
        <w:pStyle w:val="ListParagraph"/>
        <w:numPr>
          <w:ilvl w:val="0"/>
          <w:numId w:val="2"/>
        </w:numPr>
        <w:spacing w:before="40" w:after="40"/>
      </w:pPr>
      <w:r>
        <w:rPr>
          <w:rFonts w:ascii="Arial" w:cs="Arial" w:eastAsia="Arial" w:hAnsi="Arial"/>
          <w:b w:val="false"/>
          <w:bCs w:val="false"/>
          <w:sz w:val="20"/>
          <w:szCs w:val="20"/>
        </w:rPr>
        <w:t xml:space="preserve">The non-compete payment and employment terms are negotiated and accepted as a single integrated package in all proposals</w:t>
      </w:r>
    </w:p>
    <w:p>
      <w:pPr>
        <w:pStyle w:val="ListParagraph"/>
        <w:numPr>
          <w:ilvl w:val="0"/>
          <w:numId w:val="2"/>
        </w:numPr>
        <w:spacing w:before="40" w:after="40"/>
      </w:pPr>
      <w:r>
        <w:rPr>
          <w:rFonts w:ascii="Arial" w:cs="Arial" w:eastAsia="Arial" w:hAnsi="Arial"/>
          <w:b w:val="false"/>
          <w:bCs w:val="false"/>
          <w:sz w:val="20"/>
          <w:szCs w:val="20"/>
        </w:rPr>
        <w:t xml:space="preserve">Minimum salary: $400,000 (Proposal A) | $375,000 (Proposal B) | $425,000 (Proposal C)</w:t>
      </w:r>
    </w:p>
    <w:p>
      <w:pPr>
        <w:pStyle w:val="ListParagraph"/>
        <w:numPr>
          <w:ilvl w:val="0"/>
          <w:numId w:val="2"/>
        </w:numPr>
        <w:spacing w:before="40" w:after="40"/>
      </w:pPr>
      <w:r>
        <w:rPr>
          <w:rFonts w:ascii="Arial" w:cs="Arial" w:eastAsia="Arial" w:hAnsi="Arial"/>
          <w:b w:val="false"/>
          <w:bCs w:val="false"/>
          <w:sz w:val="20"/>
          <w:szCs w:val="20"/>
        </w:rPr>
        <w:t xml:space="preserve">Equity participation: Required in all scenarios</w:t>
      </w:r>
    </w:p>
    <w:p>
      <w:pPr>
        <w:pStyle w:val="ListParagraph"/>
        <w:numPr>
          <w:ilvl w:val="0"/>
          <w:numId w:val="2"/>
        </w:numPr>
        <w:spacing w:before="40" w:after="40"/>
      </w:pPr>
      <w:r>
        <w:rPr>
          <w:rFonts w:ascii="Arial" w:cs="Arial" w:eastAsia="Arial" w:hAnsi="Arial"/>
          <w:b w:val="false"/>
          <w:bCs w:val="false"/>
          <w:sz w:val="20"/>
          <w:szCs w:val="20"/>
        </w:rPr>
        <w:t xml:space="preserve">Written employment contract with cause-only termination: Required in all scenarios</w:t>
      </w:r>
    </w:p>
    <w:p>
      <w:pPr>
        <w:spacing w:before="0" w:after="0"/>
      </w:pPr>
      <w:r>
        <w:t xml:space="preserve"/>
      </w:r>
    </w:p>
    <w:p>
      <w:pPr>
        <w:pStyle w:val="Heading2"/>
        <w:spacing w:before="240" w:after="80"/>
      </w:pPr>
      <w:r>
        <w:rPr>
          <w:rFonts w:ascii="Arial" w:cs="Arial" w:eastAsia="Arial" w:hAnsi="Arial"/>
          <w:b/>
          <w:bCs/>
          <w:color w:val="1B3A5C"/>
          <w:sz w:val="22"/>
          <w:szCs w:val="22"/>
        </w:rPr>
        <w:t xml:space="preserve">Due Diligence Commitment</w:t>
      </w:r>
    </w:p>
    <w:p>
      <w:pPr>
        <w:pStyle w:val="ListParagraph"/>
        <w:numPr>
          <w:ilvl w:val="0"/>
          <w:numId w:val="2"/>
        </w:numPr>
        <w:spacing w:before="40" w:after="40"/>
      </w:pPr>
      <w:r>
        <w:rPr>
          <w:rFonts w:ascii="Arial" w:cs="Arial" w:eastAsia="Arial" w:hAnsi="Arial"/>
          <w:b w:val="false"/>
          <w:bCs w:val="false"/>
          <w:sz w:val="20"/>
          <w:szCs w:val="20"/>
        </w:rPr>
        <w:t xml:space="preserve">Seller will provide actual revenue documentation, client contract summaries, FFVA agreement, cost records, and SOP library during a defined due diligence period</w:t>
      </w:r>
    </w:p>
    <w:p>
      <w:pPr>
        <w:pStyle w:val="ListParagraph"/>
        <w:numPr>
          <w:ilvl w:val="0"/>
          <w:numId w:val="2"/>
        </w:numPr>
        <w:spacing w:before="40" w:after="40"/>
      </w:pPr>
      <w:r>
        <w:rPr>
          <w:rFonts w:ascii="Arial" w:cs="Arial" w:eastAsia="Arial" w:hAnsi="Arial"/>
          <w:b w:val="false"/>
          <w:bCs w:val="false"/>
          <w:sz w:val="20"/>
          <w:szCs w:val="20"/>
        </w:rPr>
        <w:t xml:space="preserve">All [EST] figures will be replaced with verified figures during due diligence — non-compete payment subject to confirmation against actuals</w:t>
      </w:r>
    </w:p>
    <w:p>
      <w:pPr>
        <w:pStyle w:val="ListParagraph"/>
        <w:numPr>
          <w:ilvl w:val="0"/>
          <w:numId w:val="2"/>
        </w:numPr>
        <w:spacing w:before="40" w:after="40"/>
      </w:pPr>
      <w:r>
        <w:rPr>
          <w:rFonts w:ascii="Arial" w:cs="Arial" w:eastAsia="Arial" w:hAnsi="Arial"/>
          <w:b w:val="false"/>
          <w:bCs w:val="false"/>
          <w:sz w:val="20"/>
          <w:szCs w:val="20"/>
        </w:rPr>
        <w:t xml:space="preserve">Seller represents that all 10 client contracts are in good standing</w:t>
      </w:r>
    </w:p>
    <w:p>
      <w:pPr>
        <w:pStyle w:val="ListParagraph"/>
        <w:numPr>
          <w:ilvl w:val="0"/>
          <w:numId w:val="2"/>
        </w:numPr>
        <w:spacing w:before="40" w:after="40"/>
      </w:pPr>
      <w:r>
        <w:rPr>
          <w:rFonts w:ascii="Arial" w:cs="Arial" w:eastAsia="Arial" w:hAnsi="Arial"/>
          <w:b w:val="false"/>
          <w:bCs w:val="false"/>
          <w:sz w:val="20"/>
          <w:szCs w:val="20"/>
        </w:rPr>
        <w:t xml:space="preserve">Drug testing, field investigation, and recorded statement revenue will be documented to support non-compete loss calculations</w:t>
      </w:r>
    </w:p>
    <w:p>
      <w:pPr>
        <w:spacing w:before="0" w:after="0"/>
      </w:pPr>
      <w:r>
        <w:t xml:space="preserve"/>
      </w:r>
    </w:p>
    <w:p>
      <w:pPr>
        <w:pStyle w:val="Heading2"/>
        <w:spacing w:before="240" w:after="80"/>
      </w:pPr>
      <w:r>
        <w:rPr>
          <w:rFonts w:ascii="Arial" w:cs="Arial" w:eastAsia="Arial" w:hAnsi="Arial"/>
          <w:b/>
          <w:bCs/>
          <w:color w:val="1B3A5C"/>
          <w:sz w:val="22"/>
          <w:szCs w:val="22"/>
        </w:rPr>
        <w:t xml:space="preserve">Confidentiality</w:t>
      </w:r>
    </w:p>
    <w:p>
      <w:pPr>
        <w:pStyle w:val="ListParagraph"/>
        <w:numPr>
          <w:ilvl w:val="0"/>
          <w:numId w:val="2"/>
        </w:numPr>
        <w:spacing w:before="40" w:after="40"/>
      </w:pPr>
      <w:r>
        <w:rPr>
          <w:rFonts w:ascii="Arial" w:cs="Arial" w:eastAsia="Arial" w:hAnsi="Arial"/>
          <w:b w:val="false"/>
          <w:bCs w:val="false"/>
          <w:sz w:val="20"/>
          <w:szCs w:val="20"/>
        </w:rPr>
        <w:t xml:space="preserve">This document is confidential and for Docks Sutherland and authorized team members only</w:t>
      </w:r>
    </w:p>
    <w:p>
      <w:pPr>
        <w:pStyle w:val="ListParagraph"/>
        <w:numPr>
          <w:ilvl w:val="0"/>
          <w:numId w:val="2"/>
        </w:numPr>
        <w:spacing w:before="40" w:after="40"/>
      </w:pPr>
      <w:r>
        <w:rPr>
          <w:rFonts w:ascii="Arial" w:cs="Arial" w:eastAsia="Arial" w:hAnsi="Arial"/>
          <w:b w:val="false"/>
          <w:bCs w:val="false"/>
          <w:sz w:val="20"/>
          <w:szCs w:val="20"/>
        </w:rPr>
        <w:t xml:space="preserve">All rights reserved pending LOI or NDA execution</w:t>
      </w:r>
    </w:p>
    <w:p>
      <w:pPr>
        <w:spacing w:before="0" w:after="0"/>
      </w:pPr>
      <w:r>
        <w:t xml:space="preserve"/>
      </w:r>
    </w:p>
    <w:p>
      <w:pPr>
        <w:pStyle w:val="Heading2"/>
        <w:spacing w:before="240" w:after="80"/>
      </w:pPr>
      <w:r>
        <w:rPr>
          <w:rFonts w:ascii="Arial" w:cs="Arial" w:eastAsia="Arial" w:hAnsi="Arial"/>
          <w:b/>
          <w:bCs/>
          <w:color w:val="1B3A5C"/>
          <w:sz w:val="22"/>
          <w:szCs w:val="22"/>
        </w:rPr>
        <w:t xml:space="preserve">Recommended Next Steps</w:t>
      </w:r>
    </w:p>
    <w:p>
      <w:pPr>
        <w:pStyle w:val="ListParagraph"/>
        <w:numPr>
          <w:ilvl w:val="0"/>
          <w:numId w:val="2"/>
        </w:numPr>
        <w:spacing w:before="40" w:after="40"/>
      </w:pPr>
      <w:r>
        <w:rPr>
          <w:rFonts w:ascii="Arial" w:cs="Arial" w:eastAsia="Arial" w:hAnsi="Arial"/>
          <w:b w:val="false"/>
          <w:bCs w:val="false"/>
          <w:sz w:val="20"/>
          <w:szCs w:val="20"/>
        </w:rPr>
        <w:t xml:space="preserve">Buyer acknowledges receipt and responds with a preferred proposal tier or counter-proposal range</w:t>
      </w:r>
    </w:p>
    <w:p>
      <w:pPr>
        <w:pStyle w:val="ListParagraph"/>
        <w:numPr>
          <w:ilvl w:val="0"/>
          <w:numId w:val="2"/>
        </w:numPr>
        <w:spacing w:before="40" w:after="40"/>
      </w:pPr>
      <w:r>
        <w:rPr>
          <w:rFonts w:ascii="Arial" w:cs="Arial" w:eastAsia="Arial" w:hAnsi="Arial"/>
          <w:b w:val="false"/>
          <w:bCs w:val="false"/>
          <w:sz w:val="20"/>
          <w:szCs w:val="20"/>
        </w:rPr>
        <w:t xml:space="preserve">Parties execute mutual NDA if not already in place</w:t>
      </w:r>
    </w:p>
    <w:p>
      <w:pPr>
        <w:pStyle w:val="ListParagraph"/>
        <w:numPr>
          <w:ilvl w:val="0"/>
          <w:numId w:val="2"/>
        </w:numPr>
        <w:spacing w:before="40" w:after="40"/>
      </w:pPr>
      <w:r>
        <w:rPr>
          <w:rFonts w:ascii="Arial" w:cs="Arial" w:eastAsia="Arial" w:hAnsi="Arial"/>
          <w:b w:val="false"/>
          <w:bCs w:val="false"/>
          <w:sz w:val="20"/>
          <w:szCs w:val="20"/>
        </w:rPr>
        <w:t xml:space="preserve">LOI drafted by legal counsel for both parties</w:t>
      </w:r>
    </w:p>
    <w:p>
      <w:pPr>
        <w:pStyle w:val="ListParagraph"/>
        <w:numPr>
          <w:ilvl w:val="0"/>
          <w:numId w:val="2"/>
        </w:numPr>
        <w:spacing w:before="40" w:after="40"/>
      </w:pPr>
      <w:r>
        <w:rPr>
          <w:rFonts w:ascii="Arial" w:cs="Arial" w:eastAsia="Arial" w:hAnsi="Arial"/>
          <w:b w:val="false"/>
          <w:bCs w:val="false"/>
          <w:sz w:val="20"/>
          <w:szCs w:val="20"/>
        </w:rPr>
        <w:t xml:space="preserve">Due diligence period terms agreed upon LOI execution</w:t>
      </w:r>
    </w:p>
    <w:p>
      <w:pPr>
        <w:pStyle w:val="ListParagraph"/>
        <w:numPr>
          <w:ilvl w:val="0"/>
          <w:numId w:val="2"/>
        </w:numPr>
        <w:spacing w:before="40" w:after="40"/>
      </w:pPr>
      <w:r>
        <w:rPr>
          <w:rFonts w:ascii="Arial" w:cs="Arial" w:eastAsia="Arial" w:hAnsi="Arial"/>
          <w:b w:val="false"/>
          <w:bCs w:val="false"/>
          <w:sz w:val="20"/>
          <w:szCs w:val="20"/>
        </w:rPr>
        <w:t xml:space="preserve">Target closing: mutual agreement</w:t>
      </w:r>
    </w:p>
    <w:p>
      <w:pPr>
        <w:spacing w:before="0" w:after="0"/>
      </w:pPr>
      <w:r>
        <w:t xml:space="preserve"/>
      </w:r>
    </w:p>
    <w:p>
      <w:r>
        <w:br w:type="page"/>
      </w:r>
    </w:p>
    <w:p>
      <w:pPr>
        <w:pStyle w:val="Heading1"/>
        <w:pBdr>
          <w:bottom w:val="single" w:color="C8922A" w:sz="6" w:space="4"/>
        </w:pBdr>
        <w:spacing w:before="360" w:after="120"/>
      </w:pPr>
      <w:r>
        <w:rPr>
          <w:rFonts w:ascii="Arial" w:cs="Arial" w:eastAsia="Arial" w:hAnsi="Arial"/>
          <w:b/>
          <w:bCs/>
          <w:color w:val="1B3A5C"/>
          <w:sz w:val="28"/>
          <w:szCs w:val="28"/>
        </w:rPr>
        <w:t xml:space="preserve">13.  APPENDIX A — DUE DILIGENCE DATA ROOM INDEX</w:t>
      </w:r>
    </w:p>
    <w:p>
      <w:pPr>
        <w:spacing w:before="60" w:after="60"/>
        <w:jc w:val="left"/>
      </w:pPr>
      <w:r>
        <w:rPr>
          <w:rFonts w:ascii="Arial" w:cs="Arial" w:eastAsia="Arial" w:hAnsi="Arial"/>
          <w:b w:val="false"/>
          <w:bCs w:val="false"/>
          <w:i w:val="false"/>
          <w:iCs w:val="false"/>
          <w:color w:val="000000"/>
          <w:sz w:val="20"/>
          <w:szCs w:val="20"/>
        </w:rPr>
        <w:t xml:space="preserve">The following document schedules are prepared and available for review upon execution of a mutual NDA and LOI. This index is provided to signal that every estimated figure — including the lost-income calculations that underpin the non-compete payment — is backed by verifiable source documentation.</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4960"/>
      </w:tblGrid>
      <w:tr>
        <w:tc>
          <w:tcPr>
            <w:tcW w:type="dxa" w:w="140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Schedule</w:t>
            </w:r>
          </w:p>
        </w:tc>
        <w:tc>
          <w:tcPr>
            <w:tcW w:type="dxa" w:w="300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Document Title</w:t>
            </w:r>
          </w:p>
        </w:tc>
        <w:tc>
          <w:tcPr>
            <w:tcW w:type="dxa" w:w="496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Contents &amp; Purpose</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sz w:val="18"/>
                <w:szCs w:val="18"/>
              </w:rPr>
              <w:t xml:space="preserve">A</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24-Month Trailing P&amp;L Statement</w:t>
            </w:r>
          </w:p>
        </w:tc>
        <w:tc>
          <w:tcPr>
            <w:tcW w:type="dxa" w:w="4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Verifies ARR, MRR, and all [EST] cost figures. Confirms EBITDA margin and validates the profitability model.</w:t>
            </w:r>
          </w:p>
        </w:tc>
      </w:tr>
      <w:tr>
        <w:tc>
          <w:tcPr>
            <w:tcW w:type="dxa" w:w="1400"/>
            <w:tcBorders>
              <w:top w:val="single" w:color="CCCCCC" w:sz="4"/>
              <w:left w:val="single" w:color="CCCCCC" w:sz="4"/>
              <w:bottom w:val="single" w:color="CCCCCC" w:sz="4"/>
              <w:right w:val="single" w:color="CCCCCC" w:sz="4"/>
            </w:tcBorders>
            <w:shd w:fill="EEF4F8" w:val="clear"/>
            <w:tcMar>
              <w:top w:type="dxa" w:w="80"/>
              <w:left w:type="dxa" w:w="120"/>
              <w:bottom w:type="dxa" w:w="80"/>
              <w:right w:type="dxa" w:w="120"/>
            </w:tcMar>
          </w:tcPr>
          <w:p>
            <w:pPr>
              <w:jc w:val="center"/>
            </w:pPr>
            <w:r>
              <w:rPr>
                <w:rFonts w:ascii="Arial" w:cs="Arial" w:eastAsia="Arial" w:hAnsi="Arial"/>
                <w:b/>
                <w:bCs/>
                <w:sz w:val="18"/>
                <w:szCs w:val="18"/>
              </w:rPr>
              <w:t xml:space="preserve">B</w:t>
            </w:r>
          </w:p>
        </w:tc>
        <w:tc>
          <w:tcPr>
            <w:tcW w:type="dxa" w:w="3000"/>
            <w:tcBorders>
              <w:top w:val="single" w:color="CCCCCC" w:sz="4"/>
              <w:left w:val="single" w:color="CCCCCC" w:sz="4"/>
              <w:bottom w:val="single" w:color="CCCCCC" w:sz="4"/>
              <w:right w:val="single" w:color="CCCCCC" w:sz="4"/>
            </w:tcBorders>
            <w:shd w:fill="EEF4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ALCC Business Revenue Summary</w:t>
            </w:r>
          </w:p>
        </w:tc>
        <w:tc>
          <w:tcPr>
            <w:tcW w:type="dxa" w:w="4960"/>
            <w:tcBorders>
              <w:top w:val="single" w:color="CCCCCC" w:sz="4"/>
              <w:left w:val="single" w:color="CCCCCC" w:sz="4"/>
              <w:bottom w:val="single" w:color="CCCCCC" w:sz="4"/>
              <w:right w:val="single" w:color="CCCCCC" w:sz="4"/>
            </w:tcBorders>
            <w:shd w:fill="EEF4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Documents all active revenue streams: PEO services, recorded statements (FFVA + carriers), drug testing, and field investigations. Validates all lost-income figures used in the non-compete valuation.</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sz w:val="18"/>
                <w:szCs w:val="18"/>
              </w:rPr>
              <w:t xml:space="preserve">C</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Executed Client Contracts — 10 Active PEOs</w:t>
            </w:r>
          </w:p>
        </w:tc>
        <w:tc>
          <w:tcPr>
            <w:tcW w:type="dxa" w:w="4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Full executed agreements. Confirms contract terms, renewal provisions, and absence of material disputes. Supports referral fee eligibility tracking.</w:t>
            </w:r>
          </w:p>
        </w:tc>
      </w:tr>
      <w:tr>
        <w:tc>
          <w:tcPr>
            <w:tcW w:type="dxa" w:w="1400"/>
            <w:tcBorders>
              <w:top w:val="single" w:color="CCCCCC" w:sz="4"/>
              <w:left w:val="single" w:color="CCCCCC" w:sz="4"/>
              <w:bottom w:val="single" w:color="CCCCCC" w:sz="4"/>
              <w:right w:val="single" w:color="CCCCCC" w:sz="4"/>
            </w:tcBorders>
            <w:shd w:fill="EEF4F8" w:val="clear"/>
            <w:tcMar>
              <w:top w:type="dxa" w:w="80"/>
              <w:left w:type="dxa" w:w="120"/>
              <w:bottom w:type="dxa" w:w="80"/>
              <w:right w:type="dxa" w:w="120"/>
            </w:tcMar>
          </w:tcPr>
          <w:p>
            <w:pPr>
              <w:jc w:val="center"/>
            </w:pPr>
            <w:r>
              <w:rPr>
                <w:rFonts w:ascii="Arial" w:cs="Arial" w:eastAsia="Arial" w:hAnsi="Arial"/>
                <w:b/>
                <w:bCs/>
                <w:sz w:val="18"/>
                <w:szCs w:val="18"/>
              </w:rPr>
              <w:t xml:space="preserve">D</w:t>
            </w:r>
          </w:p>
        </w:tc>
        <w:tc>
          <w:tcPr>
            <w:tcW w:type="dxa" w:w="3000"/>
            <w:tcBorders>
              <w:top w:val="single" w:color="CCCCCC" w:sz="4"/>
              <w:left w:val="single" w:color="CCCCCC" w:sz="4"/>
              <w:bottom w:val="single" w:color="CCCCCC" w:sz="4"/>
              <w:right w:val="single" w:color="CCCCCC" w:sz="4"/>
            </w:tcBorders>
            <w:shd w:fill="EEF4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12-Month Revenue &amp; Payment Ledger</w:t>
            </w:r>
          </w:p>
        </w:tc>
        <w:tc>
          <w:tcPr>
            <w:tcW w:type="dxa" w:w="4960"/>
            <w:tcBorders>
              <w:top w:val="single" w:color="CCCCCC" w:sz="4"/>
              <w:left w:val="single" w:color="CCCCCC" w:sz="4"/>
              <w:bottom w:val="single" w:color="CCCCCC" w:sz="4"/>
              <w:right w:val="single" w:color="CCCCCC" w:sz="4"/>
            </w:tcBorders>
            <w:shd w:fill="EEF4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Itemized monthly billing and payment records for all PEO clients and ancillary service lines. Verifies the $45,100 MRR figure.</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sz w:val="18"/>
                <w:szCs w:val="18"/>
              </w:rPr>
              <w:t xml:space="preserve">E</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SOP Library &amp; Process Documentation</w:t>
            </w:r>
          </w:p>
        </w:tc>
        <w:tc>
          <w:tcPr>
            <w:tcW w:type="dxa" w:w="4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Complete Standard Operating Procedure library: claims intake, triage, client-specific protocols, vendor management, and reporting cadence.</w:t>
            </w:r>
          </w:p>
        </w:tc>
      </w:tr>
      <w:tr>
        <w:tc>
          <w:tcPr>
            <w:tcW w:type="dxa" w:w="1400"/>
            <w:tcBorders>
              <w:top w:val="single" w:color="CCCCCC" w:sz="4"/>
              <w:left w:val="single" w:color="CCCCCC" w:sz="4"/>
              <w:bottom w:val="single" w:color="CCCCCC" w:sz="4"/>
              <w:right w:val="single" w:color="CCCCCC" w:sz="4"/>
            </w:tcBorders>
            <w:shd w:fill="EEF4F8" w:val="clear"/>
            <w:tcMar>
              <w:top w:type="dxa" w:w="80"/>
              <w:left w:type="dxa" w:w="120"/>
              <w:bottom w:type="dxa" w:w="80"/>
              <w:right w:type="dxa" w:w="120"/>
            </w:tcMar>
          </w:tcPr>
          <w:p>
            <w:pPr>
              <w:jc w:val="center"/>
            </w:pPr>
            <w:r>
              <w:rPr>
                <w:rFonts w:ascii="Arial" w:cs="Arial" w:eastAsia="Arial" w:hAnsi="Arial"/>
                <w:b/>
                <w:bCs/>
                <w:sz w:val="18"/>
                <w:szCs w:val="18"/>
              </w:rPr>
              <w:t xml:space="preserve">F</w:t>
            </w:r>
          </w:p>
        </w:tc>
        <w:tc>
          <w:tcPr>
            <w:tcW w:type="dxa" w:w="3000"/>
            <w:tcBorders>
              <w:top w:val="single" w:color="CCCCCC" w:sz="4"/>
              <w:left w:val="single" w:color="CCCCCC" w:sz="4"/>
              <w:bottom w:val="single" w:color="CCCCCC" w:sz="4"/>
              <w:right w:val="single" w:color="CCCCCC" w:sz="4"/>
            </w:tcBorders>
            <w:shd w:fill="EEF4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Vendor &amp; Adjuster Network Registry</w:t>
            </w:r>
          </w:p>
        </w:tc>
        <w:tc>
          <w:tcPr>
            <w:tcW w:type="dxa" w:w="4960"/>
            <w:tcBorders>
              <w:top w:val="single" w:color="CCCCCC" w:sz="4"/>
              <w:left w:val="single" w:color="CCCCCC" w:sz="4"/>
              <w:bottom w:val="single" w:color="CCCCCC" w:sz="4"/>
              <w:right w:val="single" w:color="CCCCCC" w:sz="4"/>
            </w:tcBorders>
            <w:shd w:fill="EEF4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Directory of all active vendor relationships including field investigators, independent adjusters, and medical evaluators.</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sz w:val="18"/>
                <w:szCs w:val="18"/>
              </w:rPr>
              <w:t xml:space="preserve">G</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Technology &amp; Platform Access Summary</w:t>
            </w:r>
          </w:p>
        </w:tc>
        <w:tc>
          <w:tcPr>
            <w:tcW w:type="dxa" w:w="4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All software, portals, and platforms used in PEO claims operations. Includes license terms and transferability status.</w:t>
            </w:r>
          </w:p>
        </w:tc>
      </w:tr>
      <w:tr>
        <w:tc>
          <w:tcPr>
            <w:tcW w:type="dxa" w:w="1400"/>
            <w:tcBorders>
              <w:top w:val="single" w:color="CCCCCC" w:sz="4"/>
              <w:left w:val="single" w:color="CCCCCC" w:sz="4"/>
              <w:bottom w:val="single" w:color="CCCCCC" w:sz="4"/>
              <w:right w:val="single" w:color="CCCCCC" w:sz="4"/>
            </w:tcBorders>
            <w:shd w:fill="EEF4F8" w:val="clear"/>
            <w:tcMar>
              <w:top w:type="dxa" w:w="80"/>
              <w:left w:type="dxa" w:w="120"/>
              <w:bottom w:type="dxa" w:w="80"/>
              <w:right w:type="dxa" w:w="120"/>
            </w:tcMar>
          </w:tcPr>
          <w:p>
            <w:pPr>
              <w:jc w:val="center"/>
            </w:pPr>
            <w:r>
              <w:rPr>
                <w:rFonts w:ascii="Arial" w:cs="Arial" w:eastAsia="Arial" w:hAnsi="Arial"/>
                <w:b/>
                <w:bCs/>
                <w:sz w:val="18"/>
                <w:szCs w:val="18"/>
              </w:rPr>
              <w:t xml:space="preserve">H</w:t>
            </w:r>
          </w:p>
        </w:tc>
        <w:tc>
          <w:tcPr>
            <w:tcW w:type="dxa" w:w="3000"/>
            <w:tcBorders>
              <w:top w:val="single" w:color="CCCCCC" w:sz="4"/>
              <w:left w:val="single" w:color="CCCCCC" w:sz="4"/>
              <w:bottom w:val="single" w:color="CCCCCC" w:sz="4"/>
              <w:right w:val="single" w:color="CCCCCC" w:sz="4"/>
            </w:tcBorders>
            <w:shd w:fill="EEF4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Renee's Employment &amp; Compensation History</w:t>
            </w:r>
          </w:p>
        </w:tc>
        <w:tc>
          <w:tcPr>
            <w:tcW w:type="dxa" w:w="4960"/>
            <w:tcBorders>
              <w:top w:val="single" w:color="CCCCCC" w:sz="4"/>
              <w:left w:val="single" w:color="CCCCCC" w:sz="4"/>
              <w:bottom w:val="single" w:color="CCCCCC" w:sz="4"/>
              <w:right w:val="single" w:color="CCCCCC" w:sz="4"/>
            </w:tcBorders>
            <w:shd w:fill="EEF4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Confirms current compensation, tenure, and professional credentials. Supports EBITDA bridge figures.</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sz w:val="18"/>
                <w:szCs w:val="18"/>
              </w:rPr>
              <w:t xml:space="preserve">I</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FFVA &amp; Carrier Recorded Statement Agreements</w:t>
            </w:r>
          </w:p>
        </w:tc>
        <w:tc>
          <w:tcPr>
            <w:tcW w:type="dxa" w:w="4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Service agreements and revenue documentation for recorded statement work. Validates the $72,000+ annual figure used in non-compete compensation calculation.</w:t>
            </w:r>
          </w:p>
        </w:tc>
      </w:tr>
      <w:tr>
        <w:tc>
          <w:tcPr>
            <w:tcW w:type="dxa" w:w="1400"/>
            <w:tcBorders>
              <w:top w:val="single" w:color="CCCCCC" w:sz="4"/>
              <w:left w:val="single" w:color="CCCCCC" w:sz="4"/>
              <w:bottom w:val="single" w:color="CCCCCC" w:sz="4"/>
              <w:right w:val="single" w:color="CCCCCC" w:sz="4"/>
            </w:tcBorders>
            <w:shd w:fill="EEF4F8" w:val="clear"/>
            <w:tcMar>
              <w:top w:type="dxa" w:w="80"/>
              <w:left w:type="dxa" w:w="120"/>
              <w:bottom w:type="dxa" w:w="80"/>
              <w:right w:type="dxa" w:w="120"/>
            </w:tcMar>
          </w:tcPr>
          <w:p>
            <w:pPr>
              <w:jc w:val="center"/>
            </w:pPr>
            <w:r>
              <w:rPr>
                <w:rFonts w:ascii="Arial" w:cs="Arial" w:eastAsia="Arial" w:hAnsi="Arial"/>
                <w:b/>
                <w:bCs/>
                <w:sz w:val="18"/>
                <w:szCs w:val="18"/>
              </w:rPr>
              <w:t xml:space="preserve">J</w:t>
            </w:r>
          </w:p>
        </w:tc>
        <w:tc>
          <w:tcPr>
            <w:tcW w:type="dxa" w:w="3000"/>
            <w:tcBorders>
              <w:top w:val="single" w:color="CCCCCC" w:sz="4"/>
              <w:left w:val="single" w:color="CCCCCC" w:sz="4"/>
              <w:bottom w:val="single" w:color="CCCCCC" w:sz="4"/>
              <w:right w:val="single" w:color="CCCCCC" w:sz="4"/>
            </w:tcBorders>
            <w:shd w:fill="EEF4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Client Satisfaction &amp; Service Record Summary</w:t>
            </w:r>
          </w:p>
        </w:tc>
        <w:tc>
          <w:tcPr>
            <w:tcW w:type="dxa" w:w="4960"/>
            <w:tcBorders>
              <w:top w:val="single" w:color="CCCCCC" w:sz="4"/>
              <w:left w:val="single" w:color="CCCCCC" w:sz="4"/>
              <w:bottom w:val="single" w:color="CCCCCC" w:sz="4"/>
              <w:right w:val="single" w:color="CCCCCC" w:sz="4"/>
            </w:tcBorders>
            <w:shd w:fill="EEF4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Client tenure, renewal history, and performance documentation. Supports retention and goodwill assumptions.</w:t>
            </w:r>
          </w:p>
        </w:tc>
      </w:tr>
    </w:tbl>
    <w:p>
      <w:pPr>
        <w:spacing w:before="0" w:after="0"/>
      </w:pPr>
      <w:r>
        <w:t xml:space="preserve"/>
      </w:r>
    </w:p>
    <w:p>
      <w:pPr>
        <w:pBdr>
          <w:top w:val="single" w:color="C8922A" w:sz="4"/>
          <w:bottom w:val="single" w:color="C8922A" w:sz="4"/>
          <w:left w:val="thick" w:color="C8922A" w:sz="12"/>
          <w:right w:val="none" w:color="FFFFFF" w:sz="0"/>
        </w:pBdr>
        <w:spacing w:before="120" w:after="120"/>
        <w:ind w:left="360" w:right="360"/>
      </w:pPr>
      <w:r>
        <w:rPr>
          <w:rFonts w:ascii="Arial" w:cs="Arial" w:eastAsia="Arial" w:hAnsi="Arial"/>
          <w:b/>
          <w:bCs/>
          <w:i/>
          <w:iCs/>
          <w:color w:val="1B3A5C"/>
          <w:sz w:val="20"/>
          <w:szCs w:val="20"/>
        </w:rPr>
        <w:t xml:space="preserve">All schedules are prepared and will be released in full upon NDA execution. The seller does not require a protracted due diligence period — the documentation is organized, current, and ready for review. A well-prepared data room is not a courtesy; it is evidence that the numbers in this proposal are real.</w:t>
      </w:r>
    </w:p>
    <w:p>
      <w:pPr>
        <w:spacing w:before="0" w:after="0"/>
      </w:pPr>
      <w:r>
        <w:t xml:space="preserve"/>
      </w:r>
    </w:p>
    <w:p>
      <w:r>
        <w:br w:type="page"/>
      </w:r>
    </w:p>
    <w:p>
      <w:pPr>
        <w:pStyle w:val="Heading1"/>
        <w:pBdr>
          <w:bottom w:val="single" w:color="C8922A" w:sz="6" w:space="4"/>
        </w:pBdr>
        <w:spacing w:before="360" w:after="120"/>
      </w:pPr>
      <w:r>
        <w:rPr>
          <w:rFonts w:ascii="Arial" w:cs="Arial" w:eastAsia="Arial" w:hAnsi="Arial"/>
          <w:b/>
          <w:bCs/>
          <w:color w:val="1B3A5C"/>
          <w:sz w:val="28"/>
          <w:szCs w:val="28"/>
        </w:rPr>
        <w:t xml:space="preserve">14.  CLOSING STATEMENT</w:t>
      </w:r>
    </w:p>
    <w:p>
      <w:pPr>
        <w:spacing w:before="60" w:after="60"/>
        <w:jc w:val="left"/>
      </w:pPr>
      <w:r>
        <w:rPr>
          <w:rFonts w:ascii="Arial" w:cs="Arial" w:eastAsia="Arial" w:hAnsi="Arial"/>
          <w:b w:val="false"/>
          <w:bCs w:val="false"/>
          <w:i w:val="false"/>
          <w:iCs w:val="false"/>
          <w:color w:val="000000"/>
          <w:sz w:val="20"/>
          <w:szCs w:val="20"/>
        </w:rPr>
        <w:t xml:space="preserve">This proposal has been restructured to reflect the seller's actual position: Renee is not selling her clients. She is selling — in two of three tiers — her freedom to operate, her competing presence in the market, and her exclusive executive focus. The non-compete payments in Proposals B and C compensate for a real, documented, and verifiable loss of income across multiple business lines that she currently operates profitably.</w:t>
      </w:r>
    </w:p>
    <w:p>
      <w:pPr>
        <w:spacing w:before="0" w:after="0"/>
      </w:pPr>
      <w:r>
        <w:t xml:space="preserve"/>
      </w:r>
    </w:p>
    <w:p>
      <w:pPr>
        <w:spacing w:before="60" w:after="60"/>
        <w:jc w:val="left"/>
      </w:pPr>
      <w:r>
        <w:rPr>
          <w:rFonts w:ascii="Arial" w:cs="Arial" w:eastAsia="Arial" w:hAnsi="Arial"/>
          <w:b w:val="false"/>
          <w:bCs w:val="false"/>
          <w:i w:val="false"/>
          <w:iCs w:val="false"/>
          <w:color w:val="000000"/>
          <w:sz w:val="20"/>
          <w:szCs w:val="20"/>
        </w:rPr>
        <w:t xml:space="preserve">For Proposal A, the value is simpler: Docks Sutherland gets the best claims executive he has seen perform inside his own portfolio, on an employment basis, without requiring her to exit the business she has built.</w:t>
      </w:r>
    </w:p>
    <w:p>
      <w:pPr>
        <w:spacing w:before="0" w:after="0"/>
      </w:pPr>
      <w:r>
        <w:t xml:space="preserve"/>
      </w:r>
    </w:p>
    <w:p>
      <w:pPr>
        <w:spacing w:before="60" w:after="60"/>
        <w:jc w:val="left"/>
      </w:pPr>
      <w:r>
        <w:rPr>
          <w:rFonts w:ascii="Arial" w:cs="Arial" w:eastAsia="Arial" w:hAnsi="Arial"/>
          <w:b w:val="false"/>
          <w:bCs w:val="false"/>
          <w:i w:val="false"/>
          <w:iCs w:val="false"/>
          <w:color w:val="000000"/>
          <w:sz w:val="20"/>
          <w:szCs w:val="20"/>
        </w:rPr>
        <w:t xml:space="preserve">The seller's four objectives remain unchanged:</w:t>
      </w:r>
    </w:p>
    <w:p>
      <w:pPr>
        <w:spacing w:before="0" w:after="0"/>
      </w:pPr>
      <w:r>
        <w:t xml:space="preserve"/>
      </w:r>
    </w:p>
    <w:p>
      <w:pPr>
        <w:pStyle w:val="ListParagraph"/>
        <w:numPr>
          <w:ilvl w:val="0"/>
          <w:numId w:val="2"/>
        </w:numPr>
        <w:spacing w:before="40" w:after="40"/>
      </w:pPr>
      <w:r>
        <w:rPr>
          <w:rFonts w:ascii="Arial" w:cs="Arial" w:eastAsia="Arial" w:hAnsi="Arial"/>
          <w:b w:val="false"/>
          <w:bCs w:val="false"/>
          <w:sz w:val="20"/>
          <w:szCs w:val="20"/>
        </w:rPr>
        <w:t xml:space="preserve">A non-compete payment — where applicable — that reflects the true value of the income streams and entrepreneurial freedom being permanently restricted</w:t>
      </w:r>
    </w:p>
    <w:p>
      <w:pPr>
        <w:pStyle w:val="ListParagraph"/>
        <w:numPr>
          <w:ilvl w:val="0"/>
          <w:numId w:val="2"/>
        </w:numPr>
        <w:spacing w:before="40" w:after="40"/>
      </w:pPr>
      <w:r>
        <w:rPr>
          <w:rFonts w:ascii="Arial" w:cs="Arial" w:eastAsia="Arial" w:hAnsi="Arial"/>
          <w:b w:val="false"/>
          <w:bCs w:val="false"/>
          <w:sz w:val="20"/>
          <w:szCs w:val="20"/>
        </w:rPr>
        <w:t xml:space="preserve">A compensation package for Renee that is commensurate with her role as the operational foundation of a growing national claims enterprise</w:t>
      </w:r>
    </w:p>
    <w:p>
      <w:pPr>
        <w:pStyle w:val="ListParagraph"/>
        <w:numPr>
          <w:ilvl w:val="0"/>
          <w:numId w:val="2"/>
        </w:numPr>
        <w:spacing w:before="40" w:after="40"/>
      </w:pPr>
      <w:r>
        <w:rPr>
          <w:rFonts w:ascii="Arial" w:cs="Arial" w:eastAsia="Arial" w:hAnsi="Arial"/>
          <w:b w:val="false"/>
          <w:bCs w:val="false"/>
          <w:sz w:val="20"/>
          <w:szCs w:val="20"/>
        </w:rPr>
        <w:t xml:space="preserve">An equity position that aligns Renee's long-term interests with the success of the entity she will lead</w:t>
      </w:r>
    </w:p>
    <w:p>
      <w:pPr>
        <w:pStyle w:val="ListParagraph"/>
        <w:numPr>
          <w:ilvl w:val="0"/>
          <w:numId w:val="2"/>
        </w:numPr>
        <w:spacing w:before="40" w:after="40"/>
      </w:pPr>
      <w:r>
        <w:rPr>
          <w:rFonts w:ascii="Arial" w:cs="Arial" w:eastAsia="Arial" w:hAnsi="Arial"/>
          <w:b w:val="false"/>
          <w:bCs w:val="false"/>
          <w:sz w:val="20"/>
          <w:szCs w:val="20"/>
        </w:rPr>
        <w:t xml:space="preserve">A clean, well-documented arrangement that delivers uninterrupted service from day one and leaves no operational gaps</w:t>
      </w:r>
    </w:p>
    <w:p>
      <w:pPr>
        <w:spacing w:before="0" w:after="0"/>
      </w:pPr>
      <w:r>
        <w:t xml:space="preserve"/>
      </w:r>
    </w:p>
    <w:p>
      <w:pPr>
        <w:spacing w:before="60" w:after="60"/>
        <w:jc w:val="left"/>
      </w:pPr>
      <w:r>
        <w:rPr>
          <w:rFonts w:ascii="Arial" w:cs="Arial" w:eastAsia="Arial" w:hAnsi="Arial"/>
          <w:b w:val="false"/>
          <w:bCs w:val="false"/>
          <w:i w:val="false"/>
          <w:iCs w:val="false"/>
          <w:color w:val="000000"/>
          <w:sz w:val="20"/>
          <w:szCs w:val="20"/>
        </w:rPr>
        <w:t xml:space="preserve">We are ready to move. We welcome Docks Sutherland's response and are prepared to enter due diligence quickly.</w:t>
      </w:r>
    </w:p>
    <w:p>
      <w:pPr>
        <w:spacing w:before="0" w:after="0"/>
      </w:pPr>
      <w:r>
        <w:t xml:space="preserve"/>
      </w:r>
    </w:p>
    <w:p>
      <w:pPr>
        <w:spacing w:before="0" w:after="0"/>
      </w:pPr>
      <w:r>
        <w:t xml:space="preserve"/>
      </w:r>
    </w:p>
    <w:p>
      <w:pPr>
        <w:pBdr>
          <w:top w:val="single" w:color="1B3A5C" w:sz="4" w:space="4"/>
        </w:pBdr>
        <w:spacing w:before="120" w:after="60"/>
      </w:pPr>
      <w:r>
        <w:rPr>
          <w:rFonts w:ascii="Arial" w:cs="Arial" w:eastAsia="Arial" w:hAnsi="Arial"/>
          <w:color w:val="1B3A5C"/>
          <w:sz w:val="20"/>
          <w:szCs w:val="20"/>
        </w:rPr>
        <w:t xml:space="preserve">___________________________________________</w:t>
      </w:r>
    </w:p>
    <w:p>
      <w:pPr>
        <w:spacing w:before="60" w:after="60"/>
        <w:jc w:val="left"/>
      </w:pPr>
      <w:r>
        <w:rPr>
          <w:rFonts w:ascii="Arial" w:cs="Arial" w:eastAsia="Arial" w:hAnsi="Arial"/>
          <w:b w:val="false"/>
          <w:bCs w:val="false"/>
          <w:i w:val="false"/>
          <w:iCs w:val="false"/>
          <w:color w:val="000000"/>
          <w:sz w:val="20"/>
          <w:szCs w:val="20"/>
        </w:rPr>
        <w:t xml:space="preserve">Authorized Representative, Mildred and Margie Inc.</w:t>
      </w:r>
    </w:p>
    <w:p>
      <w:pPr>
        <w:spacing w:before="60" w:after="60"/>
        <w:jc w:val="left"/>
      </w:pPr>
      <w:r>
        <w:rPr>
          <w:rFonts w:ascii="Arial" w:cs="Arial" w:eastAsia="Arial" w:hAnsi="Arial"/>
          <w:b w:val="false"/>
          <w:bCs w:val="false"/>
          <w:i w:val="false"/>
          <w:iCs w:val="false"/>
          <w:color w:val="000000"/>
          <w:sz w:val="20"/>
          <w:szCs w:val="20"/>
        </w:rPr>
        <w:t xml:space="preserve">March 2026</w:t>
      </w:r>
    </w:p>
    <w:p>
      <w:pPr>
        <w:spacing w:before="0" w:after="0"/>
      </w:pPr>
      <w:r>
        <w:t xml:space="preserve"/>
      </w:r>
    </w:p>
    <w:p>
      <w:pPr>
        <w:spacing w:before="240" w:after="60"/>
        <w:jc w:val="center"/>
      </w:pPr>
      <w:r>
        <w:rPr>
          <w:rFonts w:ascii="Arial" w:cs="Arial" w:eastAsia="Arial" w:hAnsi="Arial"/>
          <w:b/>
          <w:bCs/>
          <w:i/>
          <w:iCs/>
          <w:color w:val="1B3A5C"/>
          <w:sz w:val="17"/>
          <w:szCs w:val="17"/>
        </w:rPr>
        <w:t xml:space="preserve">CONFIDENTIAL — FOR NEGOTIATION PURPOSES ONLY — NOT A BINDING COMMITMENT</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922A" w:sz="4" w:space="4"/>
      </w:pBdr>
      <w:spacing w:before="80"/>
    </w:pPr>
    <w:r>
      <w:rPr>
        <w:rFonts w:ascii="Arial" w:cs="Arial" w:eastAsia="Arial" w:hAnsi="Arial"/>
        <w:color w:val="555555"/>
        <w:sz w:val="16"/>
        <w:szCs w:val="16"/>
      </w:rPr>
      <w:t xml:space="preserve">CONFIDENTIAL — FOR NEGOTIATION PURPOSES ONLY — NOT A BINDING COMMITMENT  |  Page </w:t>
    </w:r>
    <w:r>
      <w:rPr>
        <w:rFonts w:ascii="Arial" w:cs="Arial" w:eastAsia="Arial" w:hAnsi="Arial"/>
        <w:color w:val="555555"/>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922A" w:sz="6" w:space="4"/>
      </w:pBdr>
      <w:spacing w:after="120"/>
    </w:pPr>
    <w:r>
      <w:rPr>
        <w:rFonts w:ascii="Arial" w:cs="Arial" w:eastAsia="Arial" w:hAnsi="Arial"/>
        <w:color w:val="555555"/>
        <w:sz w:val="16"/>
        <w:szCs w:val="16"/>
      </w:rPr>
      <w:t xml:space="preserve">ALCC, LLC — Executive Services &amp; Non-Compete Proposal  |  </w:t>
    </w:r>
    <w:r>
      <w:rPr>
        <w:rFonts w:ascii="Arial" w:cs="Arial" w:eastAsia="Arial" w:hAnsi="Arial"/>
        <w:b/>
        <w:bCs/>
        <w:color w:val="1B3A5C"/>
        <w:sz w:val="16"/>
        <w:szCs w:val="16"/>
      </w:rPr>
      <w:t xml:space="preserve">CONFIDENTIAL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3A5C"/>
      <w:sz w:val="28"/>
      <w:szCs w:val="28"/>
    </w:rPr>
  </w:style>
  <w:style w:type="paragraph" w:styleId="Heading2">
    <w:name w:val="Heading 2"/>
    <w:basedOn w:val="Normal"/>
    <w:next w:val="Normal"/>
    <w:qFormat/>
    <w:pPr>
      <w:spacing w:before="240" w:after="80"/>
      <w:outlineLvl w:val="1"/>
    </w:pPr>
    <w:rPr>
      <w:rFonts w:ascii="Arial" w:cs="Arial" w:eastAsia="Arial" w:hAnsi="Arial"/>
      <w:b/>
      <w:bCs/>
      <w:color w:val="1B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2026-03-29T03:06:11.335Z</dcterms:created>
  <dcterms:modified xsi:type="dcterms:W3CDTF">2026-03-29T03:06:11.335Z</dcterms:modified>
</cp:coreProperties>
</file>

<file path=docProps/custom.xml><?xml version="1.0" encoding="utf-8"?>
<Properties xmlns="http://schemas.openxmlformats.org/officeDocument/2006/custom-properties" xmlns:vt="http://schemas.openxmlformats.org/officeDocument/2006/docPropsVTypes"/>
</file>