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de594019bac253e120c9e694195c82823e2b1d"/>
    <w:p>
      <w:pPr>
        <w:pStyle w:val="Heading1"/>
      </w:pPr>
      <w:r>
        <w:t xml:space="preserve">06 - Decision Record</w:t>
      </w:r>
    </w:p>
    <w:p>
      <w:pPr>
        <w:pStyle w:val="FirstParagraph"/>
      </w:pPr>
      <w:r>
        <w:t xml:space="preserve">Log of confirmed decisions for the Team A Nairobi flood prototype. Each entry states who decided it and what it rests on. Entries here outrank the Master Specification (Context #2) and any earlier summary in conversation.</w:t>
      </w:r>
    </w:p>
    <w:p>
      <w:pPr>
        <w:pStyle w:val="BodyText"/>
      </w:pPr>
      <w:r>
        <w:t xml:space="preserve">Status values: ORGANIZER-CONFIRMED, DATA-ESTABLISHED, SOURCE-VERIFIED, RESEARCH FINDING, PROVISIONAL, TEAM DECISION, OPEN, CLOSED.</w:t>
      </w:r>
    </w:p>
    <w:p>
      <w:pPr>
        <w:pStyle w:val="BodyText"/>
      </w:pPr>
      <w:r>
        <w:t xml:space="preserve">Source tags: [O] organizer-provided fact, [D] observed directly in the supplied data, [S] stated in the cited published source, [P] established catastrophe-modelling practice, [A] our own modelling assumption.</w:t>
      </w:r>
    </w:p>
    <w:p>
      <w:r>
        <w:pict>
          <v:rect style="width:0;height:1.5pt" o:hralign="center" o:hrstd="t" o:hr="t"/>
        </w:pict>
      </w:r>
    </w:p>
    <w:bookmarkStart w:id="20" w:name="Xb6a92f9366b017008f1bf16524dbe0cd6afdfff"/>
    <w:p>
      <w:pPr>
        <w:pStyle w:val="Heading2"/>
      </w:pPr>
      <w:r>
        <w:t xml:space="preserve">D-001 — Insured values (TIV) to use for financial loss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ORGANIZER-CONFIRMED (not an assumption)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tiv_kes</w:t>
      </w:r>
      <w:r>
        <w:t xml:space="preserve"> </w:t>
      </w:r>
      <w:r>
        <w:t xml:space="preserve">values in the supplied exposure CSVs exactly as supplied for all financial-loss calculations.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of truth:</w:t>
      </w:r>
      <w:r>
        <w:t xml:space="preserve"> </w:t>
      </w:r>
      <w:r>
        <w:rPr>
          <w:rStyle w:val="VerbatimChar"/>
        </w:rPr>
        <w:t xml:space="preserve">exposure_nairobi_with_hazard.csv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exposure_nairobi_synthetic.csv</w:t>
      </w:r>
      <w:r>
        <w:t xml:space="preserve"> </w:t>
      </w:r>
      <w:r>
        <w:t xml:space="preserve">(identical</w:t>
      </w:r>
      <w:r>
        <w:t xml:space="preserve"> </w:t>
      </w:r>
      <w:r>
        <w:rPr>
          <w:rStyle w:val="VerbatimChar"/>
        </w:rPr>
        <w:t xml:space="preserve">tiv_kes</w:t>
      </w:r>
      <w:r>
        <w:t xml:space="preserve"> </w:t>
      </w:r>
      <w:r>
        <w:t xml:space="preserve">in both).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Portfolio TIV:</w:t>
      </w:r>
      <w:r>
        <w:t xml:space="preserve"> </w:t>
      </w:r>
      <w:r>
        <w:t xml:space="preserve">KES 63,635,075,000 (about KES 63.64 billion), 600 buildings.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not:</w:t>
      </w:r>
      <w:r>
        <w:t xml:space="preserve"> </w:t>
      </w:r>
      <w:r>
        <w:t xml:space="preserve">scale, modify or otherwise correct the CSV values.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rPr>
          <w:rStyle w:val="VerbatimChar"/>
        </w:rPr>
        <w:t xml:space="preserve">Dataset_Metadata.docx</w:t>
      </w:r>
      <w:r>
        <w:t xml:space="preserve"> </w:t>
      </w:r>
      <w:r>
        <w:t xml:space="preserve">states a total of KES 6,363,470,000 and says</w:t>
      </w:r>
      <w:r>
        <w:t xml:space="preserve"> </w:t>
      </w:r>
      <w:r>
        <w:rPr>
          <w:rStyle w:val="VerbatimChar"/>
        </w:rPr>
        <w:t xml:space="preserve">tiv_kes</w:t>
      </w:r>
      <w:r>
        <w:t xml:space="preserve"> </w:t>
      </w:r>
      <w:r>
        <w:t xml:space="preserve">equals floor area × cost per m². The CSV values are about 10× that. The organizers have confirmed the metadata figure is a documentation inconsistency in the synthetic starter data and the CSV is correct.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Consequences to carry forward: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tiv_kes</w:t>
      </w:r>
      <w:r>
        <w:t xml:space="preserve"> </w:t>
      </w:r>
      <w:r>
        <w:t xml:space="preserve">does not equal</w:t>
      </w:r>
      <w:r>
        <w:t xml:space="preserve"> </w:t>
      </w:r>
      <w:r>
        <w:rPr>
          <w:rStyle w:val="VerbatimChar"/>
        </w:rPr>
        <w:t xml:space="preserve">floor_area_m2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cost_per_m2_kes</w:t>
      </w:r>
      <w:r>
        <w:t xml:space="preserve"> </w:t>
      </w:r>
      <w:r>
        <w:t xml:space="preserve">in the files. Do not recompute or validate TIV from those two columns.</w:t>
      </w:r>
    </w:p>
    <w:p>
      <w:pPr>
        <w:numPr>
          <w:ilvl w:val="1"/>
          <w:numId w:val="1002"/>
        </w:numPr>
        <w:pStyle w:val="Compact"/>
      </w:pPr>
      <w:r>
        <w:t xml:space="preserve">The metadata's TIV statistics (minimum 40,000; median 520,000; maximum 159,200,000; total 6.36 bn) must not be quoted. The file values are minimum 410,000; median 5,192,500; maximum 1,592,010,000.</w:t>
      </w:r>
    </w:p>
    <w:p>
      <w:pPr>
        <w:numPr>
          <w:ilvl w:val="1"/>
          <w:numId w:val="1002"/>
        </w:numPr>
        <w:pStyle w:val="Compact"/>
      </w:pPr>
      <w:r>
        <w:t xml:space="preserve">The written note and interface should cite the CSV as the value source and still label the portfolio as synthetic.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Applies at:</w:t>
      </w:r>
      <w:r>
        <w:t xml:space="preserve"> </w:t>
      </w:r>
      <w:r>
        <w:t xml:space="preserve">the financial-loss engine. No design change is made on account of this entry.</w:t>
      </w:r>
    </w:p>
    <w:p>
      <w:r>
        <w:pict>
          <v:rect style="width:0;height:1.5pt" o:hralign="center" o:hrstd="t" o:hr="t"/>
        </w:pict>
      </w:r>
    </w:p>
    <w:bookmarkEnd w:id="20"/>
    <w:bookmarkStart w:id="21" w:name="Xa5fa29341f94e7c024049424152a8f1b8017db9"/>
    <w:p>
      <w:pPr>
        <w:pStyle w:val="Heading2"/>
      </w:pPr>
      <w:r>
        <w:t xml:space="preserve">D-002 — What the five Nairobi hazard tiers are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DATA-ESTABLISHED, consistent with organizer documentation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Finding:</w:t>
      </w:r>
      <w:r>
        <w:t xml:space="preserve"> </w:t>
      </w:r>
      <w:r>
        <w:t xml:space="preserve">The five rasters are five cuts through one underlying 0–1 susceptibility score. They are not five independently simulated flood events.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Organizer statement [O]:</w:t>
      </w:r>
      <w:r>
        <w:t xml:space="preserve"> </w:t>
      </w:r>
      <w:r>
        <w:t xml:space="preserve">"The five files are cuts through that one score. 'common' keeps the highest-scoring 40% of cells, 'occasional' 30%, 'moderate' 20%, 'severe' 10% and 'extreme' 5%, each rescaled to run from 0 to 1." (</w:t>
      </w:r>
      <w:r>
        <w:rPr>
          <w:rStyle w:val="VerbatimChar"/>
        </w:rPr>
        <w:t xml:space="preserve">Dataset_Metadata.docx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Verified in the files [D]:</w:t>
      </w:r>
    </w:p>
    <w:p>
      <w:pPr>
        <w:numPr>
          <w:ilvl w:val="1"/>
          <w:numId w:val="1004"/>
        </w:numPr>
        <w:pStyle w:val="Compact"/>
      </w:pPr>
      <w:r>
        <w:t xml:space="preserve">Share of cells above zero is exactly 40%, 30%, 20%, 10%, 5%.</w:t>
      </w:r>
    </w:p>
    <w:p>
      <w:pPr>
        <w:numPr>
          <w:ilvl w:val="1"/>
          <w:numId w:val="1004"/>
        </w:numPr>
        <w:pStyle w:val="Compact"/>
      </w:pPr>
      <w:r>
        <w:t xml:space="preserve">All five share one grid (1,439 × 1,260, EPSG:4326, 1 arc-second).</w:t>
      </w:r>
    </w:p>
    <w:p>
      <w:pPr>
        <w:numPr>
          <w:ilvl w:val="1"/>
          <w:numId w:val="1004"/>
        </w:numPr>
        <w:pStyle w:val="Compact"/>
      </w:pPr>
      <w:r>
        <w:t xml:space="preserve">Each narrower tier equals max(0, (c − k) / (1 − k)), where c is the 'common' score and k is 0.0862 (occasional), 0.1729 (moderate), 0.2805 (severe), 0.3742 (extreme). Largest deviation is below 1e-7.</w:t>
      </w:r>
    </w:p>
    <w:p>
      <w:pPr>
        <w:numPr>
          <w:ilvl w:val="1"/>
          <w:numId w:val="1004"/>
        </w:numPr>
        <w:pStyle w:val="Compact"/>
      </w:pPr>
      <w:r>
        <w:t xml:space="preserve">Footprints are nested; every cell's and every building's score is non-increasing from common to extreme.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a tier score means:</w:t>
      </w:r>
      <w:r>
        <w:t xml:space="preserve"> </w:t>
      </w:r>
      <w:r>
        <w:t xml:space="preserve">how far a cell's susceptibility sits above that tier's cut-off, rescaled to 0–1. It is not a depth, a probability or a return period [O].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Consequences:</w:t>
      </w:r>
    </w:p>
    <w:p>
      <w:pPr>
        <w:numPr>
          <w:ilvl w:val="1"/>
          <w:numId w:val="1005"/>
        </w:numPr>
        <w:pStyle w:val="Compact"/>
      </w:pPr>
      <w:r>
        <w:t xml:space="preserve">The files hold one layer of hazard information. The five-point loss curve reflects five cut-offs, not five modelled events.</w:t>
      </w:r>
    </w:p>
    <w:p>
      <w:pPr>
        <w:numPr>
          <w:ilvl w:val="1"/>
          <w:numId w:val="1005"/>
        </w:numPr>
        <w:pStyle w:val="Compact"/>
      </w:pPr>
      <w:r>
        <w:t xml:space="preserve">The same score value in two tiers refers to different underlying susceptibility.</w:t>
      </w:r>
    </w:p>
    <w:p>
      <w:pPr>
        <w:numPr>
          <w:ilvl w:val="1"/>
          <w:numId w:val="1005"/>
        </w:numPr>
        <w:pStyle w:val="Compact"/>
      </w:pPr>
      <w:r>
        <w:t xml:space="preserve">The raw score below the 40% cut-off is not recoverable from the files.</w:t>
      </w:r>
    </w:p>
    <w:p>
      <w:pPr>
        <w:numPr>
          <w:ilvl w:val="1"/>
          <w:numId w:val="1005"/>
        </w:numPr>
        <w:pStyle w:val="Compact"/>
      </w:pPr>
      <w:r>
        <w:t xml:space="preserve">Dry is exactly 0; there is no NoData value [O][D].</w:t>
      </w:r>
    </w:p>
    <w:bookmarkEnd w:id="21"/>
    <w:bookmarkStart w:id="22" w:name="d-003--tier-ordering"/>
    <w:p>
      <w:pPr>
        <w:pStyle w:val="Heading2"/>
      </w:pPr>
      <w:r>
        <w:t xml:space="preserve">D-003 — Tier ordering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DATA-ESTABLISHED, consistent with organizer documentation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Ordering, most frequent to rarest:</w:t>
      </w:r>
      <w:r>
        <w:t xml:space="preserve"> </w:t>
      </w:r>
      <w:r>
        <w:t xml:space="preserve">extreme → severe → moderate → occasional → common.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Organizer statement [O]:</w:t>
      </w:r>
      <w:r>
        <w:t xml:space="preserve"> </w:t>
      </w:r>
      <w:r>
        <w:t xml:space="preserve">"A rarer flood reaches more places, so the widest map ('common') stands for the rarest event and the narrowest ('extreme') for the most frequent." The names describe how extreme a cell is, not how often it floods.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Verified [D]:</w:t>
      </w:r>
      <w:r>
        <w:t xml:space="preserve"> </w:t>
      </w:r>
      <w:r>
        <w:t xml:space="preserve">buildings flagged are 32, 51, 110, 174, 259 (extreme to common); every building's score is highest in 'common'.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Precision on wording:</w:t>
      </w:r>
      <w:r>
        <w:t xml:space="preserve"> </w:t>
      </w:r>
      <w:r>
        <w:t xml:space="preserve">'extreme' contains only the most susceptible cells (top 5%), but each building's score value is lowest in 'extreme' and highest in 'common'. Hazard intensity fed to the model therefore rises toward 'common'.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with any damage function that does not decrease as score rises, portfolio loss is guaranteed to rise from extreme to common.</w:t>
      </w:r>
    </w:p>
    <w:bookmarkEnd w:id="22"/>
    <w:bookmarkStart w:id="23" w:name="d-004--return-period-per-tier"/>
    <w:p>
      <w:pPr>
        <w:pStyle w:val="Heading2"/>
      </w:pPr>
      <w:r>
        <w:t xml:space="preserve">D-004 — Return period per tier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PROVISIONAL. Taken from the organizers' reference dashboard; the organizers did not confirm it before leaving.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Mapping [O, as a stated assumption of the reference dashboard]:</w:t>
      </w:r>
      <w:r>
        <w:t xml:space="preserve"> </w:t>
      </w:r>
      <w:r>
        <w:t xml:space="preserve">extreme = 10 years, severe = 25, moderate = 50, occasional = 100, common = 250.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Nature:</w:t>
      </w:r>
      <w:r>
        <w:t xml:space="preserve"> </w:t>
      </w:r>
      <w:r>
        <w:t xml:space="preserve">an assumption "made so the loss curve can be drawn" [O]. The files carry no frequency information [D]. The Team A specification requires us to state a return period per tier, so this must appear in our note as an assumption whatever values we use.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Blocking?</w:t>
      </w:r>
      <w:r>
        <w:t xml:space="preserve"> </w:t>
      </w:r>
      <w:r>
        <w:t xml:space="preserve">No. Per-tier loss does not depend on return period. Return period affects only the curve's horizontal axis, the labels on headline figures, and any figure interpolated or integrated from the curve.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 to carry forward:</w:t>
      </w:r>
      <w:r>
        <w:t xml:space="preserve"> </w:t>
      </w:r>
      <w:r>
        <w:t xml:space="preserve">hold the mapping as one configurable tier-to-years table, applied after per-tier losses are computed. Key all calculations by tier name. Any replacement mapping must keep the order in D-003.</w:t>
      </w:r>
    </w:p>
    <w:p>
      <w:r>
        <w:pict>
          <v:rect style="width:0;height:1.5pt" o:hralign="center" o:hrstd="t" o:hr="t"/>
        </w:pict>
      </w:r>
    </w:p>
    <w:bookmarkEnd w:id="23"/>
    <w:bookmarkStart w:id="25" w:name="Xf016c4330638bc45d6775f2e17ee5da21b36ce3"/>
    <w:p>
      <w:pPr>
        <w:pStyle w:val="Heading2"/>
      </w:pPr>
      <w:r>
        <w:t xml:space="preserve">R-001 — The vulnerability reference source (JRC / Huizinga)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SOURCE-VERIFIED from the published report, read through an automated page reader. Corrections and the numerical check are in R-003; this entry is left as first recorded.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Huizinga, J., de Moel, H., Szewczyk, W. (2017).</w:t>
      </w:r>
      <w:r>
        <w:t xml:space="preserve"> </w:t>
      </w:r>
      <w:r>
        <w:rPr>
          <w:iCs/>
          <w:i/>
        </w:rPr>
        <w:t xml:space="preserve">Global flood depth-damage functions: Methodology and the database with guidelines.</w:t>
      </w:r>
      <w:r>
        <w:t xml:space="preserve"> </w:t>
      </w:r>
      <w:r>
        <w:t xml:space="preserve">EUR 28552 EN, JRC105688, doi:10.2760/16510. Report and Excel database at</w:t>
      </w:r>
      <w:r>
        <w:t xml:space="preserve"> </w:t>
      </w:r>
      <w:hyperlink r:id="rId24">
        <w:r>
          <w:rPr>
            <w:rStyle w:val="Hyperlink"/>
          </w:rPr>
          <w:t xml:space="preserve">https://publications.jrc.ec.europa.eu/repository/handle/JRC105688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Categories [S]:</w:t>
      </w:r>
      <w:r>
        <w:t xml:space="preserve"> </w:t>
      </w:r>
      <w:r>
        <w:t xml:space="preserve">residential buildings, commerce, industry, transport, infrastructure, agriculture, given per continent. They are occupancy / land-use classes, not construction-material classes. No Africa commerce function exists.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Africa residential function [S] (Table 3-1):</w:t>
      </w:r>
      <w:r>
        <w:t xml:space="preserve"> </w:t>
      </w:r>
      <w:r>
        <w:t xml:space="preserve">depth 0 / 0.5 / 1 / 1.5 / 2 / 3 / 4 / 5 / 6 m gives damage factor 0 / 0.22 / 0.38 / 0.53 / 0.64 / 0.82 / 0.90 / 0.96 / 1.00. Built from South Africa (small, medium, large house) and Mozambique (urban, rural house). No Kenyan data.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Loss concept [S]:</w:t>
      </w:r>
      <w:r>
        <w:t xml:space="preserve"> </w:t>
      </w:r>
      <w:r>
        <w:t xml:space="preserve">the damage factor is normalised to reach 1 at 6 m and is a fraction of a</w:t>
      </w:r>
      <w:r>
        <w:t xml:space="preserve"> </w:t>
      </w:r>
      <w:r>
        <w:rPr>
          <w:iCs/>
          <w:i/>
        </w:rPr>
        <w:t xml:space="preserve">maximum damage value</w:t>
      </w:r>
      <w:r>
        <w:t xml:space="preserve">, not of full rebuild cost. Residential maximum damage includes contents (contents taken as 50% of building damage), uses depreciated value (factor 0.60), and the report notes an undamageable part of about 40% for water-resistant materials such as concrete and brick.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Construction type [S]:</w:t>
      </w:r>
      <w:r>
        <w:t xml:space="preserve"> </w:t>
      </w:r>
      <w:r>
        <w:t xml:space="preserve">the report says building material, formal vs informal and urban vs rural justify adjustments to maximum damage, but gives no numeric factors for them.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Flood type [S]:</w:t>
      </w:r>
      <w:r>
        <w:t xml:space="preserve"> </w:t>
      </w:r>
      <w:r>
        <w:t xml:space="preserve">built from fluvial and coastal data and offered for a "generic inundation event". Duration and velocity are not included. Pluvial flooding is not specifically addressed.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Uncertainty [S]:</w:t>
      </w:r>
      <w:r>
        <w:t xml:space="preserve"> </w:t>
      </w:r>
      <w:r>
        <w:t xml:space="preserve">90% interval on residential maximum damage is about −28% to +53%. No standard deviations are tabulated for the Africa residential function. (Superseded on the second point by R-003.)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Consequences:</w:t>
      </w:r>
    </w:p>
    <w:p>
      <w:pPr>
        <w:numPr>
          <w:ilvl w:val="1"/>
          <w:numId w:val="1009"/>
        </w:numPr>
        <w:pStyle w:val="Compact"/>
      </w:pPr>
      <w:r>
        <w:t xml:space="preserve">The source supplies one residential curve shape for all four Nairobi classes. Any difference between classes is our adaptation [A].</w:t>
      </w:r>
    </w:p>
    <w:p>
      <w:pPr>
        <w:numPr>
          <w:ilvl w:val="1"/>
          <w:numId w:val="1009"/>
        </w:numPr>
        <w:pStyle w:val="Compact"/>
      </w:pPr>
      <w:r>
        <w:t xml:space="preserve">Our</w:t>
      </w:r>
      <w:r>
        <w:t xml:space="preserve"> </w:t>
      </w:r>
      <w:r>
        <w:rPr>
          <w:rStyle w:val="VerbatimChar"/>
        </w:rPr>
        <w:t xml:space="preserve">tiv_kes</w:t>
      </w:r>
      <w:r>
        <w:t xml:space="preserve"> </w:t>
      </w:r>
      <w:r>
        <w:t xml:space="preserve">is structure rebuild cost only [O]. A factor of 1.00 therefore cannot be read as 100% of TIV; a ceiling below 1 must be stated [A], consistent with the specification's 80–95% cap [O].</w:t>
      </w:r>
    </w:p>
    <w:p>
      <w:pPr>
        <w:numPr>
          <w:ilvl w:val="1"/>
          <w:numId w:val="1009"/>
        </w:numPr>
        <w:pStyle w:val="Compact"/>
      </w:pPr>
      <w:r>
        <w:t xml:space="preserve">The source curve is concave: 22% of maximum damage at 0.5 m. It is not the "near zero at low severity" S-shape described in the specification [O].</w:t>
      </w:r>
    </w:p>
    <w:p>
      <w:r>
        <w:pict>
          <v:rect style="width:0;height:1.5pt" o:hralign="center" o:hrstd="t" o:hr="t"/>
        </w:pict>
      </w:r>
    </w:p>
    <w:bookmarkEnd w:id="25"/>
    <w:bookmarkStart w:id="26" w:name="X49f50a6d069a5e155b45d05cb0e3ad90d75a9dc"/>
    <w:p>
      <w:pPr>
        <w:pStyle w:val="Heading2"/>
      </w:pPr>
      <w:r>
        <w:t xml:space="preserve">R-002 — Vulnerability sensitivity experiment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RESEARCH FINDING. Sensitivity scenarios only; no value here is calibrated, measured or a model result. No return periods were used. Superseded for model parameters by D-005.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rPr>
          <w:rStyle w:val="VerbatimChar"/>
        </w:rPr>
        <w:t xml:space="preserve">exposure_nairobi_with_hazard.csv</w:t>
      </w:r>
      <w:r>
        <w:t xml:space="preserve">, 600 buildings, TIV as supplied (D-001). Affected means tier score above 0.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Methods tested: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Option 2:</w:t>
      </w:r>
      <w:r>
        <w:t xml:space="preserve"> </w:t>
      </w:r>
      <w:r>
        <w:t xml:space="preserve">assumed depth [A] = score × Dmax, Dmax of 2, 4, 6 m; JRC Africa residential table [S], linear between points; times class ceiling [A].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Option 1:</w:t>
      </w:r>
      <w:r>
        <w:t xml:space="preserve"> </w:t>
      </w:r>
      <w:r>
        <w:t xml:space="preserve">severity x = k × score, k = 1/3, 2/3, 1 [A]; smooth curve (1 − e^(−x/0.362)) / (1 − e^(−1/0.362)), fitted by us to the JRC points on a 0–1 axis (largest error 0.021); times class ceiling [A]. k = Dmax / 6, so each Option 1 scenario is the same assumption as the matching Option 2 scenario.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Option 3b:</w:t>
      </w:r>
      <w:r>
        <w:t xml:space="preserve"> </w:t>
      </w:r>
      <w:r>
        <w:t xml:space="preserve">four score bands (edges 0.10, 0.25, 0.50 [A]); band factor = JRC value at band midpoint × Dmax.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Option 3a:</w:t>
      </w:r>
      <w:r>
        <w:t xml:space="preserve"> </w:t>
      </w:r>
      <w:r>
        <w:t xml:space="preserve">one factor for every flagged building (JRC value at pooled mean flagged score 0.187 × Dmax: 0.165 / 0.300 / 0.417).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Ceiling schemes [A]</w:t>
      </w:r>
      <w:r>
        <w:t xml:space="preserve"> </w:t>
      </w:r>
      <w:r>
        <w:t xml:space="preserve">(informal / semi-permanent / masonry / RCC): ORG 0.95 / 0.90 / 0.85 / 0.80 (inside the specification's 80–95% range [O]); WIDE 0.95 / 0.85 / 0.70 / 0.60; U60 all 0.60; U100 all 1.00.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Portfolio loss, KES bn, ORG ceilings: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TIV (bn)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O1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O3b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O3a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7.594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Findings [D, computed]: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Monotonic without forcing:</w:t>
      </w:r>
      <w:r>
        <w:t xml:space="preserve"> </w:t>
      </w:r>
      <w:r>
        <w:t xml:space="preserve">every method and scenario rises from extreme to common.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Severity scale:</w:t>
      </w:r>
      <w:r>
        <w:t xml:space="preserve"> </w:t>
      </w:r>
      <w:r>
        <w:t xml:space="preserve">high is about 2.3 to 2.5 times low in every tier; medium is about 1.8 times low.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Ceilings:</w:t>
      </w:r>
      <w:r>
        <w:t xml:space="preserve"> </w:t>
      </w:r>
      <w:r>
        <w:t xml:space="preserve">U100 is about 23% above ORG; WIDE and U60 are about 23% to 26% below.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RCC dominance:</w:t>
      </w:r>
      <w:r>
        <w:t xml:space="preserve"> </w:t>
      </w:r>
      <w:r>
        <w:t xml:space="preserve">RCC is 73% to 85% of loss in every continuous scenario. Lowering only the RCC ceiling from 0.80 to 0.60 cuts 'common' loss by 21%; lowering the other three ceilings by a quarter cuts it by 3.9%.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Option 1 vs Option 2:</w:t>
      </w:r>
      <w:r>
        <w:t xml:space="preserve"> </w:t>
      </w:r>
      <w:r>
        <w:t xml:space="preserve">0.3% to 4.7% apart. The gap is entirely the smooth fit versus straight-line interpolation.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Option 3b vs Option 2:</w:t>
      </w:r>
      <w:r>
        <w:t xml:space="preserve"> </w:t>
      </w:r>
      <w:r>
        <w:t xml:space="preserve">−5% to +15% at portfolio level; building-level losses differ by 7% to 29% of tier loss in aggregate.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Option 3a vs Option 2:</w:t>
      </w:r>
      <w:r>
        <w:t xml:space="preserve"> </w:t>
      </w:r>
      <w:r>
        <w:t xml:space="preserve">−29% to +35%; building-level correlation with the continuous result falls to 0.53 in the 'severe' tier.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Curve shape comes from the hazard cut-offs.</w:t>
      </w:r>
      <w:r>
        <w:t xml:space="preserve"> </w:t>
      </w:r>
      <w:r>
        <w:t xml:space="preserve">Loss as a share of affected TIV is nearly flat across the four wider tiers (about 19% to 20% at O2 medium), so loss tracks affected TIV. The common-to-extreme loss ratio is about 11 for every continuous scenario.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The frequent end rests on very few buildings.</w:t>
      </w:r>
      <w:r>
        <w:t xml:space="preserve"> </w:t>
      </w:r>
      <w:r>
        <w:t xml:space="preserve">In 'extreme', 3 RCC buildings are flagged, one building is 42% of loss and two are over half. In 'common', 12 buildings make up half.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A class shape adjustment</w:t>
      </w:r>
      <w:r>
        <w:t xml:space="preserve"> </w:t>
      </w:r>
      <w:r>
        <w:t xml:space="preserve">(severity multiplier 1.5 / 1.25 / 1.0 / 0.75 [A]) moved loss by −15% to −18%, again through RCC.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Ranking of what drives the result:</w:t>
      </w:r>
      <w:r>
        <w:t xml:space="preserve"> </w:t>
      </w:r>
      <w:r>
        <w:t xml:space="preserve">severity scale (about 2.4×), then the RCC ceiling and any RCC shape adjustment (about 20% each), then the choice between continuous and banded (up to 15%, or 35% if binary), then Option 1 vs 2 (under 5%), then the three non-RCC classes (under 4%).</w:t>
      </w:r>
    </w:p>
    <w:p>
      <w:r>
        <w:pict>
          <v:rect style="width:0;height:1.5pt" o:hralign="center" o:hrstd="t" o:hr="t"/>
        </w:pict>
      </w:r>
    </w:p>
    <w:bookmarkEnd w:id="26"/>
    <w:bookmarkStart w:id="31" w:name="Xee3385afcf0c5540af84627e28b3dc6ce79bded"/>
    <w:p>
      <w:pPr>
        <w:pStyle w:val="Heading2"/>
      </w:pPr>
      <w:r>
        <w:t xml:space="preserve">R-003 — Closing the evidence gaps from R-002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RESEARCH FINDING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2026-10-07; updated 2026-10-07</w:t>
      </w:r>
    </w:p>
    <w:bookmarkStart w:id="27" w:name="jrc-numerical-check"/>
    <w:p>
      <w:pPr>
        <w:pStyle w:val="Heading3"/>
      </w:pPr>
      <w:r>
        <w:t xml:space="preserve">JRC numerical check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Direct Excel check:</w:t>
      </w:r>
      <w:r>
        <w:t xml:space="preserve"> </w:t>
      </w:r>
      <w:r>
        <w:t xml:space="preserve">attempted twice on 2026-10-07 and not possible. The working environment's network policy blocks the JRC download, and the page reader cannot parse the binary file. Per team instruction, we proceed on the cross-check below and record that the direct check was not done.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Cross-check performed:</w:t>
      </w:r>
      <w:r>
        <w:t xml:space="preserve"> </w:t>
      </w:r>
      <w:r>
        <w:t xml:space="preserve">the values were compared against two independent open-source transcriptions of the JRC database: CLIMADA (</w:t>
      </w:r>
      <w:r>
        <w:rPr>
          <w:rStyle w:val="VerbatimChar"/>
        </w:rPr>
        <w:t xml:space="preserve">climada_petals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river_flood.py</w:t>
      </w:r>
      <w:r>
        <w:t xml:space="preserve">) and OS-Climate</w:t>
      </w:r>
      <w:r>
        <w:t xml:space="preserve"> </w:t>
      </w:r>
      <w:r>
        <w:rPr>
          <w:rStyle w:val="VerbatimChar"/>
        </w:rPr>
        <w:t xml:space="preserve">physrisk</w:t>
      </w:r>
      <w:r>
        <w:t xml:space="preserve"> </w:t>
      </w:r>
      <w:r>
        <w:t xml:space="preserve">(static vulnerability JSON). They agree with each other to three decimals.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Africa residential, database precision [S, via transcription]:</w:t>
      </w:r>
      <w:r>
        <w:t xml:space="preserve"> </w:t>
      </w:r>
      <w:r>
        <w:t xml:space="preserve">depth 0 / 0.5 / 1 / 1.5 / 2 / 3 / 4 / 5 / 6 m gives 0 / 0.220 / 0.378 / 0.531 / 0.636 / 0.817 / 0.903 / 0.957 / 1.000.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Comparison with R-001:</w:t>
      </w:r>
      <w:r>
        <w:t xml:space="preserve"> </w:t>
      </w:r>
      <w:r>
        <w:t xml:space="preserve">the report table in R-001 is the same curve rounded to two decimals. There is no conflict. The database values are the authoritative ones because the report table is a rounded print of them. Using them changes portfolio loss by 0.1% to 0.3% [D, computed].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Correction to R-001:</w:t>
      </w:r>
      <w:r>
        <w:t xml:space="preserve"> </w:t>
      </w:r>
      <w:r>
        <w:t xml:space="preserve">R-001 says no standard deviations exist for the Africa residential function. The database carries them: 0.042 / 0.114 / 0.198 / 0.208 / 0.205 / 0.142 / 0.076 at 0.5 to 5 m [S, via physrisk]. The spread is about ±0.2 in damage factor between 1.5 and 3 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Unchanged:</w:t>
      </w:r>
      <w:r>
        <w:t xml:space="preserve"> </w:t>
      </w:r>
      <w:r>
        <w:t xml:space="preserve">depth points, the 0-to-1 normalisation, the maximum-damage concept, the 0.60 depreciation factor and the 50% contents share are as recorded in R-001. Africa has no commerce function in the database either.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Still worth doing if anyone can open the file:</w:t>
      </w:r>
      <w:r>
        <w:t xml:space="preserve"> </w:t>
      </w:r>
      <w:r>
        <w:t xml:space="preserve">confirm the nine values in the Excel itself.</w:t>
      </w:r>
    </w:p>
    <w:bookmarkEnd w:id="27"/>
    <w:bookmarkStart w:id="28" w:name="nairobi-flood-depth-evidence"/>
    <w:p>
      <w:pPr>
        <w:pStyle w:val="Heading3"/>
      </w:pPr>
      <w:r>
        <w:t xml:space="preserve">Nairobi flood-depth evidence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insufficient. No source I could read gives a measured or modelled flood depth for Nairobi.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 exists:</w:t>
      </w:r>
    </w:p>
    <w:p>
      <w:pPr>
        <w:numPr>
          <w:ilvl w:val="1"/>
          <w:numId w:val="1017"/>
        </w:numPr>
        <w:pStyle w:val="Compact"/>
      </w:pPr>
      <w:r>
        <w:t xml:space="preserve">Munyi (2024, University of Twente MSc): pluvial susceptibility modelling for Nairobi. Uses citizen-report depth categories of 0.10 m (ankle), 0.50 m (knee), 1.2 m (waist) and above 2.0 m (above head). These are reporting bins, not measurements.</w:t>
      </w:r>
    </w:p>
    <w:p>
      <w:pPr>
        <w:numPr>
          <w:ilvl w:val="1"/>
          <w:numId w:val="1017"/>
        </w:numPr>
        <w:pStyle w:val="Compact"/>
      </w:pPr>
      <w:r>
        <w:t xml:space="preserve">Juma, Olang, Hassan et al. (2023, Physics and Chemistry of the Earth 132:103499): hydrodynamic modelling of flood inundation and hazard levels in Kibera. The full text was not accessible, so its depths are not recorded here.</w:t>
      </w:r>
    </w:p>
    <w:p>
      <w:pPr>
        <w:numPr>
          <w:ilvl w:val="1"/>
          <w:numId w:val="1017"/>
        </w:numPr>
        <w:pStyle w:val="Compact"/>
      </w:pPr>
      <w:r>
        <w:t xml:space="preserve">WRI (2026), "Flooding in Nairobi's Informal Settlements": describes both river-corridor and drainage flooding; gives no depths.</w:t>
      </w:r>
    </w:p>
    <w:p>
      <w:pPr>
        <w:numPr>
          <w:ilvl w:val="1"/>
          <w:numId w:val="1017"/>
        </w:numPr>
        <w:pStyle w:val="Compact"/>
      </w:pPr>
      <w:r>
        <w:t xml:space="preserve">A 2026 systematic review of recurrent flooding in Nairobi (68 sources) reports no depth measurements.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Consequence:</w:t>
      </w:r>
      <w:r>
        <w:t xml:space="preserve"> </w:t>
      </w:r>
      <w:r>
        <w:t xml:space="preserve">no depth scale for the proxy can be supported from evidence. The Juma et al. paper is the one source worth obtaining.</w:t>
      </w:r>
    </w:p>
    <w:bookmarkEnd w:id="28"/>
    <w:bookmarkStart w:id="29" w:name="structural-ceilings"/>
    <w:p>
      <w:pPr>
        <w:pStyle w:val="Heading3"/>
      </w:pPr>
      <w:r>
        <w:t xml:space="preserve">Structural ceilings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JRC [S]:</w:t>
      </w:r>
      <w:r>
        <w:t xml:space="preserve"> </w:t>
      </w:r>
      <w:r>
        <w:t xml:space="preserve">many functions for concrete and brick buildings level off near 60%, implying about 40% that is not damaged.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Englhardt et al. (2019), NHESS 19, 1703–1722 [S]:</w:t>
      </w:r>
      <w:r>
        <w:t xml:space="preserve"> </w:t>
      </w:r>
      <w:r>
        <w:t xml:space="preserve">structure-only flood vulnerability curves by building material, developed for Ethiopia from a 23-study review and engineering consultation.</w:t>
      </w:r>
    </w:p>
    <w:p>
      <w:pPr>
        <w:numPr>
          <w:ilvl w:val="1"/>
          <w:numId w:val="1019"/>
        </w:numPr>
        <w:pStyle w:val="Compact"/>
      </w:pPr>
      <w:r>
        <w:t xml:space="preserve">Class I (non-engineered: mud, adobe, informal) and Class II (wood): reach total loss, damage factor 1.0, at 2.5 m.</w:t>
      </w:r>
    </w:p>
    <w:p>
      <w:pPr>
        <w:numPr>
          <w:ilvl w:val="1"/>
          <w:numId w:val="1019"/>
        </w:numPr>
        <w:pStyle w:val="Compact"/>
      </w:pPr>
      <w:r>
        <w:t xml:space="preserve">Class III (unreinforced masonry/concrete): approaches but does not reach 1.0.</w:t>
      </w:r>
    </w:p>
    <w:p>
      <w:pPr>
        <w:numPr>
          <w:ilvl w:val="1"/>
          <w:numId w:val="1019"/>
        </w:numPr>
        <w:pStyle w:val="Compact"/>
      </w:pPr>
      <w:r>
        <w:t xml:space="preserve">Class IV (engineered reinforced masonry/concrete, steel): capped at 0.65, because foundations, structural walls and frames do not need replacing.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Reading:</w:t>
      </w:r>
      <w:r>
        <w:t xml:space="preserve"> </w:t>
      </w:r>
      <w:r>
        <w:t xml:space="preserve">two published sources put a structure-only ceiling for reinforced concrete at about 0.60 to 0.65. The 0.80 used in the ORG scheme sits above both. Neither source is Kenyan.</w:t>
      </w:r>
    </w:p>
    <w:bookmarkEnd w:id="29"/>
    <w:bookmarkStart w:id="30" w:name="uncertainty-hierarchy"/>
    <w:p>
      <w:pPr>
        <w:pStyle w:val="Heading3"/>
      </w:pPr>
      <w:r>
        <w:t xml:space="preserve">Uncertainty hierarchy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Supplied hazard scores; supplied</w:t>
            </w:r>
            <w:r>
              <w:t xml:space="preserve"> </w:t>
            </w:r>
            <w:r>
              <w:rPr>
                <w:rStyle w:val="VerbatimChar"/>
              </w:rPr>
              <w:t xml:space="preserve">tiv_kes</w:t>
            </w:r>
            <w:r>
              <w:t xml:space="preserve">; JRC curve shape and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[O] files and confirmation; [S] published database, cross-checked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Moderate,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damage ceilings, chiefly the 0.65 for reinforced concrete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[S] two published non-Kenyan sources; applied as 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Weakest, assumption-driven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score to severity through H; using one curve shape for all four classes; the three non-RCC ceilings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[A]; no Nairobi evidence</w:t>
            </w:r>
          </w:p>
        </w:tc>
      </w:tr>
    </w:tbl>
    <w:p>
      <w:pPr>
        <w:pStyle w:val="BodyText"/>
      </w:pPr>
      <w:r>
        <w:t xml:space="preserve">Strong evidence for an input does not make it a physical measurement: the hazard scores are a proxy [O], and the portfolio is synthetic [O].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d-005--vulnerability--damage-methodology"/>
    <w:p>
      <w:pPr>
        <w:pStyle w:val="Heading2"/>
      </w:pPr>
      <w:r>
        <w:t xml:space="preserve">D-005 — Vulnerability / damage methodology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TEAM DECISION. Confirmed and locked 2026-10-07.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bookmarkStart w:id="32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Continuous damage function. The tier score is placed on the published JRC Africa residential curve through one declared severity-scale parameter, H, and the result is multiplied by a structure-only ceiling for the building's class.</w:t>
      </w:r>
    </w:p>
    <w:bookmarkEnd w:id="32"/>
    <w:bookmarkStart w:id="33" w:name="locked-points"/>
    <w:p>
      <w:pPr>
        <w:pStyle w:val="Heading3"/>
      </w:pPr>
      <w:r>
        <w:t xml:space="preserve">Locked points</w:t>
      </w:r>
    </w:p>
    <w:p>
      <w:pPr>
        <w:numPr>
          <w:ilvl w:val="0"/>
          <w:numId w:val="1021"/>
        </w:numPr>
        <w:pStyle w:val="Compact"/>
      </w:pPr>
      <w:r>
        <w:t xml:space="preserve">The hazard score remains a relative susceptibility score. It is not a depth, a probability or a return period [O].</w:t>
      </w:r>
    </w:p>
    <w:p>
      <w:pPr>
        <w:numPr>
          <w:ilvl w:val="0"/>
          <w:numId w:val="1021"/>
        </w:numPr>
        <w:pStyle w:val="Compact"/>
      </w:pPr>
      <w:r>
        <w:t xml:space="preserve">The curve is the published JRC Africa residential function [S], with straight-line interpolation between its points.</w:t>
      </w:r>
    </w:p>
    <w:p>
      <w:pPr>
        <w:numPr>
          <w:ilvl w:val="0"/>
          <w:numId w:val="1021"/>
        </w:numPr>
        <w:pStyle w:val="Compact"/>
      </w:pPr>
      <w:r>
        <w:t xml:space="preserve">One declared severity-scale parameter, H [A], labelled everywhere as an assumption and scenario parameter.</w:t>
      </w:r>
    </w:p>
    <w:p>
      <w:pPr>
        <w:numPr>
          <w:ilvl w:val="0"/>
          <w:numId w:val="1021"/>
        </w:numPr>
        <w:pStyle w:val="Compact"/>
      </w:pPr>
      <w:r>
        <w:t xml:space="preserve">H = 4 is the central/reference scenario. H = 2 and H = 6 are the low and high sensitivity scenarios. H = 4 has no empirical Nairobi calibration and must not be called an estimate.</w:t>
      </w:r>
    </w:p>
    <w:p>
      <w:pPr>
        <w:numPr>
          <w:ilvl w:val="0"/>
          <w:numId w:val="1021"/>
        </w:numPr>
        <w:pStyle w:val="Compact"/>
      </w:pPr>
      <w:r>
        <w:t xml:space="preserve">H × score is never displayed as a measured or estimated flood depth.</w:t>
      </w:r>
    </w:p>
    <w:p>
      <w:pPr>
        <w:numPr>
          <w:ilvl w:val="0"/>
          <w:numId w:val="1021"/>
        </w:numPr>
        <w:pStyle w:val="Compact"/>
      </w:pPr>
      <w:r>
        <w:t xml:space="preserve">The ceilings below are structure-only and are not Kenya-calibrated; they must never be described as such.</w:t>
      </w:r>
    </w:p>
    <w:p>
      <w:pPr>
        <w:numPr>
          <w:ilvl w:val="0"/>
          <w:numId w:val="1021"/>
        </w:numPr>
        <w:pStyle w:val="Compact"/>
      </w:pPr>
      <w:r>
        <w:t xml:space="preserve">The 0.80 RCC ceiling is kept as an explicit sensitivity case.</w:t>
      </w:r>
    </w:p>
    <w:bookmarkEnd w:id="33"/>
    <w:bookmarkStart w:id="34" w:name="formulation"/>
    <w:p>
      <w:pPr>
        <w:pStyle w:val="Heading3"/>
      </w:pPr>
      <w:r>
        <w:t xml:space="preserve">Formulation</w:t>
      </w:r>
    </w:p>
    <w:p>
      <w:pPr>
        <w:numPr>
          <w:ilvl w:val="0"/>
          <w:numId w:val="1022"/>
        </w:numPr>
      </w:pPr>
      <w:r>
        <w:t xml:space="preserve">s(i,t): hazard score of building i in tier t, 0 to 1 [O].</w:t>
      </w:r>
    </w:p>
    <w:p>
      <w:pPr>
        <w:numPr>
          <w:ilvl w:val="0"/>
          <w:numId w:val="1022"/>
        </w:numPr>
      </w:pPr>
      <w:r>
        <w:t xml:space="preserve">H: severity scale, in units of the JRC depth axis per unit score [A].</w:t>
      </w:r>
    </w:p>
    <w:p>
      <w:pPr>
        <w:numPr>
          <w:ilvl w:val="0"/>
          <w:numId w:val="1022"/>
        </w:numPr>
      </w:pPr>
      <w:r>
        <w:t xml:space="preserve">f(d): JRC Africa residential damage factor [S], straight-line interpolation between (0, 0), (0.5, 0.220), (1, 0.378), (1.5, 0.531), (2, 0.636), (3, 0.817), (4, 0.903), (5, 0.957), (6, 1.000).</w:t>
      </w:r>
    </w:p>
    <w:p>
      <w:pPr>
        <w:numPr>
          <w:ilvl w:val="0"/>
          <w:numId w:val="1022"/>
        </w:numPr>
      </w:pPr>
      <w:r>
        <w:t xml:space="preserve">c(class): structure-only damage ceiling.</w:t>
      </w:r>
    </w:p>
    <w:p>
      <w:pPr>
        <w:numPr>
          <w:ilvl w:val="0"/>
          <w:numId w:val="1000"/>
        </w:numPr>
      </w:pPr>
      <w:r>
        <w:t xml:space="preserve">damage_ratio(i,t) = c(class of i) × f(H × s(i,t)), and 0 where s(i,t) = 0</w:t>
      </w:r>
      <w:r>
        <w:t xml:space="preserve"> </w:t>
      </w:r>
      <w:r>
        <w:t xml:space="preserve">loss(i,t) = tiv_kes(i) × damage_ratio(i,t)</w:t>
      </w:r>
      <w:r>
        <w:t xml:space="preserve"> </w:t>
      </w:r>
      <w:r>
        <w:t xml:space="preserve">portfolio_loss(t) = sum of loss(i,t) over all buildings</w:t>
      </w:r>
    </w:p>
    <w:bookmarkEnd w:id="34"/>
    <w:bookmarkStart w:id="35" w:name="parameters"/>
    <w:p>
      <w:pPr>
        <w:pStyle w:val="Heading3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JRC Africa residential, nine points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H, central/reference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[A]; the specification's own worked example [O]; no Nairobi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H, low / high sensitivity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Ceiling, concrete_rcc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[A], anchored on Englhardt Class IV 0.65 and JRC about 0.60 [S]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Ceiling, concrete_rcc (sensitivity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[A], bottom of the specification's 80–95% guidance [O]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Ceiling, permanent_masonry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[A], between reinforced concrete and the weaker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Ceiling, semi_permanent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[A], within the specification's range [O]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Ceiling, informal_iron_sheet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[A], top of the specification's range [O]; Englhardt Class I reaches total loss [S]</w:t>
            </w:r>
          </w:p>
        </w:tc>
      </w:tr>
    </w:tbl>
    <w:bookmarkEnd w:id="35"/>
    <w:bookmarkStart w:id="36" w:name="rationale"/>
    <w:p>
      <w:pPr>
        <w:pStyle w:val="Heading3"/>
      </w:pPr>
      <w:r>
        <w:t xml:space="preserve">Rationale</w:t>
      </w:r>
    </w:p>
    <w:p>
      <w:pPr>
        <w:numPr>
          <w:ilvl w:val="0"/>
          <w:numId w:val="1023"/>
        </w:numPr>
        <w:pStyle w:val="Compact"/>
      </w:pPr>
      <w:r>
        <w:t xml:space="preserve">Options 1 and 2 give the same answer to within 5% (R-002), so the choice rests on honesty and traceability.</w:t>
      </w:r>
    </w:p>
    <w:p>
      <w:pPr>
        <w:numPr>
          <w:ilvl w:val="0"/>
          <w:numId w:val="1023"/>
        </w:numPr>
        <w:pStyle w:val="Compact"/>
      </w:pPr>
      <w:r>
        <w:t xml:space="preserve">Using the published table directly keeps every damage value traceable to a printed number. A fitted smooth curve adds a parameter of ours for no gain.</w:t>
      </w:r>
    </w:p>
    <w:p>
      <w:pPr>
        <w:numPr>
          <w:ilvl w:val="0"/>
          <w:numId w:val="1023"/>
        </w:numPr>
        <w:pStyle w:val="Compact"/>
      </w:pPr>
      <w:r>
        <w:t xml:space="preserve">The scale parameter cannot be avoided by any option (R-001). Declaring it once, with three scenarios shown, is more honest than leaving it implicit.</w:t>
      </w:r>
    </w:p>
    <w:p>
      <w:pPr>
        <w:numPr>
          <w:ilvl w:val="0"/>
          <w:numId w:val="1023"/>
        </w:numPr>
        <w:pStyle w:val="Compact"/>
      </w:pPr>
      <w:r>
        <w:t xml:space="preserve">Ceilings are the simplest transparent way to separate the four classes, and the RCC ceiling is the only class parameter that moves the result materially (R-002). It is therefore the one anchored on published evidence.</w:t>
      </w:r>
    </w:p>
    <w:bookmarkEnd w:id="36"/>
    <w:bookmarkStart w:id="37" w:name="uncertainty"/>
    <w:p>
      <w:pPr>
        <w:pStyle w:val="Heading3"/>
      </w:pPr>
      <w:r>
        <w:t xml:space="preserve">Uncertainty</w:t>
      </w:r>
    </w:p>
    <w:p>
      <w:pPr>
        <w:pStyle w:val="FirstParagraph"/>
      </w:pPr>
      <w:r>
        <w:t xml:space="preserve">The hierarchy in R-003 applies. The weakest inputs, H and the class adaptation, are also the ones that move the result most (R-002). The system exposes this by always showing the low, reference and high scenarios together, by showing the RCC 0.80 case, and by tagging every parameter with its source.</w:t>
      </w:r>
    </w:p>
    <w:bookmarkEnd w:id="37"/>
    <w:bookmarkStart w:id="38" w:name="vulnerability-matrix"/>
    <w:p>
      <w:pPr>
        <w:pStyle w:val="Heading3"/>
      </w:pPr>
      <w:r>
        <w:t xml:space="preserve">Vulnerability matrix</w:t>
      </w:r>
    </w:p>
    <w:p>
      <w:pPr>
        <w:pStyle w:val="FirstParagraph"/>
      </w:pPr>
      <w:r>
        <w:t xml:space="preserve">Derived from the function, not set separately. Reference scenario, damage ratio at reference scores: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=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informal_iron_sheet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semi_permanent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permanent_masonry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concrete_rcc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</w:t>
            </w:r>
          </w:p>
        </w:tc>
      </w:tr>
    </w:tbl>
    <w:p>
      <w:pPr>
        <w:pStyle w:val="BodyText"/>
      </w:pPr>
      <w:r>
        <w:t xml:space="preserve">The class × tier matrix required by the specification is the mean damage ratio of affected buildings per class per tier, computed from the same function.</w:t>
      </w:r>
    </w:p>
    <w:bookmarkEnd w:id="38"/>
    <w:bookmarkStart w:id="39" w:name="X4824de0cb684fb83e6e4e373b4e7e86c233dfb9"/>
    <w:p>
      <w:pPr>
        <w:pStyle w:val="Heading3"/>
      </w:pPr>
      <w:r>
        <w:t xml:space="preserve">Scenario results [D, computed], portfolio loss in KES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(H =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(H =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(H =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with RCC 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266,230,031.74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468,443,071.72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609,294,901.20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544,354,996.24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461,802,507.68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826,175,003.83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1,103,866,847.82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964,742,195.00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1,086,205,322.49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1,972,325,986.45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2,688,400,578.14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2,333,078,198.37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1,832,007,234.02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3,279,344,346.85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4,491,451,558.67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3,887,799,934.29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2,848,531,482.88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5,103,936,640.53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6,958,250,832.32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6,070,980,379.83</w:t>
            </w:r>
          </w:p>
        </w:tc>
      </w:tr>
    </w:tbl>
    <w:p>
      <w:pPr>
        <w:pStyle w:val="BodyText"/>
      </w:pPr>
      <w:r>
        <w:t xml:space="preserve">The reference scenario's 'common' loss is 8.02% of portfolio TIV. The RCC 0.80 case is 16% to 19% above the reference scenario.</w:t>
      </w:r>
    </w:p>
    <w:bookmarkEnd w:id="39"/>
    <w:bookmarkStart w:id="40" w:name="alternatives-rejected"/>
    <w:p>
      <w:pPr>
        <w:pStyle w:val="Heading3"/>
      </w:pPr>
      <w:r>
        <w:t xml:space="preserve">Alternatives rejected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Fitted smooth curve on the score (Option 1 as tested):</w:t>
      </w:r>
      <w:r>
        <w:t xml:space="preserve"> </w:t>
      </w:r>
      <w:r>
        <w:t xml:space="preserve">same answer, weaker traceability, hides the scale.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Showing assumed depths per building (Option 2 as usually presented):</w:t>
      </w:r>
      <w:r>
        <w:t xml:space="preserve"> </w:t>
      </w:r>
      <w:r>
        <w:t xml:space="preserve">invites reading invented metres as flood depths.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Score bands (Option 3b):</w:t>
      </w:r>
      <w:r>
        <w:t xml:space="preserve"> </w:t>
      </w:r>
      <w:r>
        <w:t xml:space="preserve">up to 15% different, with band edges as extra assumptions.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Binary flags (Option 3a):</w:t>
      </w:r>
      <w:r>
        <w:t xml:space="preserve"> </w:t>
      </w:r>
      <w:r>
        <w:t xml:space="preserve">up to 35% different and loses building-level information.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Class-specific curve shapes:</w:t>
      </w:r>
      <w:r>
        <w:t xml:space="preserve"> </w:t>
      </w:r>
      <w:r>
        <w:t xml:space="preserve">supported in direction by Englhardt, but each needs parameters we cannot source. The three non-RCC classes together are 18% (common) to 30% (extreme) of reference-scenario loss, so this is a real limitation at the frequent end.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Monte Carlo, machine-learned vulnerability, local calibration:</w:t>
      </w:r>
      <w:r>
        <w:t xml:space="preserve"> </w:t>
      </w:r>
      <w:r>
        <w:t xml:space="preserve">no data to support them.</w:t>
      </w:r>
    </w:p>
    <w:bookmarkEnd w:id="40"/>
    <w:bookmarkStart w:id="41" w:name="limitations"/>
    <w:p>
      <w:pPr>
        <w:pStyle w:val="Heading3"/>
      </w:pPr>
      <w:r>
        <w:t xml:space="preserve">Limitations</w:t>
      </w:r>
    </w:p>
    <w:p>
      <w:pPr>
        <w:numPr>
          <w:ilvl w:val="0"/>
          <w:numId w:val="1025"/>
        </w:numPr>
        <w:pStyle w:val="Compact"/>
      </w:pPr>
      <w:r>
        <w:t xml:space="preserve">H is an assumption. No Nairobi depth evidence supports any value (R-003).</w:t>
      </w:r>
    </w:p>
    <w:p>
      <w:pPr>
        <w:numPr>
          <w:ilvl w:val="0"/>
          <w:numId w:val="1025"/>
        </w:numPr>
        <w:pStyle w:val="Compact"/>
      </w:pPr>
      <w:r>
        <w:t xml:space="preserve">The curve is built from South African and Mozambican houses, from river and coastal flooding; it is applied here to a surface-water susceptibility proxy and to all four classes, including large RCC blocks.</w:t>
      </w:r>
    </w:p>
    <w:p>
      <w:pPr>
        <w:numPr>
          <w:ilvl w:val="0"/>
          <w:numId w:val="1025"/>
        </w:numPr>
        <w:pStyle w:val="Compact"/>
      </w:pPr>
      <w:r>
        <w:t xml:space="preserve">The ceilings are not Kenyan and are not calibrated. The RCC ceiling alone moves the result by about a fifth.</w:t>
      </w:r>
    </w:p>
    <w:p>
      <w:pPr>
        <w:numPr>
          <w:ilvl w:val="0"/>
          <w:numId w:val="1025"/>
        </w:numPr>
        <w:pStyle w:val="Compact"/>
      </w:pPr>
      <w:r>
        <w:t xml:space="preserve">One shape for all classes understates how quickly weak structures are damaged.</w:t>
      </w:r>
    </w:p>
    <w:p>
      <w:pPr>
        <w:numPr>
          <w:ilvl w:val="0"/>
          <w:numId w:val="1025"/>
        </w:numPr>
        <w:pStyle w:val="Compact"/>
      </w:pPr>
      <w:r>
        <w:t xml:space="preserve">Structure only: no contents, no business interruption, no policy terms.</w:t>
      </w:r>
    </w:p>
    <w:p>
      <w:pPr>
        <w:numPr>
          <w:ilvl w:val="0"/>
          <w:numId w:val="1025"/>
        </w:numPr>
        <w:pStyle w:val="Compact"/>
      </w:pPr>
      <w:r>
        <w:t xml:space="preserve">The published curve has a spread of about ±0.2 in damage factor at mid depths, which is not propagated.</w:t>
      </w:r>
    </w:p>
    <w:p>
      <w:pPr>
        <w:numPr>
          <w:ilvl w:val="0"/>
          <w:numId w:val="1025"/>
        </w:numPr>
        <w:pStyle w:val="Compact"/>
      </w:pPr>
      <w:r>
        <w:t xml:space="preserve">The curve points were cross-checked against two transcriptions, not against the Excel file itself (R-003).</w:t>
      </w:r>
    </w:p>
    <w:bookmarkEnd w:id="41"/>
    <w:bookmarkStart w:id="42" w:name="implications-for-implementation"/>
    <w:p>
      <w:pPr>
        <w:pStyle w:val="Heading3"/>
      </w:pPr>
      <w:r>
        <w:t xml:space="preserve">Implications for implementation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claude/07 - Deterministic Loss Engine Specification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a0c707b5d8d1741b01b6e71107dcc1e6b5c3eca"/>
    <w:p>
      <w:pPr>
        <w:pStyle w:val="Heading2"/>
      </w:pPr>
      <w:r>
        <w:t xml:space="preserve">O-001 — Converting susceptibility score to damage ratio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CLOSED by D-005 on 2026-10-07.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Recorded:</w:t>
      </w:r>
      <w:r>
        <w:t xml:space="preserve"> </w:t>
      </w:r>
      <w:r>
        <w:t xml:space="preserve">2026-10-07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Options considered:</w:t>
      </w:r>
      <w:r>
        <w:t xml:space="preserve"> </w:t>
      </w:r>
      <w:r>
        <w:t xml:space="preserve">score directly into a saturating curve; score to an assumed depth then the published curve; damage bands.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Checks still worth making, none blocking:</w:t>
      </w:r>
      <w:r>
        <w:t xml:space="preserve"> </w:t>
      </w:r>
      <w:r>
        <w:t xml:space="preserve">the nine JRC values in the Excel file; Juma et al. (2023) for Kibera depths; the reference dashboard's parameters and the marking rubric, if obtainable.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publications.jrc.ec.europa.eu/repository/handle/JRC1056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publications.jrc.ec.europa.eu/repository/handle/JRC1056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2026-10-08T07:27:15Z</dcterms:created>
  <dcterms:modified xsi:type="dcterms:W3CDTF">2026-10-08T07:27:15Z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