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E14" w:rsidRPr="008E21BC" w:rsidRDefault="00F94E14">
      <w:pPr>
        <w:pStyle w:val="NormalWeb"/>
        <w:pageBreakBefore/>
        <w:spacing w:before="0" w:beforeAutospacing="0" w:after="0" w:afterAutospacing="0"/>
        <w:rPr>
          <w:rFonts w:ascii="Arial Narrow" w:hAnsi="Arial Narrow"/>
          <w:sz w:val="2"/>
        </w:rPr>
      </w:pPr>
      <w:r w:rsidRPr="008E21BC">
        <w:rPr>
          <w:rFonts w:ascii="Arial Narrow" w:hAnsi="Arial Narrow"/>
          <w:sz w:val="2"/>
          <w:szCs w:val="15"/>
        </w:rPr>
        <w:t> </w:t>
      </w:r>
    </w:p>
    <w:p w:rsidR="00690FC7" w:rsidRPr="008E21BC" w:rsidRDefault="008E21BC">
      <w:pPr>
        <w:pStyle w:val="NormalWeb"/>
        <w:spacing w:before="0" w:beforeAutospacing="0" w:after="0" w:afterAutospacing="0"/>
        <w:jc w:val="center"/>
        <w:rPr>
          <w:rFonts w:ascii="Arial Narrow" w:hAnsi="Arial Narrow" w:cs="Arial"/>
          <w:b/>
          <w:bCs/>
        </w:rPr>
      </w:pPr>
      <w:r w:rsidRPr="008E21BC">
        <w:rPr>
          <w:rFonts w:ascii="Arial Narrow" w:hAnsi="Arial Narrow" w:cs="Arial"/>
          <w:b/>
          <w:bCs/>
        </w:rPr>
        <w:t>ESPRESSO SOFTWARE</w:t>
      </w:r>
    </w:p>
    <w:p w:rsidR="00F94E14" w:rsidRPr="008E21BC" w:rsidRDefault="00F94E14">
      <w:pPr>
        <w:pStyle w:val="NormalWeb"/>
        <w:spacing w:before="0" w:beforeAutospacing="0" w:after="0" w:afterAutospacing="0"/>
        <w:jc w:val="center"/>
        <w:rPr>
          <w:rFonts w:ascii="Arial Narrow" w:hAnsi="Arial Narrow"/>
        </w:rPr>
      </w:pPr>
      <w:r w:rsidRPr="008E21BC">
        <w:rPr>
          <w:rFonts w:ascii="Arial Narrow" w:hAnsi="Arial Narrow" w:cs="Arial"/>
          <w:b/>
          <w:bCs/>
        </w:rPr>
        <w:t xml:space="preserve">FINANCIAL STATEMENTS AND SUPPLEMENTARY DATA </w:t>
      </w:r>
    </w:p>
    <w:p w:rsidR="00F94E14" w:rsidRPr="008E21BC" w:rsidRDefault="00F94E14">
      <w:pPr>
        <w:pStyle w:val="NormalWeb"/>
        <w:keepNext/>
        <w:spacing w:before="180" w:beforeAutospacing="0" w:after="0" w:afterAutospacing="0"/>
        <w:jc w:val="center"/>
        <w:rPr>
          <w:rFonts w:ascii="Arial Narrow" w:hAnsi="Arial Narrow"/>
        </w:rPr>
      </w:pPr>
      <w:r w:rsidRPr="008E21BC">
        <w:rPr>
          <w:rFonts w:ascii="Arial Narrow" w:hAnsi="Arial Narrow" w:cs="Arial"/>
          <w:b/>
          <w:bCs/>
          <w:sz w:val="20"/>
          <w:szCs w:val="20"/>
        </w:rPr>
        <w:t xml:space="preserve">INCOME STATEMENTS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31"/>
        <w:gridCol w:w="275"/>
        <w:gridCol w:w="106"/>
        <w:gridCol w:w="607"/>
        <w:gridCol w:w="60"/>
        <w:gridCol w:w="274"/>
        <w:gridCol w:w="106"/>
        <w:gridCol w:w="607"/>
        <w:gridCol w:w="69"/>
        <w:gridCol w:w="274"/>
        <w:gridCol w:w="106"/>
        <w:gridCol w:w="607"/>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 except per share amounts)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201</w:t>
            </w:r>
            <w:r w:rsidR="008E21BC" w:rsidRPr="008E21BC">
              <w:rPr>
                <w:rFonts w:ascii="Arial Narrow" w:hAnsi="Arial Narrow" w:cs="Arial"/>
                <w:b/>
                <w:bCs/>
                <w:sz w:val="15"/>
                <w:szCs w:val="15"/>
              </w:rPr>
              <w:t>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sidRPr="008E21BC">
              <w:rPr>
                <w:rFonts w:ascii="Arial Narrow" w:hAnsi="Arial Narrow" w:cs="Arial"/>
                <w:b/>
                <w:bCs/>
                <w:sz w:val="15"/>
                <w:szCs w:val="15"/>
              </w:rPr>
              <w:t>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sidRPr="008E21BC">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62,484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58,437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60,420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Operating expenses: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Cost of 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12,395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12,155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11,598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Research and development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8,714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9,010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8,164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Sales and marketing</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13,214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12,879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13,260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General and administrative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4,004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3,700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5,127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Employee severance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Total operating expenses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38,386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38,074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38,149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Operating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24,098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20,363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22,271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 income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(542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Income before 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19,821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23,814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Provision for 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6,253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5,252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6,133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18,760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14,569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17,681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Basic</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Diluted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Weighted average shares outstanding:</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Basic</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8,813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8,945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9,328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Diluted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8,927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8,996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9,470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Cash dividends declared per common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See accompanying notes. </w:t>
      </w:r>
    </w:p>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pPr>
        <w:pStyle w:val="NormalWeb"/>
        <w:pageBreakBefore/>
        <w:spacing w:before="0" w:beforeAutospacing="0" w:after="0" w:afterAutospacing="0"/>
        <w:rPr>
          <w:rFonts w:ascii="Arial Narrow" w:hAnsi="Arial Narrow"/>
          <w:sz w:val="2"/>
        </w:rPr>
      </w:pPr>
      <w:r w:rsidRPr="008E21BC">
        <w:rPr>
          <w:rFonts w:ascii="Arial Narrow" w:hAnsi="Arial Narrow"/>
          <w:sz w:val="2"/>
          <w:szCs w:val="15"/>
        </w:rPr>
        <w:lastRenderedPageBreak/>
        <w:t> </w:t>
      </w:r>
    </w:p>
    <w:p w:rsidR="00F94E14" w:rsidRPr="008E21BC" w:rsidRDefault="00F94E14">
      <w:pPr>
        <w:pStyle w:val="NormalWeb"/>
        <w:keepNext/>
        <w:spacing w:before="0" w:beforeAutospacing="0" w:after="0" w:afterAutospacing="0"/>
        <w:jc w:val="center"/>
        <w:rPr>
          <w:rFonts w:ascii="Arial Narrow" w:hAnsi="Arial Narrow"/>
        </w:rPr>
      </w:pPr>
      <w:r w:rsidRPr="008E21BC">
        <w:rPr>
          <w:rFonts w:ascii="Arial Narrow" w:hAnsi="Arial Narrow" w:cs="Arial"/>
          <w:b/>
          <w:bCs/>
          <w:sz w:val="20"/>
          <w:szCs w:val="20"/>
        </w:rPr>
        <w:t xml:space="preserve">BALANCE SHEETS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4997" w:type="pct"/>
        <w:jc w:val="center"/>
        <w:tblCellMar>
          <w:top w:w="14" w:type="dxa"/>
          <w:left w:w="0" w:type="dxa"/>
          <w:right w:w="14" w:type="dxa"/>
        </w:tblCellMar>
        <w:tblLook w:val="0000" w:firstRow="0" w:lastRow="0" w:firstColumn="0" w:lastColumn="0" w:noHBand="0" w:noVBand="0"/>
      </w:tblPr>
      <w:tblGrid>
        <w:gridCol w:w="7839"/>
        <w:gridCol w:w="267"/>
        <w:gridCol w:w="127"/>
        <w:gridCol w:w="789"/>
        <w:gridCol w:w="83"/>
        <w:gridCol w:w="268"/>
        <w:gridCol w:w="127"/>
        <w:gridCol w:w="789"/>
        <w:gridCol w:w="87"/>
      </w:tblGrid>
      <w:tr w:rsidR="00F94E14" w:rsidRPr="008E21BC" w:rsidTr="00EA4455">
        <w:trPr>
          <w:tblHeader/>
          <w:jc w:val="center"/>
        </w:trPr>
        <w:tc>
          <w:tcPr>
            <w:tcW w:w="3778" w:type="pct"/>
            <w:vAlign w:val="center"/>
          </w:tcPr>
          <w:p w:rsidR="00F94E14" w:rsidRPr="008E21BC" w:rsidRDefault="00F94E14">
            <w:pPr>
              <w:rPr>
                <w:rFonts w:ascii="Arial Narrow" w:hAnsi="Arial Narrow"/>
                <w:sz w:val="1"/>
              </w:rPr>
            </w:pPr>
          </w:p>
        </w:tc>
        <w:tc>
          <w:tcPr>
            <w:tcW w:w="129"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29"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rsidTr="00EA4455">
        <w:trPr>
          <w:tblHeader/>
          <w:jc w:val="center"/>
        </w:trPr>
        <w:tc>
          <w:tcPr>
            <w:tcW w:w="3778" w:type="pct"/>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rsidTr="00EA4455">
        <w:trPr>
          <w:jc w:val="center"/>
        </w:trPr>
        <w:tc>
          <w:tcPr>
            <w:tcW w:w="4961" w:type="pct"/>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rsidTr="00EA4455">
        <w:trPr>
          <w:trHeight w:val="75"/>
          <w:jc w:val="center"/>
        </w:trPr>
        <w:tc>
          <w:tcPr>
            <w:tcW w:w="3778" w:type="pct"/>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rsidTr="00EA4455">
        <w:trPr>
          <w:jc w:val="center"/>
        </w:trPr>
        <w:tc>
          <w:tcPr>
            <w:tcW w:w="3778" w:type="pct"/>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201</w:t>
            </w:r>
            <w:r w:rsidR="008E21BC" w:rsidRPr="008E21BC">
              <w:rPr>
                <w:rFonts w:ascii="Arial Narrow" w:hAnsi="Arial Narrow" w:cs="Arial"/>
                <w:b/>
                <w:bCs/>
                <w:sz w:val="15"/>
                <w:szCs w:val="15"/>
              </w:rPr>
              <w:t>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sidRPr="008E21BC">
              <w:rPr>
                <w:rFonts w:ascii="Arial Narrow" w:hAnsi="Arial Narrow" w:cs="Arial"/>
                <w:b/>
                <w:bCs/>
                <w:sz w:val="15"/>
                <w:szCs w:val="15"/>
              </w:rPr>
              <w:t>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rsidTr="00EA4455">
        <w:trPr>
          <w:trHeight w:val="75"/>
          <w:jc w:val="center"/>
        </w:trPr>
        <w:tc>
          <w:tcPr>
            <w:tcW w:w="3778" w:type="pct"/>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rsidTr="00EA4455">
        <w:trPr>
          <w:jc w:val="center"/>
        </w:trPr>
        <w:tc>
          <w:tcPr>
            <w:tcW w:w="3778" w:type="pct"/>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rsidTr="00EA4455">
        <w:trPr>
          <w:jc w:val="center"/>
        </w:trPr>
        <w:tc>
          <w:tcPr>
            <w:tcW w:w="3778" w:type="pct"/>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Cash and cash equivalents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5,505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6,076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 xml:space="preserve">Short-term investments (including securities loaned of </w:t>
            </w:r>
            <w:r w:rsidRPr="008E21BC">
              <w:rPr>
                <w:rFonts w:ascii="Arial Narrow" w:hAnsi="Arial Narrow" w:cs="Arial"/>
                <w:b/>
                <w:bCs/>
                <w:sz w:val="20"/>
                <w:szCs w:val="20"/>
              </w:rPr>
              <w:t>$62</w:t>
            </w:r>
            <w:r w:rsidRPr="008E21BC">
              <w:rPr>
                <w:rFonts w:ascii="Arial Narrow" w:hAnsi="Arial Narrow" w:cs="Arial"/>
                <w:sz w:val="20"/>
                <w:szCs w:val="20"/>
              </w:rPr>
              <w:t xml:space="preserve"> and $1,540)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31,283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25,371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4350" w:type="pct"/>
            <w:gridSpan w:val="4"/>
            <w:vAlign w:val="bottom"/>
          </w:tcPr>
          <w:p w:rsidR="00F94E14" w:rsidRPr="008E21BC" w:rsidRDefault="00F94E14" w:rsidP="00E20399">
            <w:pPr>
              <w:pStyle w:val="rrdsinglerule"/>
              <w:jc w:val="left"/>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rsidTr="00EA4455">
        <w:trPr>
          <w:jc w:val="center"/>
        </w:trPr>
        <w:tc>
          <w:tcPr>
            <w:tcW w:w="3778" w:type="pct"/>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Total cash, cash equivalents, and short-term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36,788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31,447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 xml:space="preserve">Accounts receivable, net of allowance for doubtful accounts of </w:t>
            </w:r>
            <w:r w:rsidRPr="008E21BC">
              <w:rPr>
                <w:rFonts w:ascii="Arial Narrow" w:hAnsi="Arial Narrow" w:cs="Arial"/>
                <w:b/>
                <w:bCs/>
                <w:sz w:val="20"/>
                <w:szCs w:val="20"/>
              </w:rPr>
              <w:t>$375</w:t>
            </w:r>
            <w:r w:rsidRPr="008E21BC">
              <w:rPr>
                <w:rFonts w:ascii="Arial Narrow" w:hAnsi="Arial Narrow" w:cs="Arial"/>
                <w:sz w:val="20"/>
                <w:szCs w:val="20"/>
              </w:rPr>
              <w:t xml:space="preserve"> and $451</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13,014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11,192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Inventories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Deferred 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2,950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3,711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4350" w:type="pct"/>
            <w:gridSpan w:val="4"/>
            <w:vAlign w:val="bottom"/>
          </w:tcPr>
          <w:p w:rsidR="00F94E14" w:rsidRPr="008E21BC" w:rsidRDefault="00F94E14" w:rsidP="00E20399">
            <w:pPr>
              <w:pStyle w:val="rrdsinglerule"/>
              <w:jc w:val="left"/>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rsidTr="00EA4455">
        <w:trPr>
          <w:jc w:val="center"/>
        </w:trPr>
        <w:tc>
          <w:tcPr>
            <w:tcW w:w="3778" w:type="pct"/>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Total 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55,676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49,280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 xml:space="preserve">Property and equipment, net of accumulated depreciation of </w:t>
            </w:r>
            <w:r w:rsidRPr="008E21BC">
              <w:rPr>
                <w:rFonts w:ascii="Arial Narrow" w:hAnsi="Arial Narrow" w:cs="Arial"/>
                <w:b/>
                <w:bCs/>
                <w:sz w:val="20"/>
                <w:szCs w:val="20"/>
              </w:rPr>
              <w:t>$8,629</w:t>
            </w:r>
            <w:r w:rsidRPr="008E21BC">
              <w:rPr>
                <w:rFonts w:ascii="Arial Narrow" w:hAnsi="Arial Narrow" w:cs="Arial"/>
                <w:sz w:val="20"/>
                <w:szCs w:val="20"/>
              </w:rPr>
              <w:t xml:space="preserve"> and $7,547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7,630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7,535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Equity and other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7,754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4,933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Goodwill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12,394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12,503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Intangible assets, net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1,759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Deferred 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Other long-term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1,501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1,599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4350" w:type="pct"/>
            <w:gridSpan w:val="4"/>
            <w:vAlign w:val="bottom"/>
          </w:tcPr>
          <w:p w:rsidR="00F94E14" w:rsidRPr="008E21BC" w:rsidRDefault="00F94E14" w:rsidP="00E20399">
            <w:pPr>
              <w:pStyle w:val="rrdsinglerule"/>
              <w:jc w:val="left"/>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rsidTr="00EA4455">
        <w:trPr>
          <w:jc w:val="center"/>
        </w:trPr>
        <w:tc>
          <w:tcPr>
            <w:tcW w:w="3778" w:type="pct"/>
          </w:tcPr>
          <w:p w:rsidR="00F94E14" w:rsidRPr="008E21BC" w:rsidRDefault="00F94E14" w:rsidP="00E20399">
            <w:pPr>
              <w:pStyle w:val="NormalWeb"/>
              <w:ind w:left="960" w:hanging="240"/>
              <w:jc w:val="left"/>
              <w:rPr>
                <w:rFonts w:ascii="Arial Narrow" w:hAnsi="Arial Narrow"/>
              </w:rPr>
            </w:pPr>
            <w:r w:rsidRPr="008E21BC">
              <w:rPr>
                <w:rFonts w:ascii="Arial Narrow" w:hAnsi="Arial Narrow" w:cs="Arial"/>
                <w:sz w:val="20"/>
                <w:szCs w:val="20"/>
              </w:rPr>
              <w:t>Total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86,113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77,888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vAlign w:val="bottom"/>
          </w:tcPr>
          <w:p w:rsidR="00F94E14" w:rsidRPr="008E21BC" w:rsidRDefault="00F94E14" w:rsidP="00E20399">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b/>
                <w:bCs/>
                <w:sz w:val="20"/>
                <w:szCs w:val="20"/>
              </w:rPr>
              <w:t>Liabilities and stockholders’ equity</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rsidTr="00EA4455">
        <w:trPr>
          <w:jc w:val="center"/>
        </w:trPr>
        <w:tc>
          <w:tcPr>
            <w:tcW w:w="3778" w:type="pct"/>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Current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Accounts payable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4,025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Short-term debt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Accrued compensation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1,074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725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Short-term unearned 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13,652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13,003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Securities lending payable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2,931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4350" w:type="pct"/>
            <w:gridSpan w:val="4"/>
            <w:vAlign w:val="bottom"/>
          </w:tcPr>
          <w:p w:rsidR="00F94E14" w:rsidRPr="008E21BC" w:rsidRDefault="00F94E14" w:rsidP="00E20399">
            <w:pPr>
              <w:pStyle w:val="rrdsinglerule"/>
              <w:jc w:val="left"/>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rsidTr="00EA4455">
        <w:trPr>
          <w:jc w:val="center"/>
        </w:trPr>
        <w:tc>
          <w:tcPr>
            <w:tcW w:w="3778" w:type="pct"/>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Total current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26,147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27,034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Long-term debt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4,939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3,746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 xml:space="preserve">Long-term </w:t>
            </w:r>
            <w:bookmarkStart w:id="0" w:name="_GoBack"/>
            <w:r w:rsidRPr="008E21BC">
              <w:rPr>
                <w:rFonts w:ascii="Arial Narrow" w:hAnsi="Arial Narrow" w:cs="Arial"/>
                <w:sz w:val="20"/>
                <w:szCs w:val="20"/>
              </w:rPr>
              <w:t>unearned</w:t>
            </w:r>
            <w:bookmarkEnd w:id="0"/>
            <w:r w:rsidRPr="008E21BC">
              <w:rPr>
                <w:rFonts w:ascii="Arial Narrow" w:hAnsi="Arial Narrow" w:cs="Arial"/>
                <w:sz w:val="20"/>
                <w:szCs w:val="20"/>
              </w:rPr>
              <w:t xml:space="preserve"> 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1,178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Deferred 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Other long-term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Commitments and contingencies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rsidTr="00EA4455">
        <w:trPr>
          <w:jc w:val="center"/>
        </w:trPr>
        <w:tc>
          <w:tcPr>
            <w:tcW w:w="3778" w:type="pct"/>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Stockholders’ equity:</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 xml:space="preserve">Common stock and paid-in capital – shares authorized 24,000; outstanding </w:t>
            </w:r>
            <w:r w:rsidRPr="008E21BC">
              <w:rPr>
                <w:rFonts w:ascii="Arial Narrow" w:hAnsi="Arial Narrow" w:cs="Arial"/>
                <w:b/>
                <w:bCs/>
                <w:sz w:val="20"/>
                <w:szCs w:val="20"/>
              </w:rPr>
              <w:t>8,668</w:t>
            </w:r>
            <w:r w:rsidRPr="008E21BC">
              <w:rPr>
                <w:rFonts w:ascii="Arial Narrow" w:hAnsi="Arial Narrow" w:cs="Arial"/>
                <w:sz w:val="20"/>
                <w:szCs w:val="20"/>
              </w:rPr>
              <w:t xml:space="preserve"> and 8,908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62,856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62,382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 xml:space="preserve">Retained deficit, including accumulated other comprehensive income of </w:t>
            </w:r>
            <w:r w:rsidRPr="008E21BC">
              <w:rPr>
                <w:rFonts w:ascii="Arial Narrow" w:hAnsi="Arial Narrow" w:cs="Arial"/>
                <w:b/>
                <w:bCs/>
                <w:sz w:val="20"/>
                <w:szCs w:val="20"/>
              </w:rPr>
              <w:t>$1,055</w:t>
            </w:r>
            <w:r w:rsidRPr="008E21BC">
              <w:rPr>
                <w:rFonts w:ascii="Arial Narrow" w:hAnsi="Arial Narrow" w:cs="Arial"/>
                <w:sz w:val="20"/>
                <w:szCs w:val="20"/>
              </w:rPr>
              <w:t xml:space="preserve"> and $969</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(16,681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(22,824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rsidTr="00EA4455">
        <w:trPr>
          <w:jc w:val="center"/>
        </w:trPr>
        <w:tc>
          <w:tcPr>
            <w:tcW w:w="4350" w:type="pct"/>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rsidTr="00EA4455">
        <w:trPr>
          <w:jc w:val="center"/>
        </w:trPr>
        <w:tc>
          <w:tcPr>
            <w:tcW w:w="3778" w:type="pct"/>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Total stockholders’ equity</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46,175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39,558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4350" w:type="pct"/>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rsidTr="00EA4455">
        <w:trPr>
          <w:jc w:val="center"/>
        </w:trPr>
        <w:tc>
          <w:tcPr>
            <w:tcW w:w="3778" w:type="pct"/>
          </w:tcPr>
          <w:p w:rsidR="00F94E14" w:rsidRPr="008E21BC" w:rsidRDefault="00F94E14">
            <w:pPr>
              <w:pStyle w:val="NormalWeb"/>
              <w:ind w:left="960" w:hanging="240"/>
              <w:rPr>
                <w:rFonts w:ascii="Arial Narrow" w:hAnsi="Arial Narrow"/>
              </w:rPr>
            </w:pPr>
            <w:r w:rsidRPr="008E21BC">
              <w:rPr>
                <w:rFonts w:ascii="Arial Narrow" w:hAnsi="Arial Narrow" w:cs="Arial"/>
                <w:sz w:val="20"/>
                <w:szCs w:val="20"/>
              </w:rPr>
              <w:t>Total liabilities and stockholders’ equity</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86,113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77,888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rsidTr="00EA4455">
        <w:trPr>
          <w:jc w:val="center"/>
        </w:trPr>
        <w:tc>
          <w:tcPr>
            <w:tcW w:w="3778" w:type="pct"/>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See accompanying notes. </w:t>
      </w:r>
    </w:p>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pPr>
        <w:pStyle w:val="NormalWeb"/>
        <w:pageBreakBefore/>
        <w:spacing w:before="0" w:beforeAutospacing="0" w:after="0" w:afterAutospacing="0"/>
        <w:rPr>
          <w:rFonts w:ascii="Arial Narrow" w:hAnsi="Arial Narrow"/>
          <w:sz w:val="2"/>
        </w:rPr>
      </w:pPr>
      <w:r w:rsidRPr="008E21BC">
        <w:rPr>
          <w:rFonts w:ascii="Arial Narrow" w:hAnsi="Arial Narrow"/>
          <w:sz w:val="2"/>
          <w:szCs w:val="15"/>
        </w:rPr>
        <w:lastRenderedPageBreak/>
        <w:t> </w:t>
      </w:r>
    </w:p>
    <w:p w:rsidR="00F94E14" w:rsidRPr="008E21BC" w:rsidRDefault="00F94E14">
      <w:pPr>
        <w:pStyle w:val="NormalWeb"/>
        <w:keepNext/>
        <w:spacing w:before="0" w:beforeAutospacing="0" w:after="0" w:afterAutospacing="0"/>
        <w:jc w:val="center"/>
        <w:rPr>
          <w:rFonts w:ascii="Arial Narrow" w:hAnsi="Arial Narrow"/>
        </w:rPr>
      </w:pPr>
      <w:r w:rsidRPr="008E21BC">
        <w:rPr>
          <w:rFonts w:ascii="Arial Narrow" w:hAnsi="Arial Narrow" w:cs="Arial"/>
          <w:b/>
          <w:bCs/>
          <w:sz w:val="20"/>
          <w:szCs w:val="20"/>
        </w:rPr>
        <w:t xml:space="preserve">CASH FLOWS STATEMENTS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82"/>
        <w:gridCol w:w="272"/>
        <w:gridCol w:w="106"/>
        <w:gridCol w:w="653"/>
        <w:gridCol w:w="69"/>
        <w:gridCol w:w="272"/>
        <w:gridCol w:w="106"/>
        <w:gridCol w:w="653"/>
        <w:gridCol w:w="69"/>
        <w:gridCol w:w="272"/>
        <w:gridCol w:w="106"/>
        <w:gridCol w:w="653"/>
        <w:gridCol w:w="69"/>
      </w:tblGrid>
      <w:tr w:rsidR="00F94E14" w:rsidRPr="008E21BC">
        <w:trPr>
          <w:tblHeader/>
          <w:jc w:val="center"/>
        </w:trPr>
        <w:tc>
          <w:tcPr>
            <w:tcW w:w="39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201</w:t>
            </w:r>
            <w:r w:rsidR="008E21BC">
              <w:rPr>
                <w:rFonts w:ascii="Arial Narrow" w:hAnsi="Arial Narrow" w:cs="Arial"/>
                <w:b/>
                <w:bCs/>
                <w:sz w:val="15"/>
                <w:szCs w:val="15"/>
              </w:rPr>
              <w:t>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Operations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18,760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14,569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17,681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Adjustments to reconcile net income to net cash from operations: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Depreciation, amortization, and other noncash items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2,673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Stock-based compensation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1,479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Net recognized losses (gains) on investments and 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(572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Excess tax benefits from stock-based compensation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Deferred 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Deferral of 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29,374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24,409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24,532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Recognition of unearned 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(28,813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(25,426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(21,944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keepNext/>
              <w:ind w:left="480" w:hanging="240"/>
              <w:rPr>
                <w:rFonts w:ascii="Arial Narrow" w:hAnsi="Arial Narrow"/>
              </w:rPr>
            </w:pPr>
            <w:r w:rsidRPr="008E21BC">
              <w:rPr>
                <w:rFonts w:ascii="Arial Narrow" w:hAnsi="Arial Narrow" w:cs="Arial"/>
                <w:sz w:val="20"/>
                <w:szCs w:val="20"/>
              </w:rPr>
              <w:t>Changes in operating assets and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Accounts receivable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(2,238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(1,569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Other 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(422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Other long-term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Other current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1,295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(3,371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(748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Other long-term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1,407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960" w:hanging="240"/>
              <w:rPr>
                <w:rFonts w:ascii="Arial Narrow" w:hAnsi="Arial Narrow"/>
              </w:rPr>
            </w:pPr>
            <w:r w:rsidRPr="008E21BC">
              <w:rPr>
                <w:rFonts w:ascii="Arial Narrow" w:hAnsi="Arial Narrow" w:cs="Arial"/>
                <w:sz w:val="20"/>
                <w:szCs w:val="20"/>
              </w:rPr>
              <w:t>Net cash from operations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24,073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19,037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21,612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Financing</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Short-term borrowings (repayments), maturities of 90 days or less, net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(991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1,178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Proceeds from issuance of debt, maturities longer than 90 days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4,167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4,796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Repayments of debt, maturities longer than 90 days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(2,986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stock issued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2,311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579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3,494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stock repurchased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(11,269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(9,353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(12,533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stock cash dividends paid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(4,578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(4,468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(4,015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Excess tax benefits from stock-based compensation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960" w:hanging="240"/>
              <w:rPr>
                <w:rFonts w:ascii="Arial Narrow" w:hAnsi="Arial Narrow"/>
              </w:rPr>
            </w:pPr>
            <w:r w:rsidRPr="008E21BC">
              <w:rPr>
                <w:rFonts w:ascii="Arial Narrow" w:hAnsi="Arial Narrow" w:cs="Arial"/>
                <w:sz w:val="20"/>
                <w:szCs w:val="20"/>
              </w:rPr>
              <w:t>Net cash used in financing</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(13,291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(7,463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(12,934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Investing</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Additions to property and equipment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(1,977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(3,119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(3,182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Acquisition of companies, net of cash acquired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(868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(8,053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Purchases of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(30,168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(36,850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(20,954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Maturities of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6,191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2,597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Sales of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15,125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19,806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25,132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Securities lending payable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(1,502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(930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960" w:hanging="240"/>
              <w:rPr>
                <w:rFonts w:ascii="Arial Narrow" w:hAnsi="Arial Narrow"/>
              </w:rPr>
            </w:pPr>
            <w:r w:rsidRPr="008E21BC">
              <w:rPr>
                <w:rFonts w:ascii="Arial Narrow" w:hAnsi="Arial Narrow" w:cs="Arial"/>
                <w:sz w:val="20"/>
                <w:szCs w:val="20"/>
              </w:rPr>
              <w:t>Net cash used in investing</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(11,314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(15,770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(4,587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Effect of exchange rates on cash and cash equivalents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change in cash and cash equivalents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(571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(4,263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4,228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Cash and cash equivalents, beginning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6,076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10,339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6,111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Cash and cash equivalents, end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5,505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6,076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10,339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See accompanying notes. </w:t>
      </w:r>
    </w:p>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pPr>
        <w:pStyle w:val="NormalWeb"/>
        <w:pageBreakBefore/>
        <w:spacing w:before="0" w:beforeAutospacing="0" w:after="0" w:afterAutospacing="0"/>
        <w:rPr>
          <w:rFonts w:ascii="Arial Narrow" w:hAnsi="Arial Narrow"/>
          <w:sz w:val="2"/>
        </w:rPr>
      </w:pPr>
      <w:r w:rsidRPr="008E21BC">
        <w:rPr>
          <w:rFonts w:ascii="Arial Narrow" w:hAnsi="Arial Narrow"/>
          <w:sz w:val="2"/>
          <w:szCs w:val="15"/>
        </w:rPr>
        <w:lastRenderedPageBreak/>
        <w:t> </w:t>
      </w:r>
    </w:p>
    <w:p w:rsidR="00F94E14" w:rsidRPr="008E21BC" w:rsidRDefault="00F94E14">
      <w:pPr>
        <w:pStyle w:val="NormalWeb"/>
        <w:keepNext/>
        <w:spacing w:before="0" w:beforeAutospacing="0" w:after="0" w:afterAutospacing="0"/>
        <w:jc w:val="center"/>
        <w:rPr>
          <w:rFonts w:ascii="Arial Narrow" w:hAnsi="Arial Narrow"/>
        </w:rPr>
      </w:pPr>
      <w:r w:rsidRPr="008E21BC">
        <w:rPr>
          <w:rFonts w:ascii="Arial Narrow" w:hAnsi="Arial Narrow" w:cs="Arial"/>
          <w:b/>
          <w:bCs/>
          <w:sz w:val="20"/>
          <w:szCs w:val="20"/>
        </w:rPr>
        <w:t xml:space="preserve">STOCKHOLDERS’ EQUITY STATEMENTS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82"/>
        <w:gridCol w:w="272"/>
        <w:gridCol w:w="106"/>
        <w:gridCol w:w="653"/>
        <w:gridCol w:w="69"/>
        <w:gridCol w:w="272"/>
        <w:gridCol w:w="106"/>
        <w:gridCol w:w="653"/>
        <w:gridCol w:w="69"/>
        <w:gridCol w:w="272"/>
        <w:gridCol w:w="106"/>
        <w:gridCol w:w="653"/>
        <w:gridCol w:w="69"/>
      </w:tblGrid>
      <w:tr w:rsidR="00F94E14" w:rsidRPr="008E21BC">
        <w:trPr>
          <w:tblHeader/>
          <w:jc w:val="center"/>
        </w:trPr>
        <w:tc>
          <w:tcPr>
            <w:tcW w:w="39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201</w:t>
            </w:r>
            <w:r w:rsidR="008E21BC">
              <w:rPr>
                <w:rFonts w:ascii="Arial Narrow" w:hAnsi="Arial Narrow" w:cs="Arial"/>
                <w:b/>
                <w:bCs/>
                <w:sz w:val="15"/>
                <w:szCs w:val="15"/>
              </w:rPr>
              <w:t>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Common stock and paid-in capital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beginning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62,382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62,849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60,557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stock issued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2,311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stock repurchased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(3,113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(2,611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(3,022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Stock-based compensation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1,479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Stock-based compensation income tax benefits (deficiencies)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(647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 net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Balance, end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62,856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62,382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62,849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Retained deficit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beginning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(22,824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(26,563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(29,460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rsidP="00CB2626">
            <w:pPr>
              <w:pStyle w:val="NormalWeb"/>
              <w:ind w:left="240" w:hanging="240"/>
              <w:jc w:val="left"/>
              <w:rPr>
                <w:rFonts w:ascii="Arial Narrow" w:hAnsi="Arial Narrow"/>
              </w:rPr>
            </w:pPr>
            <w:r w:rsidRPr="008E21BC">
              <w:rPr>
                <w:rFonts w:ascii="Arial Narrow" w:hAnsi="Arial Narrow" w:cs="Arial"/>
                <w:sz w:val="20"/>
                <w:szCs w:val="20"/>
              </w:rPr>
              <w:t>Cumulative effect of a change in accounting principle relating to uncertain tax positions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(395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rsidP="00CB2626">
            <w:pPr>
              <w:pStyle w:val="NormalWeb"/>
              <w:ind w:left="240" w:hanging="240"/>
              <w:jc w:val="left"/>
              <w:rPr>
                <w:rFonts w:ascii="Arial Narrow" w:hAnsi="Arial Narrow"/>
              </w:rPr>
            </w:pPr>
            <w:r w:rsidRPr="008E21BC">
              <w:rPr>
                <w:rFonts w:ascii="Arial Narrow" w:hAnsi="Arial Narrow" w:cs="Arial"/>
                <w:sz w:val="20"/>
                <w:szCs w:val="20"/>
              </w:rPr>
              <w:t>Cumulative effect of a change in accounting principle relating to costs of certain compensated absences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18,760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14,569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17,681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Other comprehensive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Net unrealized gains on 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Net unrealized gains (losses) on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(653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Translation adjustments and 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Comprehensive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18,846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14,398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17,167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stock cash dividends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(4,547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(4,620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(4,084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stock repurchased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(8,156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(6,039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(9,774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Balance, end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(16,681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(22,824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(26,563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Total stockholders’ equity</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46,175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39,558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36,286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See accompanying notes. </w:t>
      </w:r>
    </w:p>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pPr>
        <w:pStyle w:val="NormalWeb"/>
        <w:pageBreakBefore/>
        <w:spacing w:before="0" w:beforeAutospacing="0" w:after="0" w:afterAutospacing="0"/>
        <w:rPr>
          <w:rFonts w:ascii="Arial Narrow" w:hAnsi="Arial Narrow"/>
          <w:sz w:val="2"/>
        </w:rPr>
      </w:pPr>
      <w:r w:rsidRPr="008E21BC">
        <w:rPr>
          <w:rFonts w:ascii="Arial Narrow" w:hAnsi="Arial Narrow"/>
          <w:sz w:val="2"/>
          <w:szCs w:val="15"/>
        </w:rPr>
        <w:lastRenderedPageBreak/>
        <w:t> </w:t>
      </w:r>
    </w:p>
    <w:p w:rsidR="00F94E14" w:rsidRPr="008E21BC" w:rsidRDefault="00F94E14">
      <w:pPr>
        <w:pStyle w:val="NormalWeb"/>
        <w:keepNext/>
        <w:spacing w:before="0" w:beforeAutospacing="0" w:after="0" w:afterAutospacing="0"/>
        <w:jc w:val="center"/>
        <w:rPr>
          <w:rFonts w:ascii="Arial Narrow" w:hAnsi="Arial Narrow"/>
        </w:rPr>
      </w:pPr>
      <w:r w:rsidRPr="008E21BC">
        <w:rPr>
          <w:rFonts w:ascii="Arial Narrow" w:hAnsi="Arial Narrow" w:cs="Arial"/>
          <w:b/>
          <w:bCs/>
          <w:sz w:val="20"/>
          <w:szCs w:val="20"/>
        </w:rPr>
        <w:t xml:space="preserve">NOTES TO FINANCIAL STATEMENTS </w:t>
      </w:r>
    </w:p>
    <w:p w:rsidR="00F94E14" w:rsidRPr="008E21BC" w:rsidRDefault="00F94E14">
      <w:pPr>
        <w:pStyle w:val="NormalWeb"/>
        <w:spacing w:before="180" w:beforeAutospacing="0" w:after="0" w:afterAutospacing="0"/>
        <w:jc w:val="center"/>
        <w:rPr>
          <w:rFonts w:ascii="Arial Narrow" w:hAnsi="Arial Narrow"/>
        </w:rPr>
      </w:pPr>
      <w:r w:rsidRPr="008E21BC">
        <w:rPr>
          <w:rFonts w:ascii="Arial Narrow" w:hAnsi="Arial Narrow" w:cs="Arial"/>
          <w:sz w:val="20"/>
          <w:szCs w:val="20"/>
          <w:u w:val="single"/>
        </w:rPr>
        <w:t xml:space="preserve">NOTE 1 — ACCOUNTING POLICIES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b/>
          <w:bCs/>
          <w:sz w:val="20"/>
          <w:szCs w:val="20"/>
        </w:rPr>
        <w:t xml:space="preserve">Accounting Principles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The financial statements and accompanying notes are prepared in accordance with accounting principles generally accepted in the United States of America.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Principles of Consolidation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The financial statements include the accounts of </w:t>
      </w:r>
      <w:r w:rsidR="008E21BC">
        <w:rPr>
          <w:rFonts w:ascii="Arial Narrow" w:hAnsi="Arial Narrow" w:cs="Arial"/>
          <w:sz w:val="20"/>
          <w:szCs w:val="20"/>
        </w:rPr>
        <w:t>Espresso Software</w:t>
      </w:r>
      <w:r w:rsidRPr="008E21BC">
        <w:rPr>
          <w:rFonts w:ascii="Arial Narrow" w:hAnsi="Arial Narrow" w:cs="Arial"/>
          <w:sz w:val="20"/>
          <w:szCs w:val="20"/>
        </w:rPr>
        <w:t xml:space="preserve"> and its subsidiaries. Intercompany transactions and balances have been eliminated. Equity investments through which we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Estimates and Assumptions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Preparing financial statements requires management to make estimates and assumptions that affect the reported amounts of assets, liabilities, revenue, and expenses. Examples include: estimates of loss contingencies, product warranties, product life cycles, product returns, and stock-based compensation forfeiture rates; assumptions such as the elements comprising a software arrangement, including the distinction between upgrades/enhancements and new products; when technological feasibility is achieved for our products; the potential outcome of future tax consequences of events that have been recognized in our financial statements or tax returns; estimating the fair value and/or goodwill impairment for our reporting units; and determining when investment impairments are other-than-temporary. Actual results and outcomes may differ from management’s estimates and assumptions.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Foreign Currencies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Revenue Recognition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Revenue is recognized when persuasive evidence of an arrangement exists, delivery has occurred, the fee is fixed or determinable, and collectibility is probable.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Revenue for retail packaged products, products licensed to original equipment manufacturers (“OEMs”), and perpetual licenses under certain volume licensing programs generally is recognized as products are shipped or made available. A portion of the revenue related to Windows XP is deferred due to the right to receive unspecified upgrades/enhancements of </w:t>
      </w:r>
      <w:r w:rsidR="008E21BC">
        <w:rPr>
          <w:rFonts w:ascii="Arial Narrow" w:hAnsi="Arial Narrow" w:cs="Arial"/>
          <w:sz w:val="20"/>
          <w:szCs w:val="20"/>
        </w:rPr>
        <w:t>Espresso</w:t>
      </w:r>
      <w:r w:rsidRPr="008E21BC">
        <w:rPr>
          <w:rFonts w:ascii="Arial Narrow" w:hAnsi="Arial Narrow" w:cs="Arial"/>
          <w:sz w:val="20"/>
          <w:szCs w:val="20"/>
        </w:rPr>
        <w:t xml:space="preserve"> Internet Explorer on a when-and-if-available basis. The amount of revenue allocated to the unspecified upgrade/enhancement rights for </w:t>
      </w:r>
      <w:r w:rsidR="008E21BC">
        <w:rPr>
          <w:rFonts w:ascii="Arial Narrow" w:hAnsi="Arial Narrow" w:cs="Arial"/>
          <w:sz w:val="20"/>
          <w:szCs w:val="20"/>
        </w:rPr>
        <w:t>Espresso</w:t>
      </w:r>
      <w:r w:rsidRPr="008E21BC">
        <w:rPr>
          <w:rFonts w:ascii="Arial Narrow" w:hAnsi="Arial Narrow" w:cs="Arial"/>
          <w:sz w:val="20"/>
          <w:szCs w:val="20"/>
        </w:rPr>
        <w:t xml:space="preserve"> Internet Explorer is based on the vendor-specific objective evidence of fair value for those elements using the residual method or relative fair value method and the deferred revenue is recognized ratably on a straight-line basis over the Windows XP life cycle. Revenue related to Windows Vista and Windows 7 is not subject to a similar deferral because there are no significant undelivered elements. Revenue for products under the technology guarantee programs, which provide free or significantly discounted rights to use upcoming new versions of a software product if an end user licenses existing versions of the product during the eligibility period, is allocated between existing product and the new product, and revenue allocated to the new product is deferred until that version is delivered. The revenue allocation is based on vendor-specific objective evidence of fair value of both products. </w:t>
      </w:r>
    </w:p>
    <w:p w:rsidR="00F94E14" w:rsidRPr="008E21BC" w:rsidRDefault="00F94E14" w:rsidP="00E20399">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Certain multi-year licensing arrangements include a perpetual license for current products combined with rights to receive future versions of software products on a when-and-if-available basis (“Software Assurance”) and are accounted for as subscriptions, with billings recorded as unearned revenue and recognized as revenue ratably over the billing coverage period. Revenue from certain arrangements that allow for the use of a product or service over a period of time without taking possession of software are also accounted for as subscriptions.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Revenue related to our Xbox 360 gaming and entertainment console, games published by us, and other hardware components is generally recognized when ownership is transferred to the retailers. Revenue related to games published by third parties for use on the Xbox 360 platform is recognized when games are manufactured by the game publishers. Display advertising revenue is recognized as advertisements are displayed. Search advertising revenue is recognized when the ad appears in the search results or when the action necessary to earn the revenue has been completed. Consulting services revenue is recognized as services are rendered, generally based on the negotiated hourly rate in the consulting arrangement and the number of hours worked during the period. Consulting revenue for fixed-price services arrangements is recognized as services are provided.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lastRenderedPageBreak/>
        <w:t xml:space="preserve">Revenue generally is recognized net of any taxes collected from customers and subsequently remitted to governmental authorities.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Cost of Revenue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OEMs, to drive traffic to our Web sites and to acquire online advertising space (“traffic acquisition costs”); costs incurred to support and maintain Internet-based products and services; warranty costs; inventory valuation adjustments; costs associated with the delivery of consulting services; and the amortization of capitalized research and development costs. Capitalized research and development costs are amortized over the estimated lives of the products.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Product Warranty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Research and Development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manufacturing. Once technological feasibility is reached, such costs are capitalized and amortized to cost of revenue over the estimated lives of the products. </w:t>
      </w:r>
    </w:p>
    <w:p w:rsidR="00F94E14" w:rsidRPr="008E21BC" w:rsidRDefault="00F94E14" w:rsidP="00E20399">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Sales and Marketing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Sales and marketing expenses include payroll, employee benefits, stock-based compensation, and other headcount-related expenses associated with sales and marketing personnel, and the costs of advertising, promotions, trade shows, seminars, and other programs. Advertising costs are expensed as incurred. Advertising expense was $1.6 billion, $1.4 billion, and $1.2 billion in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Employee Severance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record employee severance when a specific plan has been approved by management, the plan has been communicated to employees, and it is unlikely that significant changes will be made to the plan.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Stock-Based Compensation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measure stock-based compensation cost at the grant date based on the fair value of the award and recognize it as expense over the applicable vesting period of the stock award (generally four to five years) using the straight-line method.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Employee Stock Purchase Plan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Shares of our common stock may be purchased by employees at three-month intervals at 90% of the fair market value of the stock on the last day of each three-month period. Compensation expense for the employee stock purchase plan is measured as the discount the employee is entitled to upon purchase and is recognized in the period of purchase.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Income Taxes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Income tax expense includes U.S. and international income taxes, the provision for U.S. taxes on undistributed earnings of international subsidiaries not deemed to be permanently invested and interest and penalties on uncertain tax positions. Certain income and expenses are not reported in tax returns and financial statements in the same year. The tax effect of such temporary differences is reported as deferred income taxes.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lastRenderedPageBreak/>
        <w:t xml:space="preserve">Fair Value Measurements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rsidR="00F94E14" w:rsidRPr="008E21BC" w:rsidRDefault="00F94E14">
      <w:pPr>
        <w:pStyle w:val="NormalWeb"/>
        <w:spacing w:before="90" w:beforeAutospacing="0" w:after="0" w:afterAutospacing="0"/>
        <w:ind w:left="979" w:hanging="367"/>
        <w:rPr>
          <w:rFonts w:ascii="Arial Narrow" w:hAnsi="Arial Narrow"/>
        </w:rPr>
      </w:pPr>
      <w:r w:rsidRPr="008E21BC">
        <w:rPr>
          <w:rFonts w:ascii="Arial Narrow" w:hAnsi="Arial Narrow" w:cs="Arial"/>
          <w:sz w:val="20"/>
          <w:szCs w:val="20"/>
        </w:rPr>
        <w:t xml:space="preserve">• </w:t>
      </w:r>
      <w:r w:rsidRPr="008E21BC">
        <w:rPr>
          <w:rFonts w:ascii="Arial Narrow" w:hAnsi="Arial Narrow" w:cs="Arial"/>
          <w:sz w:val="20"/>
          <w:szCs w:val="20"/>
        </w:rPr>
        <w:tab/>
      </w:r>
      <w:r w:rsidRPr="008E21BC">
        <w:rPr>
          <w:rFonts w:ascii="Arial Narrow" w:hAnsi="Arial Narrow" w:cs="Arial"/>
          <w:i/>
          <w:iCs/>
          <w:sz w:val="20"/>
          <w:szCs w:val="20"/>
        </w:rPr>
        <w:t>Level 1</w:t>
      </w:r>
      <w:r w:rsidRPr="008E21BC">
        <w:rPr>
          <w:rFonts w:ascii="Arial Narrow" w:hAnsi="Arial Narrow" w:cs="Arial"/>
          <w:sz w:val="20"/>
          <w:szCs w:val="20"/>
        </w:rPr>
        <w:t xml:space="preserve"> – inputs are based upon unadjusted quoted prices for identical instruments traded in active markets. Our Level 1 non-derivative investments primarily include U.S. treasuries, domestic and international equities, and actively traded mutual funds. Our Level 1 derivative assets and liabilities include those actively traded on exchanges. </w:t>
      </w:r>
    </w:p>
    <w:p w:rsidR="00F94E14" w:rsidRPr="008E21BC" w:rsidRDefault="00F94E14">
      <w:pPr>
        <w:pStyle w:val="NormalWeb"/>
        <w:spacing w:before="90" w:beforeAutospacing="0" w:after="0" w:afterAutospacing="0"/>
        <w:ind w:left="979" w:hanging="367"/>
        <w:rPr>
          <w:rFonts w:ascii="Arial Narrow" w:hAnsi="Arial Narrow"/>
        </w:rPr>
      </w:pPr>
      <w:r w:rsidRPr="008E21BC">
        <w:rPr>
          <w:rFonts w:ascii="Arial Narrow" w:hAnsi="Arial Narrow" w:cs="Arial"/>
          <w:sz w:val="20"/>
          <w:szCs w:val="20"/>
        </w:rPr>
        <w:t xml:space="preserve">• </w:t>
      </w:r>
      <w:r w:rsidRPr="008E21BC">
        <w:rPr>
          <w:rFonts w:ascii="Arial Narrow" w:hAnsi="Arial Narrow" w:cs="Arial"/>
          <w:sz w:val="20"/>
          <w:szCs w:val="20"/>
        </w:rPr>
        <w:tab/>
      </w:r>
      <w:r w:rsidRPr="008E21BC">
        <w:rPr>
          <w:rFonts w:ascii="Arial Narrow" w:hAnsi="Arial Narrow" w:cs="Arial"/>
          <w:i/>
          <w:iCs/>
          <w:sz w:val="20"/>
          <w:szCs w:val="20"/>
        </w:rPr>
        <w:t>Level 2</w:t>
      </w:r>
      <w:r w:rsidRPr="008E21BC">
        <w:rPr>
          <w:rFonts w:ascii="Arial Narrow" w:hAnsi="Arial Narrow"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foreign exchange rates, and forward and spot prices for currencies and commodities. Our Level 2 non-derivative investments consist primarily of corporate notes and bonds, mortgage-backed securities, agency securities, certificates of deposit, and commercial paper. Our Level 2 derivative assets and liabilities primarily include certain over-the-counter option and swap contracts. </w:t>
      </w:r>
    </w:p>
    <w:p w:rsidR="00F94E14" w:rsidRPr="008E21BC" w:rsidRDefault="00F94E14" w:rsidP="00E20399">
      <w:pPr>
        <w:pStyle w:val="NormalWeb"/>
        <w:spacing w:before="90" w:beforeAutospacing="0" w:after="0" w:afterAutospacing="0"/>
        <w:ind w:left="979" w:hanging="360"/>
        <w:rPr>
          <w:rFonts w:ascii="Arial Narrow" w:hAnsi="Arial Narrow"/>
        </w:rPr>
      </w:pPr>
      <w:r w:rsidRPr="008E21BC">
        <w:rPr>
          <w:rFonts w:ascii="Arial Narrow" w:hAnsi="Arial Narrow" w:cs="Arial"/>
          <w:sz w:val="20"/>
          <w:szCs w:val="20"/>
        </w:rPr>
        <w:t xml:space="preserve">• </w:t>
      </w:r>
      <w:r w:rsidRPr="008E21BC">
        <w:rPr>
          <w:rFonts w:ascii="Arial Narrow" w:hAnsi="Arial Narrow" w:cs="Arial"/>
          <w:sz w:val="20"/>
          <w:szCs w:val="20"/>
        </w:rPr>
        <w:tab/>
      </w:r>
      <w:r w:rsidRPr="008E21BC">
        <w:rPr>
          <w:rFonts w:ascii="Arial Narrow" w:hAnsi="Arial Narrow" w:cs="Arial"/>
          <w:i/>
          <w:iCs/>
          <w:sz w:val="20"/>
          <w:szCs w:val="20"/>
        </w:rPr>
        <w:t>Level 3</w:t>
      </w:r>
      <w:r w:rsidRPr="008E21BC">
        <w:rPr>
          <w:rFonts w:ascii="Arial Narrow" w:hAnsi="Arial Narrow"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certain corporate bonds. We value these corporate bonds using internally developed valuation models, inputs to which include interest rate curves, credit spreads, stock prices, and volatilities. Unobservable inputs used in these models are significant to the fair values of the investments. Our Level 3 derivative assets and liabilities primarily comprise derivatives for foreign equities. In certain cases, market-based observable inputs are not available and we use management judgment to develop assumptions to determine fair value for these derivatives.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Our current financial liabilities, including our short-term debt, have fair values that approximate their carrying values. Our long-term financial liabilities consist of long-term debt which is recorded on the balance sheet at issuance price less unamortized discount.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Financial Instruments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Equity and other investments classified as long-term include both debt and equity instruments. Debt and publicly-traded equity securities are classified as available-for-sale and realized gains and losses are recorded using the specific identification method. Changes in market value, excluding other-than-temporary impairments, are reflected in OCI. Common and preferred stock and other investments that are restricted for more than one year or are not publicly traded are recorded at cost or using the equity method.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lend certain fixed-income and equity securities to increase investment returns. The loaned securities continue to be carried as investments on our balance sheet. Cash and/or security interests are received as collateral for the loan securities with the amount determined based upon the underlying security lent and the creditworthiness of the borrower. Cash received is recorded as an asset with a corresponding liability.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 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w:t>
      </w:r>
      <w:r w:rsidRPr="008E21BC">
        <w:rPr>
          <w:rFonts w:ascii="Arial Narrow" w:hAnsi="Arial Narrow" w:cs="Arial"/>
          <w:sz w:val="20"/>
          <w:szCs w:val="20"/>
        </w:rPr>
        <w:lastRenderedPageBreak/>
        <w:t xml:space="preserve">Once a decline in fair value is determined to be other-than-temporary, an impairment charge is recorded to other income (expense) and a new cost basis in the investment is established. </w:t>
      </w:r>
    </w:p>
    <w:p w:rsidR="00F94E14" w:rsidRPr="008E21BC" w:rsidRDefault="00F94E14" w:rsidP="00E20399">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For a derivative instrument designated as a fair-value hedge, the gain (loss) is recognized in earnings in the period of change together with the offsetting loss or gain on the hedged item attributed to the risk being hedged. For options designated as fair-value hedges, changes in the time value are excluded from the assessment of hedge effectiveness and are recognized in earnings.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For derivative instruments designated as cash-flow hedges, the effective portion of the derivative’s gain (loss) is initially reported as a component of OCI and is subsequently recognized in earnings when the hedged exposure is recognized in earnings. For options designated as cash-flow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For derivative instruments that are not designated as hedges, gains (losses) from changes in fair values are primarily recognized in other income (expense).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moved from OCI into other income (expense).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b/>
          <w:bCs/>
          <w:sz w:val="20"/>
          <w:szCs w:val="20"/>
        </w:rPr>
        <w:lastRenderedPageBreak/>
        <w:t xml:space="preserve">Allowance for Doubtful Accounts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Activity in the allowance for doubtful accounts was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703"/>
        <w:gridCol w:w="293"/>
        <w:gridCol w:w="106"/>
        <w:gridCol w:w="425"/>
        <w:gridCol w:w="69"/>
        <w:gridCol w:w="293"/>
        <w:gridCol w:w="106"/>
        <w:gridCol w:w="425"/>
        <w:gridCol w:w="69"/>
        <w:gridCol w:w="293"/>
        <w:gridCol w:w="106"/>
        <w:gridCol w:w="425"/>
        <w:gridCol w:w="69"/>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201</w:t>
            </w:r>
            <w:r w:rsidR="008E21BC">
              <w:rPr>
                <w:rFonts w:ascii="Arial Narrow" w:hAnsi="Arial Narrow" w:cs="Arial"/>
                <w:b/>
                <w:bCs/>
                <w:sz w:val="15"/>
                <w:szCs w:val="15"/>
              </w:rPr>
              <w:t>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beginning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Charged to costs and 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Write-offs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end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Inventories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Inventories are stated at the lower of cost or market, using the average cost method. Cost includes materials, labor, and manufacturing overhead related to the purchase and production of inventories.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Property and Equipment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Property and equipment is stated at cost and depreciated using the straight-line method over the shorter of the estimated useful life of the asset or the lease term. The estimated useful lives of our property and equipment are generally as follows: computer software developed or acquired for internal use, three years; computer equipment, two to three years; buildings and improvements, five to 15 years; leasehold improvements, two to 10 years; and furniture and equipment, one to five years. Land is not depreciated. </w:t>
      </w:r>
    </w:p>
    <w:p w:rsidR="00F94E14" w:rsidRPr="008E21BC" w:rsidRDefault="00F94E14" w:rsidP="00E20399">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Goodwill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Goodwill is tested for impairment using a fair-value-based approach on an annual basis (May 1 for us) and between annual tests if indicators of potential impairment exist.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Intangible Assets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All of our intangible assets are subject to amortization and are amortized using the straight-line method over their estimated period of benefit, ranging from one to 10 years. We evaluate the recoverability of intangible assets periodically by taking into account events or circumstances that may warrant revised estimates of useful lives or that indicate the asset may be impaired.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Recently Issued Accounting Standards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i/>
          <w:iCs/>
          <w:sz w:val="20"/>
          <w:szCs w:val="20"/>
        </w:rPr>
        <w:t xml:space="preserve">Recently Adopted Accounting Pronouncements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January </w:t>
      </w:r>
      <w:r w:rsidR="008E21BC">
        <w:rPr>
          <w:rFonts w:ascii="Arial Narrow" w:hAnsi="Arial Narrow" w:cs="Arial"/>
          <w:sz w:val="20"/>
          <w:szCs w:val="20"/>
        </w:rPr>
        <w:t>2018</w:t>
      </w:r>
      <w:r w:rsidRPr="008E21BC">
        <w:rPr>
          <w:rFonts w:ascii="Arial Narrow" w:hAnsi="Arial Narrow" w:cs="Arial"/>
          <w:sz w:val="20"/>
          <w:szCs w:val="20"/>
        </w:rPr>
        <w:t xml:space="preserve">, the Financial Accounting Standards Board (“FASB”) issued guidance to amend the disclosure requirements related to recurring and nonrecurring fair value measurements. The guidance requires new disclosures on the transfers of assets and liabilities between Level 1 (quoted prices in active market for identical assets or liabilities) and Level 2 (significant other observable inputs) of the fair value measurement hierarchy, including the reasons and the timing of the transfers. Additionally, the guidance requires a roll forward of activities on purchases, sales, issuance, and settlements of the assets and liabilities measured using significant unobservable inputs (Level 3 fair value measurements). The guidance became effective for us with the reporting period beginning January 1, </w:t>
      </w:r>
      <w:r w:rsidR="008E21BC">
        <w:rPr>
          <w:rFonts w:ascii="Arial Narrow" w:hAnsi="Arial Narrow" w:cs="Arial"/>
          <w:sz w:val="20"/>
          <w:szCs w:val="20"/>
        </w:rPr>
        <w:t>2018</w:t>
      </w:r>
      <w:r w:rsidRPr="008E21BC">
        <w:rPr>
          <w:rFonts w:ascii="Arial Narrow" w:hAnsi="Arial Narrow" w:cs="Arial"/>
          <w:sz w:val="20"/>
          <w:szCs w:val="20"/>
        </w:rPr>
        <w:t xml:space="preserve">, except for the disclosure on the roll forward activities for Level 3 fair value measurements, which will become effective for us with the reporting period beginning July 1, 2011. Other than requiring additional disclosures, adoption of this new guidance did not have a material impact on our financial statements. See Note 6 – Fair Value Measurements.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On July 1, </w:t>
      </w:r>
      <w:r w:rsidR="008E21BC">
        <w:rPr>
          <w:rFonts w:ascii="Arial Narrow" w:hAnsi="Arial Narrow" w:cs="Arial"/>
          <w:sz w:val="20"/>
          <w:szCs w:val="20"/>
        </w:rPr>
        <w:t>2017</w:t>
      </w:r>
      <w:r w:rsidRPr="008E21BC">
        <w:rPr>
          <w:rFonts w:ascii="Arial Narrow" w:hAnsi="Arial Narrow" w:cs="Arial"/>
          <w:sz w:val="20"/>
          <w:szCs w:val="20"/>
        </w:rPr>
        <w:t xml:space="preserve">, we adopted guidance issued by the FASB on business combinations. The guidance retains the fundamental requirements that the acquisition method of accounting (previously referred to as the purchase method of accounting) be used for all business combinations, but requires a number of changes, including changes in the way assets and liabilities are recognized and measured as a result of business combinations. It also requires the capitalization of in-process research and development at fair value and requires the expensing of acquisition-related costs as incurred. We have applied this guidance to business combinations completed since July 1, </w:t>
      </w:r>
      <w:r w:rsidR="008E21BC">
        <w:rPr>
          <w:rFonts w:ascii="Arial Narrow" w:hAnsi="Arial Narrow" w:cs="Arial"/>
          <w:sz w:val="20"/>
          <w:szCs w:val="20"/>
        </w:rPr>
        <w:t>2017</w:t>
      </w:r>
      <w:r w:rsidRPr="008E21BC">
        <w:rPr>
          <w:rFonts w:ascii="Arial Narrow" w:hAnsi="Arial Narrow" w:cs="Arial"/>
          <w:sz w:val="20"/>
          <w:szCs w:val="20"/>
        </w:rPr>
        <w:t xml:space="preserv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lastRenderedPageBreak/>
        <w:t xml:space="preserve">On July 1, </w:t>
      </w:r>
      <w:r w:rsidR="008E21BC">
        <w:rPr>
          <w:rFonts w:ascii="Arial Narrow" w:hAnsi="Arial Narrow" w:cs="Arial"/>
          <w:sz w:val="20"/>
          <w:szCs w:val="20"/>
        </w:rPr>
        <w:t>2017</w:t>
      </w:r>
      <w:r w:rsidRPr="008E21BC">
        <w:rPr>
          <w:rFonts w:ascii="Arial Narrow" w:hAnsi="Arial Narrow" w:cs="Arial"/>
          <w:sz w:val="20"/>
          <w:szCs w:val="20"/>
        </w:rPr>
        <w:t xml:space="preserve">, we adopted guidance issued by the FASB that changes the accounting and reporting for non-controlling interests. Non-controlling interests are to be reported as a component of equity separate from the parent’s equity, and purchases or sales of equity interests that do not result in a change in control are to be accounted for as equity transactions. In addition, net income attributable to a non-controlling interest is to be included in net income and, upon a loss of control, the interest sold, as well as any interest retained, is to be recorded at fair value with any gain or loss recognized in net income. Adoption of the new guidance did not have a material impact on our financial statements.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On July 1, </w:t>
      </w:r>
      <w:r w:rsidR="008E21BC">
        <w:rPr>
          <w:rFonts w:ascii="Arial Narrow" w:hAnsi="Arial Narrow" w:cs="Arial"/>
          <w:sz w:val="20"/>
          <w:szCs w:val="20"/>
        </w:rPr>
        <w:t>2017</w:t>
      </w:r>
      <w:r w:rsidRPr="008E21BC">
        <w:rPr>
          <w:rFonts w:ascii="Arial Narrow" w:hAnsi="Arial Narrow" w:cs="Arial"/>
          <w:sz w:val="20"/>
          <w:szCs w:val="20"/>
        </w:rPr>
        <w:t xml:space="preserve">, we adopted guidance on fair value measurement for nonfinancial assets and liabilities, except for items that are recognized or disclosed at fair value in the financial statements on a recurring basis (at least annually). Adoption of the new guidance did not have a material impact on our financial statements.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i/>
          <w:iCs/>
          <w:sz w:val="20"/>
          <w:szCs w:val="20"/>
        </w:rPr>
        <w:t xml:space="preserve">Recent Accounting Pronouncements Not Yet Adopted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October </w:t>
      </w:r>
      <w:r w:rsidR="008E21BC">
        <w:rPr>
          <w:rFonts w:ascii="Arial Narrow" w:hAnsi="Arial Narrow" w:cs="Arial"/>
          <w:sz w:val="20"/>
          <w:szCs w:val="20"/>
        </w:rPr>
        <w:t>2017</w:t>
      </w:r>
      <w:r w:rsidRPr="008E21BC">
        <w:rPr>
          <w:rFonts w:ascii="Arial Narrow" w:hAnsi="Arial Narrow" w:cs="Arial"/>
          <w:sz w:val="20"/>
          <w:szCs w:val="20"/>
        </w:rPr>
        <w:t xml:space="preserve">, the FASB issued guidance on revenue recognition that will become effective for us beginning July 1, </w:t>
      </w:r>
      <w:r w:rsidR="008E21BC">
        <w:rPr>
          <w:rFonts w:ascii="Arial Narrow" w:hAnsi="Arial Narrow" w:cs="Arial"/>
          <w:sz w:val="20"/>
          <w:szCs w:val="20"/>
        </w:rPr>
        <w:t>2018</w:t>
      </w:r>
      <w:r w:rsidRPr="008E21BC">
        <w:rPr>
          <w:rFonts w:ascii="Arial Narrow" w:hAnsi="Arial Narrow" w:cs="Arial"/>
          <w:sz w:val="20"/>
          <w:szCs w:val="20"/>
        </w:rPr>
        <w:t xml:space="preserve">. Under the new guidance on arrangements that include software elements, tangible products that have software components that are essential to the functionality of the tangible product will no longer be within the scope of the software revenue recognition guidance, and software-enabled products will now be subject to other relevant revenue recognition guidance. Additionally, the FASB issued guidance on revenue arrangements with multiple deliverables that are outside the scope of the software revenue recognition guidance. Under the new guidance, when vendor specific objective evidence or third party evidence for deliverables in an arrangement cannot be determined, a best estimate of the selling price is required to separate deliverables and allocate arrangement consideration using the relative selling price method. The new guidance includes new disclosure requirements on how the application of the relative selling price method affects the timing and amount of revenue recognition. We believe adoption of this new guidance will not have a material impact on our financial statements.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June </w:t>
      </w:r>
      <w:r w:rsidR="008E21BC">
        <w:rPr>
          <w:rFonts w:ascii="Arial Narrow" w:hAnsi="Arial Narrow" w:cs="Arial"/>
          <w:sz w:val="20"/>
          <w:szCs w:val="20"/>
        </w:rPr>
        <w:t>2017</w:t>
      </w:r>
      <w:r w:rsidRPr="008E21BC">
        <w:rPr>
          <w:rFonts w:ascii="Arial Narrow" w:hAnsi="Arial Narrow" w:cs="Arial"/>
          <w:sz w:val="20"/>
          <w:szCs w:val="20"/>
        </w:rPr>
        <w:t xml:space="preserve">, the FASB issued guidance on the consolidation of variable interest entities, which is effective for us beginning July 1, </w:t>
      </w:r>
      <w:r w:rsidR="008E21BC">
        <w:rPr>
          <w:rFonts w:ascii="Arial Narrow" w:hAnsi="Arial Narrow" w:cs="Arial"/>
          <w:sz w:val="20"/>
          <w:szCs w:val="20"/>
        </w:rPr>
        <w:t>2018</w:t>
      </w:r>
      <w:r w:rsidRPr="008E21BC">
        <w:rPr>
          <w:rFonts w:ascii="Arial Narrow" w:hAnsi="Arial Narrow" w:cs="Arial"/>
          <w:sz w:val="20"/>
          <w:szCs w:val="20"/>
        </w:rPr>
        <w:t xml:space="preserve">. The new guidance requires revised evaluations of whether entities represent variable interest entities, ongoing assessments of control over such entities, and additional disclosures for variable interests. We believe adoption of this new guidance will not have a material impact on our financial statements. </w:t>
      </w:r>
    </w:p>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2 — EARNINGS PER SHARE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Basic earnings per share is computed based on the weighted average number of shares of common stock outstanding during the period. Diluted earnings per share is computed based on the weighted average number of shares of common stock plus the effect of dilutive potential common shares outstanding during the period using the treasury stock method. Dilutive potential common shares include outstanding stock options, stock awards, and shared performance stock awards. The components of basic and diluted earnings per share are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39"/>
        <w:gridCol w:w="275"/>
        <w:gridCol w:w="107"/>
        <w:gridCol w:w="607"/>
        <w:gridCol w:w="60"/>
        <w:gridCol w:w="274"/>
        <w:gridCol w:w="106"/>
        <w:gridCol w:w="607"/>
        <w:gridCol w:w="60"/>
        <w:gridCol w:w="274"/>
        <w:gridCol w:w="106"/>
        <w:gridCol w:w="607"/>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 except 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201</w:t>
            </w:r>
            <w:r w:rsidR="008E21BC">
              <w:rPr>
                <w:rFonts w:ascii="Arial Narrow" w:hAnsi="Arial Narrow" w:cs="Arial"/>
                <w:b/>
                <w:bCs/>
                <w:sz w:val="15"/>
                <w:szCs w:val="15"/>
              </w:rPr>
              <w:t>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income available for common shareholders (A)</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18,760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14,569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17,681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Weighted average outstanding shares of common stock (B)</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8,813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8,945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9,328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Dilutive effect of stock-based awards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stock and common stock equivalents (C)</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8,927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8,996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9,470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Basic (A/B)</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Diluted (A/C)</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For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28 million, 342 million, and 91 million shares, respectively, were attributable to outstanding stock-based awards and were excluded from the calculation of diluted earnings per share because their inclusion would have been anti-dilutive.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June </w:t>
      </w:r>
      <w:r w:rsidR="008E21BC">
        <w:rPr>
          <w:rFonts w:ascii="Arial Narrow" w:hAnsi="Arial Narrow" w:cs="Arial"/>
          <w:sz w:val="20"/>
          <w:szCs w:val="20"/>
        </w:rPr>
        <w:t>2018</w:t>
      </w:r>
      <w:r w:rsidRPr="008E21BC">
        <w:rPr>
          <w:rFonts w:ascii="Arial Narrow" w:hAnsi="Arial Narrow" w:cs="Arial"/>
          <w:sz w:val="20"/>
          <w:szCs w:val="20"/>
        </w:rPr>
        <w:t xml:space="preserve">, we issued $1.25 billion of zero-coupon debt securities that are convertible into shares of our common stock if certain conditions are met. Shares of common stock into which the debt could convert were excluded from the calculation of diluted earnings per share because their inclusion would have been anti-dilutive. See also Note 12 – Debt. </w:t>
      </w:r>
    </w:p>
    <w:p w:rsidR="00F94E14" w:rsidRPr="008E21BC" w:rsidRDefault="00F94E14" w:rsidP="00E20399">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3 — OTHER INCOME (EXPENSE)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other income (expense)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58"/>
        <w:gridCol w:w="377"/>
        <w:gridCol w:w="106"/>
        <w:gridCol w:w="425"/>
        <w:gridCol w:w="69"/>
        <w:gridCol w:w="378"/>
        <w:gridCol w:w="106"/>
        <w:gridCol w:w="425"/>
        <w:gridCol w:w="69"/>
        <w:gridCol w:w="378"/>
        <w:gridCol w:w="106"/>
        <w:gridCol w:w="516"/>
        <w:gridCol w:w="69"/>
      </w:tblGrid>
      <w:tr w:rsidR="00F94E14" w:rsidRPr="008E21BC">
        <w:trPr>
          <w:tblHeader/>
          <w:jc w:val="center"/>
        </w:trPr>
        <w:tc>
          <w:tcPr>
            <w:tcW w:w="3900" w:type="pct"/>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lastRenderedPageBreak/>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201</w:t>
            </w:r>
            <w:r w:rsidR="008E21BC">
              <w:rPr>
                <w:rFonts w:ascii="Arial Narrow" w:hAnsi="Arial Narrow" w:cs="Arial"/>
                <w:b/>
                <w:bCs/>
                <w:sz w:val="15"/>
                <w:szCs w:val="15"/>
              </w:rPr>
              <w:t>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20</w:t>
            </w:r>
            <w:r w:rsidR="008E21BC">
              <w:rPr>
                <w:rFonts w:ascii="Arial Narrow" w:hAnsi="Arial Narrow" w:cs="Arial"/>
                <w:b/>
                <w:bCs/>
                <w:sz w:val="15"/>
                <w:szCs w:val="15"/>
              </w:rPr>
              <w:t>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Dividends and interest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843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744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994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Interest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(151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recognized gains (losses) on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gains (losses) on 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(558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gains (losses) on foreign currency remeasurements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(509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(542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1,543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Other-than-temporary impairments, which are included in net recognized gains (losses) on investments in the table above, were $69 million, $862 million, and $312 million in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Realized gains and losses from sales of available-for-sale securities (excluding other-than-temporary impairments) were $605 million and $188 million, respectively, in fiscal year </w:t>
      </w:r>
      <w:r w:rsidR="008E21BC">
        <w:rPr>
          <w:rFonts w:ascii="Arial Narrow" w:hAnsi="Arial Narrow" w:cs="Arial"/>
          <w:sz w:val="20"/>
          <w:szCs w:val="20"/>
        </w:rPr>
        <w:t>2018</w:t>
      </w:r>
      <w:r w:rsidRPr="008E21BC">
        <w:rPr>
          <w:rFonts w:ascii="Arial Narrow" w:hAnsi="Arial Narrow" w:cs="Arial"/>
          <w:sz w:val="20"/>
          <w:szCs w:val="20"/>
        </w:rPr>
        <w:t xml:space="preserve">, $1.6 billion and $897 million, respectively, in fiscal year </w:t>
      </w:r>
      <w:r w:rsidR="008E21BC">
        <w:rPr>
          <w:rFonts w:ascii="Arial Narrow" w:hAnsi="Arial Narrow" w:cs="Arial"/>
          <w:sz w:val="20"/>
          <w:szCs w:val="20"/>
        </w:rPr>
        <w:t>2017</w:t>
      </w:r>
      <w:r w:rsidRPr="008E21BC">
        <w:rPr>
          <w:rFonts w:ascii="Arial Narrow" w:hAnsi="Arial Narrow" w:cs="Arial"/>
          <w:sz w:val="20"/>
          <w:szCs w:val="20"/>
        </w:rPr>
        <w:t xml:space="preserve">, and $751 million and $93 million, respectively, in fiscal year </w:t>
      </w:r>
      <w:r w:rsidR="008E21BC">
        <w:rPr>
          <w:rFonts w:ascii="Arial Narrow" w:hAnsi="Arial Narrow" w:cs="Arial"/>
          <w:sz w:val="20"/>
          <w:szCs w:val="20"/>
        </w:rPr>
        <w:t>2016</w:t>
      </w:r>
      <w:r w:rsidRPr="008E21BC">
        <w:rPr>
          <w:rFonts w:ascii="Arial Narrow" w:hAnsi="Arial Narrow" w:cs="Arial"/>
          <w:sz w:val="20"/>
          <w:szCs w:val="20"/>
        </w:rPr>
        <w:t xml:space="preserve">. </w:t>
      </w:r>
    </w:p>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4 — INVESTMENTS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b/>
          <w:bCs/>
          <w:sz w:val="20"/>
          <w:szCs w:val="20"/>
        </w:rPr>
        <w:t xml:space="preserve">Investment Components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investments, including associated derivatives,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134"/>
        <w:gridCol w:w="269"/>
        <w:gridCol w:w="107"/>
        <w:gridCol w:w="608"/>
        <w:gridCol w:w="61"/>
        <w:gridCol w:w="268"/>
        <w:gridCol w:w="111"/>
        <w:gridCol w:w="540"/>
        <w:gridCol w:w="60"/>
        <w:gridCol w:w="268"/>
        <w:gridCol w:w="128"/>
        <w:gridCol w:w="523"/>
        <w:gridCol w:w="69"/>
        <w:gridCol w:w="268"/>
        <w:gridCol w:w="106"/>
        <w:gridCol w:w="607"/>
        <w:gridCol w:w="60"/>
        <w:gridCol w:w="268"/>
        <w:gridCol w:w="123"/>
        <w:gridCol w:w="596"/>
        <w:gridCol w:w="60"/>
        <w:gridCol w:w="268"/>
        <w:gridCol w:w="111"/>
        <w:gridCol w:w="635"/>
        <w:gridCol w:w="60"/>
        <w:gridCol w:w="268"/>
        <w:gridCol w:w="127"/>
        <w:gridCol w:w="619"/>
        <w:gridCol w:w="60"/>
      </w:tblGrid>
      <w:tr w:rsidR="00F94E14" w:rsidRPr="008E21BC">
        <w:trPr>
          <w:tblHeader/>
          <w:jc w:val="center"/>
        </w:trPr>
        <w:tc>
          <w:tcPr>
            <w:tcW w:w="17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Cost Basis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Unrealized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Gains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Unrealized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Losses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Recorded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Basis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Cash</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and Cash</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Equivalents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Short-term</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Investments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Equity</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and Other</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Investments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2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rsidP="00E20399">
            <w:pPr>
              <w:pStyle w:val="NormalWeb"/>
              <w:keepNext/>
              <w:spacing w:before="0" w:beforeAutospacing="0" w:after="15" w:afterAutospacing="0"/>
              <w:jc w:val="left"/>
              <w:rPr>
                <w:rFonts w:ascii="Arial Narrow" w:hAnsi="Arial Narrow"/>
              </w:rPr>
            </w:pPr>
            <w:r w:rsidRPr="008E21BC">
              <w:rPr>
                <w:rFonts w:ascii="Arial Narrow" w:hAnsi="Arial Narrow" w:cs="Arial"/>
                <w:b/>
                <w:bCs/>
                <w:sz w:val="15"/>
                <w:szCs w:val="15"/>
              </w:rPr>
              <w:t>June 30, 201</w:t>
            </w:r>
            <w:r w:rsidR="008E21BC">
              <w:rPr>
                <w:rFonts w:ascii="Arial Narrow" w:hAnsi="Arial Narrow" w:cs="Arial"/>
                <w:b/>
                <w:bCs/>
                <w:sz w:val="15"/>
                <w:szCs w:val="15"/>
              </w:rPr>
              <w:t>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rsidP="00E20399">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Cash</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1,661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1,661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1,661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Mutual funds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Commercial paper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Certificates of deposit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U.S. Government and Agency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21,036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21,202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19,380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Foreign government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531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531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Mortgage-backed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3,137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Corporate notes and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289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7,721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7,020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Municipal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Common and preferred stock</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6,640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(418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7,252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7,252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Other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507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507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43,331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1,656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(445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44,542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5,505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31,283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7,754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rsidP="00E20399">
      <w:pPr>
        <w:pStyle w:val="NormalWeb"/>
        <w:pageBreakBefore/>
        <w:spacing w:before="0" w:beforeAutospacing="0" w:after="0" w:afterAutospacing="0"/>
        <w:rPr>
          <w:rFonts w:ascii="Arial Narrow" w:hAnsi="Arial Narrow"/>
          <w:sz w:val="2"/>
        </w:rPr>
      </w:pPr>
      <w:r w:rsidRPr="008E21BC">
        <w:rPr>
          <w:rFonts w:ascii="Arial Narrow" w:hAnsi="Arial Narrow"/>
          <w:sz w:val="2"/>
          <w:szCs w:val="15"/>
        </w:rPr>
        <w:lastRenderedPageBreak/>
        <w:t> </w:t>
      </w:r>
    </w:p>
    <w:tbl>
      <w:tblPr>
        <w:tblW w:w="5000" w:type="pct"/>
        <w:jc w:val="center"/>
        <w:tblCellMar>
          <w:top w:w="14" w:type="dxa"/>
          <w:left w:w="0" w:type="dxa"/>
          <w:right w:w="14" w:type="dxa"/>
        </w:tblCellMar>
        <w:tblLook w:val="0000" w:firstRow="0" w:lastRow="0" w:firstColumn="0" w:lastColumn="0" w:noHBand="0" w:noVBand="0"/>
      </w:tblPr>
      <w:tblGrid>
        <w:gridCol w:w="3128"/>
        <w:gridCol w:w="269"/>
        <w:gridCol w:w="106"/>
        <w:gridCol w:w="607"/>
        <w:gridCol w:w="60"/>
        <w:gridCol w:w="268"/>
        <w:gridCol w:w="111"/>
        <w:gridCol w:w="540"/>
        <w:gridCol w:w="60"/>
        <w:gridCol w:w="268"/>
        <w:gridCol w:w="128"/>
        <w:gridCol w:w="523"/>
        <w:gridCol w:w="69"/>
        <w:gridCol w:w="268"/>
        <w:gridCol w:w="106"/>
        <w:gridCol w:w="607"/>
        <w:gridCol w:w="60"/>
        <w:gridCol w:w="268"/>
        <w:gridCol w:w="123"/>
        <w:gridCol w:w="596"/>
        <w:gridCol w:w="60"/>
        <w:gridCol w:w="268"/>
        <w:gridCol w:w="111"/>
        <w:gridCol w:w="635"/>
        <w:gridCol w:w="69"/>
        <w:gridCol w:w="268"/>
        <w:gridCol w:w="127"/>
        <w:gridCol w:w="619"/>
        <w:gridCol w:w="60"/>
      </w:tblGrid>
      <w:tr w:rsidR="00F94E14" w:rsidRPr="008E21BC">
        <w:trPr>
          <w:tblHeader/>
          <w:jc w:val="center"/>
        </w:trPr>
        <w:tc>
          <w:tcPr>
            <w:tcW w:w="17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Cost Basis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Unrealized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Gains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Unrealized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Losses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Recorded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Basis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Cash</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and Cash</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Equivalents</w:t>
            </w:r>
            <w:r w:rsidRPr="008E21BC">
              <w:rPr>
                <w:rFonts w:ascii="Arial Narrow" w:hAnsi="Arial Narrow" w:cs="Arial"/>
                <w:sz w:val="15"/>
                <w:szCs w:val="15"/>
              </w:rPr>
              <w:t xml:space="preserve">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Short-term</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Investments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Equity</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and Other</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Investments</w:t>
            </w:r>
            <w:r w:rsidRPr="008E21BC">
              <w:rPr>
                <w:rFonts w:ascii="Arial Narrow" w:hAnsi="Arial Narrow" w:cs="Arial"/>
                <w:sz w:val="15"/>
                <w:szCs w:val="15"/>
              </w:rPr>
              <w:t xml:space="preserve">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2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rsidP="00E20399">
            <w:pPr>
              <w:pStyle w:val="NormalWeb"/>
              <w:keepNext/>
              <w:spacing w:before="0" w:beforeAutospacing="0" w:after="15" w:afterAutospacing="0"/>
              <w:jc w:val="left"/>
              <w:rPr>
                <w:rFonts w:ascii="Arial Narrow" w:hAnsi="Arial Narrow"/>
              </w:rPr>
            </w:pPr>
            <w:r w:rsidRPr="008E21BC">
              <w:rPr>
                <w:rFonts w:ascii="Arial Narrow" w:hAnsi="Arial Narrow" w:cs="Arial"/>
                <w:b/>
                <w:bCs/>
                <w:sz w:val="15"/>
                <w:szCs w:val="15"/>
              </w:rPr>
              <w:t>June 30, 20</w:t>
            </w:r>
            <w:r w:rsidR="008E21BC">
              <w:rPr>
                <w:rFonts w:ascii="Arial Narrow" w:hAnsi="Arial Narrow" w:cs="Arial"/>
                <w:b/>
                <w:bCs/>
                <w:sz w:val="15"/>
                <w:szCs w:val="15"/>
              </w:rPr>
              <w:t>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rsidP="00E20399">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Cash</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Mutual funds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1,007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Commercial paper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Certificates of deposit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U.S. Government and Agency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13,450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13,466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11,097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Foreign government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Mortgage-backed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Corporate notes and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4,361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4,596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4,596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Municipal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Common and preferred stock</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4,460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4,460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Other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35,576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1,089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(285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36,380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6,076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25,371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4,933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Unrealized Losses on Investments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Investments with continuous unrealized losses for less than 12 months and 12 months or greater and their related fair values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517"/>
        <w:gridCol w:w="277"/>
        <w:gridCol w:w="107"/>
        <w:gridCol w:w="517"/>
        <w:gridCol w:w="60"/>
        <w:gridCol w:w="276"/>
        <w:gridCol w:w="128"/>
        <w:gridCol w:w="523"/>
        <w:gridCol w:w="69"/>
        <w:gridCol w:w="276"/>
        <w:gridCol w:w="106"/>
        <w:gridCol w:w="516"/>
        <w:gridCol w:w="60"/>
        <w:gridCol w:w="276"/>
        <w:gridCol w:w="128"/>
        <w:gridCol w:w="523"/>
        <w:gridCol w:w="69"/>
        <w:gridCol w:w="276"/>
        <w:gridCol w:w="106"/>
        <w:gridCol w:w="516"/>
        <w:gridCol w:w="60"/>
        <w:gridCol w:w="276"/>
        <w:gridCol w:w="128"/>
        <w:gridCol w:w="523"/>
        <w:gridCol w:w="69"/>
      </w:tblGrid>
      <w:tr w:rsidR="00F94E14" w:rsidRPr="008E21BC">
        <w:trPr>
          <w:tblHeader/>
          <w:jc w:val="center"/>
        </w:trPr>
        <w:tc>
          <w:tcPr>
            <w:tcW w:w="24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6"/>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Less than 12 Months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6"/>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12 Months or Greater</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Merge w:val="restart"/>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Total</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Unrealized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Losses</w:t>
            </w:r>
          </w:p>
        </w:tc>
        <w:tc>
          <w:tcPr>
            <w:tcW w:w="0" w:type="auto"/>
            <w:vMerge w:val="restart"/>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gridSpan w:val="5"/>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gridSpan w:val="5"/>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Merge/>
            <w:vAlign w:val="center"/>
          </w:tcPr>
          <w:p w:rsidR="00F94E14" w:rsidRPr="008E21BC" w:rsidRDefault="00F94E14">
            <w:pPr>
              <w:rPr>
                <w:rFonts w:ascii="Arial Narrow" w:hAnsi="Arial Narrow"/>
              </w:rPr>
            </w:pPr>
          </w:p>
        </w:tc>
        <w:tc>
          <w:tcPr>
            <w:tcW w:w="0" w:type="auto"/>
            <w:vMerge/>
            <w:vAlign w:val="center"/>
          </w:tcPr>
          <w:p w:rsidR="00F94E14" w:rsidRPr="008E21BC" w:rsidRDefault="00F94E14">
            <w:pPr>
              <w:rPr>
                <w:rFonts w:ascii="Arial Narrow" w:hAnsi="Arial Narrow"/>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Fair 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Unrealized</w:t>
            </w:r>
            <w:r w:rsidRPr="008E21BC">
              <w:rPr>
                <w:rFonts w:ascii="Arial Narrow" w:hAnsi="Arial Narrow" w:cs="Arial"/>
                <w:b/>
                <w:bCs/>
                <w:sz w:val="15"/>
                <w:szCs w:val="15"/>
              </w:rPr>
              <w:br/>
              <w:t>Losses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Fair 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Unrealized</w:t>
            </w:r>
            <w:r w:rsidRPr="008E21BC">
              <w:rPr>
                <w:rFonts w:ascii="Arial Narrow" w:hAnsi="Arial Narrow" w:cs="Arial"/>
                <w:b/>
                <w:bCs/>
                <w:sz w:val="15"/>
                <w:szCs w:val="15"/>
              </w:rPr>
              <w:br/>
              <w:t>Losses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Total</w:t>
            </w:r>
            <w:r w:rsidRPr="008E21BC">
              <w:rPr>
                <w:rFonts w:ascii="Arial Narrow" w:hAnsi="Arial Narrow" w:cs="Arial"/>
                <w:b/>
                <w:bCs/>
                <w:sz w:val="15"/>
                <w:szCs w:val="15"/>
              </w:rPr>
              <w:br/>
              <w:t>Fair 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Merge/>
            <w:vAlign w:val="center"/>
          </w:tcPr>
          <w:p w:rsidR="00F94E14" w:rsidRPr="008E21BC" w:rsidRDefault="00F94E14">
            <w:pPr>
              <w:rPr>
                <w:rFonts w:ascii="Arial Narrow" w:hAnsi="Arial Narrow"/>
              </w:rPr>
            </w:pPr>
          </w:p>
        </w:tc>
        <w:tc>
          <w:tcPr>
            <w:tcW w:w="0" w:type="auto"/>
            <w:vMerge/>
            <w:vAlign w:val="center"/>
          </w:tcPr>
          <w:p w:rsidR="00F94E14" w:rsidRPr="008E21BC" w:rsidRDefault="00F94E14">
            <w:pPr>
              <w:rPr>
                <w:rFonts w:ascii="Arial Narrow" w:hAnsi="Arial Narrow"/>
              </w:rPr>
            </w:pPr>
          </w:p>
        </w:tc>
      </w:tr>
      <w:tr w:rsidR="00F94E14" w:rsidRPr="008E21BC">
        <w:trPr>
          <w:jc w:val="center"/>
        </w:trPr>
        <w:tc>
          <w:tcPr>
            <w:tcW w:w="0" w:type="auto"/>
            <w:gridSpan w:val="2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 20</w:t>
            </w:r>
            <w:r w:rsidR="008E21BC">
              <w:rPr>
                <w:rFonts w:ascii="Arial Narrow" w:hAnsi="Arial Narrow" w:cs="Arial"/>
                <w:b/>
                <w:bCs/>
                <w:sz w:val="15"/>
                <w:szCs w:val="15"/>
              </w:rPr>
              <w:t>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U.S. Government and Agency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Mortgage-backed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Corporate notes and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Municipal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and preferred stock</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(339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190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2,292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(418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3,613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(360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297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3,910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(445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240"/>
          <w:jc w:val="center"/>
        </w:trPr>
        <w:tc>
          <w:tcPr>
            <w:tcW w:w="0" w:type="auto"/>
            <w:vAlign w:val="center"/>
          </w:tcPr>
          <w:p w:rsidR="00F94E14" w:rsidRPr="008E21BC" w:rsidRDefault="00F94E14">
            <w:pPr>
              <w:rPr>
                <w:rFonts w:ascii="Arial Narrow" w:hAnsi="Arial Narrow"/>
              </w:rPr>
            </w:pPr>
          </w:p>
        </w:tc>
        <w:tc>
          <w:tcPr>
            <w:tcW w:w="0" w:type="auto"/>
            <w:gridSpan w:val="8"/>
            <w:vAlign w:val="center"/>
          </w:tcPr>
          <w:p w:rsidR="00F94E14" w:rsidRPr="008E21BC" w:rsidRDefault="00F94E14">
            <w:pPr>
              <w:rPr>
                <w:rFonts w:ascii="Arial Narrow" w:hAnsi="Arial Narrow"/>
              </w:rPr>
            </w:pPr>
          </w:p>
        </w:tc>
        <w:tc>
          <w:tcPr>
            <w:tcW w:w="0" w:type="auto"/>
            <w:gridSpan w:val="8"/>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r>
      <w:tr w:rsidR="00F94E14" w:rsidRPr="008E21BC">
        <w:trP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6"/>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Less than 12 Months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6"/>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12 Months or Greater</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Merge w:val="restart"/>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Total</w:t>
            </w:r>
            <w:r w:rsidRPr="008E21BC">
              <w:rPr>
                <w:rFonts w:ascii="Arial Narrow" w:hAnsi="Arial Narrow" w:cs="Arial"/>
                <w:b/>
                <w:bCs/>
                <w:sz w:val="15"/>
                <w:szCs w:val="15"/>
              </w:rPr>
              <w:br/>
              <w:t>Unrealized</w:t>
            </w:r>
            <w:r w:rsidRPr="008E21BC">
              <w:rPr>
                <w:rFonts w:ascii="Arial Narrow" w:hAnsi="Arial Narrow" w:cs="Arial"/>
                <w:b/>
                <w:bCs/>
                <w:sz w:val="15"/>
                <w:szCs w:val="15"/>
              </w:rPr>
              <w:br/>
              <w:t>Losses</w:t>
            </w:r>
          </w:p>
        </w:tc>
        <w:tc>
          <w:tcPr>
            <w:tcW w:w="0" w:type="auto"/>
            <w:vMerge w:val="restart"/>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gridSpan w:val="5"/>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gridSpan w:val="5"/>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Merge/>
            <w:vAlign w:val="center"/>
          </w:tcPr>
          <w:p w:rsidR="00F94E14" w:rsidRPr="008E21BC" w:rsidRDefault="00F94E14">
            <w:pPr>
              <w:rPr>
                <w:rFonts w:ascii="Arial Narrow" w:hAnsi="Arial Narrow"/>
              </w:rPr>
            </w:pPr>
          </w:p>
        </w:tc>
        <w:tc>
          <w:tcPr>
            <w:tcW w:w="0" w:type="auto"/>
            <w:vMerge/>
            <w:vAlign w:val="center"/>
          </w:tcPr>
          <w:p w:rsidR="00F94E14" w:rsidRPr="008E21BC" w:rsidRDefault="00F94E14">
            <w:pPr>
              <w:rPr>
                <w:rFonts w:ascii="Arial Narrow" w:hAnsi="Arial Narrow"/>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Fair 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Unrealized</w:t>
            </w:r>
            <w:r w:rsidRPr="008E21BC">
              <w:rPr>
                <w:rFonts w:ascii="Arial Narrow" w:hAnsi="Arial Narrow" w:cs="Arial"/>
                <w:b/>
                <w:bCs/>
                <w:sz w:val="15"/>
                <w:szCs w:val="15"/>
              </w:rPr>
              <w:br/>
              <w:t>Losses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Fair 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Unrealized</w:t>
            </w:r>
            <w:r w:rsidRPr="008E21BC">
              <w:rPr>
                <w:rFonts w:ascii="Arial Narrow" w:hAnsi="Arial Narrow" w:cs="Arial"/>
                <w:b/>
                <w:bCs/>
                <w:sz w:val="15"/>
                <w:szCs w:val="15"/>
              </w:rPr>
              <w:br/>
              <w:t>Losses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Total</w:t>
            </w:r>
            <w:r w:rsidRPr="008E21BC">
              <w:rPr>
                <w:rFonts w:ascii="Arial Narrow" w:hAnsi="Arial Narrow" w:cs="Arial"/>
                <w:b/>
                <w:bCs/>
                <w:sz w:val="15"/>
                <w:szCs w:val="15"/>
              </w:rPr>
              <w:br/>
              <w:t>Fair 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Merge/>
            <w:vAlign w:val="center"/>
          </w:tcPr>
          <w:p w:rsidR="00F94E14" w:rsidRPr="008E21BC" w:rsidRDefault="00F94E14">
            <w:pPr>
              <w:rPr>
                <w:rFonts w:ascii="Arial Narrow" w:hAnsi="Arial Narrow"/>
              </w:rPr>
            </w:pPr>
          </w:p>
        </w:tc>
        <w:tc>
          <w:tcPr>
            <w:tcW w:w="0" w:type="auto"/>
            <w:vMerge/>
            <w:vAlign w:val="center"/>
          </w:tcPr>
          <w:p w:rsidR="00F94E14" w:rsidRPr="008E21BC" w:rsidRDefault="00F94E14">
            <w:pPr>
              <w:rPr>
                <w:rFonts w:ascii="Arial Narrow" w:hAnsi="Arial Narrow"/>
              </w:rPr>
            </w:pPr>
          </w:p>
        </w:tc>
      </w:tr>
      <w:tr w:rsidR="00F94E14" w:rsidRPr="008E21BC">
        <w:trPr>
          <w:jc w:val="center"/>
        </w:trPr>
        <w:tc>
          <w:tcPr>
            <w:tcW w:w="0" w:type="auto"/>
            <w:gridSpan w:val="2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 20</w:t>
            </w:r>
            <w:r w:rsidR="008E21BC">
              <w:rPr>
                <w:rFonts w:ascii="Arial Narrow" w:hAnsi="Arial Narrow" w:cs="Arial"/>
                <w:b/>
                <w:bCs/>
                <w:sz w:val="15"/>
                <w:szCs w:val="15"/>
              </w:rPr>
              <w:t>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Mutual funds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U.S. Government and Agency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Foreign government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Mortgage-backed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Corporate notes and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Municipal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and preferred stock</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1,154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1,274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7,866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1,370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(114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9,236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(285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as of June 30, </w:t>
      </w:r>
      <w:r w:rsidR="008E21BC">
        <w:rPr>
          <w:rFonts w:ascii="Arial Narrow" w:hAnsi="Arial Narrow" w:cs="Arial"/>
          <w:sz w:val="20"/>
          <w:szCs w:val="20"/>
        </w:rPr>
        <w:t>2018</w:t>
      </w:r>
      <w:r w:rsidRPr="008E21BC">
        <w:rPr>
          <w:rFonts w:ascii="Arial Narrow" w:hAnsi="Arial Narrow" w:cs="Arial"/>
          <w:sz w:val="20"/>
          <w:szCs w:val="20"/>
        </w:rPr>
        <w:t xml:space="preserve">. </w:t>
      </w:r>
    </w:p>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cs="Arial"/>
          <w:sz w:val="20"/>
          <w:szCs w:val="20"/>
        </w:rPr>
        <w:t xml:space="preserve">At June 30,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the recorded bases and estimated fair values of common and preferred stock and other investments that are restricted for more than one year or are not publicly traded were $216 million and $204 million, respectively.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Debt Investment Maturities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71"/>
        <w:gridCol w:w="283"/>
        <w:gridCol w:w="106"/>
        <w:gridCol w:w="607"/>
        <w:gridCol w:w="60"/>
        <w:gridCol w:w="282"/>
        <w:gridCol w:w="106"/>
        <w:gridCol w:w="607"/>
        <w:gridCol w:w="60"/>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lastRenderedPageBreak/>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Cost Basis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Estimated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Fair 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June 30, </w:t>
            </w:r>
            <w:r w:rsidR="008E21BC">
              <w:rPr>
                <w:rFonts w:ascii="Arial Narrow" w:hAnsi="Arial Narrow" w:cs="Arial"/>
                <w:b/>
                <w:bCs/>
                <w:sz w:val="15"/>
                <w:szCs w:val="15"/>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Due in one year or less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12,489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12,526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Due after one year through five years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14,987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15,283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Due after five years through 10 years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Due after 10 years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3,791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3,952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33,404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34,003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5 — DERIVATIVES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All notional amounts presented below are measured in U.S. currency equivalents.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Foreign Currency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cash-flow hedging instruments. Principal currencies hedged include the euro, Japanese yen, British pound, and Canadian dollar. As of June 30,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the total notional amounts of these foreign exchange contracts sold were $9.3 billion and $7.2 billion, respectively. Foreign currency risks related to certain non-U.S. dollar denominated securities are hedged using foreign exchange forward contracts that are designated as fair-value hedging instruments. As of June 30,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the total notional amounts of these foreign exchange contracts sold were $523 million and $3.5 billion, respectively. Certain options and forwards not designated as hedging instruments are also used to manage the variability in exchange rates on accounts receivable, cash, and intercompany positions, and to manage other foreign currency exposures. As of June 30, </w:t>
      </w:r>
      <w:r w:rsidR="008E21BC">
        <w:rPr>
          <w:rFonts w:ascii="Arial Narrow" w:hAnsi="Arial Narrow" w:cs="Arial"/>
          <w:sz w:val="20"/>
          <w:szCs w:val="20"/>
        </w:rPr>
        <w:t>2018</w:t>
      </w:r>
      <w:r w:rsidRPr="008E21BC">
        <w:rPr>
          <w:rFonts w:ascii="Arial Narrow" w:hAnsi="Arial Narrow" w:cs="Arial"/>
          <w:sz w:val="20"/>
          <w:szCs w:val="20"/>
        </w:rPr>
        <w:t xml:space="preserve">, the total notional amounts of these foreign exchange contracts purchased and sold were $7.8 billion and $5.3 billion, respectively. As of June 30, </w:t>
      </w:r>
      <w:r w:rsidR="008E21BC">
        <w:rPr>
          <w:rFonts w:ascii="Arial Narrow" w:hAnsi="Arial Narrow" w:cs="Arial"/>
          <w:sz w:val="20"/>
          <w:szCs w:val="20"/>
        </w:rPr>
        <w:t>2017</w:t>
      </w:r>
      <w:r w:rsidRPr="008E21BC">
        <w:rPr>
          <w:rFonts w:ascii="Arial Narrow" w:hAnsi="Arial Narrow" w:cs="Arial"/>
          <w:sz w:val="20"/>
          <w:szCs w:val="20"/>
        </w:rPr>
        <w:t xml:space="preserve">, the total notional amounts of these foreign exchange contracts purchased and sold were $3.2 billion and $3.6 billion, respectively.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Equity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June 30, </w:t>
      </w:r>
      <w:r w:rsidR="008E21BC">
        <w:rPr>
          <w:rFonts w:ascii="Arial Narrow" w:hAnsi="Arial Narrow" w:cs="Arial"/>
          <w:sz w:val="20"/>
          <w:szCs w:val="20"/>
        </w:rPr>
        <w:t>2018</w:t>
      </w:r>
      <w:r w:rsidRPr="008E21BC">
        <w:rPr>
          <w:rFonts w:ascii="Arial Narrow" w:hAnsi="Arial Narrow" w:cs="Arial"/>
          <w:sz w:val="20"/>
          <w:szCs w:val="20"/>
        </w:rPr>
        <w:t xml:space="preserve">, the total notional amounts of designated and non-designated equity contracts purchased and sold were $918 million and $472 million, respectively. As of June 30, </w:t>
      </w:r>
      <w:r w:rsidR="008E21BC">
        <w:rPr>
          <w:rFonts w:ascii="Arial Narrow" w:hAnsi="Arial Narrow" w:cs="Arial"/>
          <w:sz w:val="20"/>
          <w:szCs w:val="20"/>
        </w:rPr>
        <w:t>2017</w:t>
      </w:r>
      <w:r w:rsidRPr="008E21BC">
        <w:rPr>
          <w:rFonts w:ascii="Arial Narrow" w:hAnsi="Arial Narrow" w:cs="Arial"/>
          <w:sz w:val="20"/>
          <w:szCs w:val="20"/>
        </w:rPr>
        <w:t xml:space="preserve">, the total notional amounts of designated and non-designated equity contracts purchased and sold were immaterial. </w:t>
      </w:r>
    </w:p>
    <w:p w:rsidR="00F94E14" w:rsidRPr="008E21BC" w:rsidRDefault="00F94E14" w:rsidP="00E20399">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Interest Rate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June 30, </w:t>
      </w:r>
      <w:r w:rsidR="008E21BC">
        <w:rPr>
          <w:rFonts w:ascii="Arial Narrow" w:hAnsi="Arial Narrow" w:cs="Arial"/>
          <w:sz w:val="20"/>
          <w:szCs w:val="20"/>
        </w:rPr>
        <w:t>2018</w:t>
      </w:r>
      <w:r w:rsidRPr="008E21BC">
        <w:rPr>
          <w:rFonts w:ascii="Arial Narrow" w:hAnsi="Arial Narrow" w:cs="Arial"/>
          <w:sz w:val="20"/>
          <w:szCs w:val="20"/>
        </w:rPr>
        <w:t xml:space="preserve">, the total notional amounts of fixed-interest rate contracts purchased and sold were $3.1 billion and $1.8 billion, respectively. As of June 30, </w:t>
      </w:r>
      <w:r w:rsidR="008E21BC">
        <w:rPr>
          <w:rFonts w:ascii="Arial Narrow" w:hAnsi="Arial Narrow" w:cs="Arial"/>
          <w:sz w:val="20"/>
          <w:szCs w:val="20"/>
        </w:rPr>
        <w:t>2017</w:t>
      </w:r>
      <w:r w:rsidRPr="008E21BC">
        <w:rPr>
          <w:rFonts w:ascii="Arial Narrow" w:hAnsi="Arial Narrow" w:cs="Arial"/>
          <w:sz w:val="20"/>
          <w:szCs w:val="20"/>
        </w:rPr>
        <w:t xml:space="preserve">, the total notional amounts of fixed-interest rate contracts purchased and sold were $2.7 billion and $456 million, respectively. 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June 30,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the total notional derivative amount of mortgage contracts purchased were immaterial and $1.3 billion, respectively.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Credit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 cost method of managing exposure to individual credit risks or groups of credit risks. As of June 30,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the total notional amounts of credit contracts purchased and sold were immaterial.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lastRenderedPageBreak/>
        <w:t xml:space="preserve">Commodity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use broad-based commodity exposures to enhance portfolio returns and to facilitate portfolio diversification. We use swap,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June 30, </w:t>
      </w:r>
      <w:r w:rsidR="008E21BC">
        <w:rPr>
          <w:rFonts w:ascii="Arial Narrow" w:hAnsi="Arial Narrow" w:cs="Arial"/>
          <w:sz w:val="20"/>
          <w:szCs w:val="20"/>
        </w:rPr>
        <w:t>2018</w:t>
      </w:r>
      <w:r w:rsidRPr="008E21BC">
        <w:rPr>
          <w:rFonts w:ascii="Arial Narrow" w:hAnsi="Arial Narrow" w:cs="Arial"/>
          <w:sz w:val="20"/>
          <w:szCs w:val="20"/>
        </w:rPr>
        <w:t xml:space="preserve">, the total notional amounts of commodity contracts purchased and sold were $1.1 billion and $376 million, respectively. As of June 30, </w:t>
      </w:r>
      <w:r w:rsidR="008E21BC">
        <w:rPr>
          <w:rFonts w:ascii="Arial Narrow" w:hAnsi="Arial Narrow" w:cs="Arial"/>
          <w:sz w:val="20"/>
          <w:szCs w:val="20"/>
        </w:rPr>
        <w:t>2017</w:t>
      </w:r>
      <w:r w:rsidRPr="008E21BC">
        <w:rPr>
          <w:rFonts w:ascii="Arial Narrow" w:hAnsi="Arial Narrow" w:cs="Arial"/>
          <w:sz w:val="20"/>
          <w:szCs w:val="20"/>
        </w:rPr>
        <w:t xml:space="preserve">, the total notional amounts of commodity contracts purchased and sold were $543 million and $33 million, respectively.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Credit-Risk-Related Contingent Features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a minimum liquidity of $1.0 billion. To the extent we fail to meet these requirements, we will be required to post collateral, similar to the standard convention related to over-the-counter derivatives. As of June 30, </w:t>
      </w:r>
      <w:r w:rsidR="008E21BC">
        <w:rPr>
          <w:rFonts w:ascii="Arial Narrow" w:hAnsi="Arial Narrow" w:cs="Arial"/>
          <w:sz w:val="20"/>
          <w:szCs w:val="20"/>
        </w:rPr>
        <w:t>2018</w:t>
      </w:r>
      <w:r w:rsidRPr="008E21BC">
        <w:rPr>
          <w:rFonts w:ascii="Arial Narrow" w:hAnsi="Arial Narrow" w:cs="Arial"/>
          <w:sz w:val="20"/>
          <w:szCs w:val="20"/>
        </w:rPr>
        <w:t xml:space="preserve">, our long-term unsecured debt rating was AAA, and cash investments were in excess of $1.0 billion. As a result, no collateral is required to be posted.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b/>
          <w:bCs/>
          <w:sz w:val="20"/>
          <w:szCs w:val="20"/>
        </w:rPr>
        <w:lastRenderedPageBreak/>
        <w:t xml:space="preserve">Fair Values of Derivative Instruments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Following are the gross fair values of derivative instruments held at June 30,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excluding the impact of netting derivative assets and liabilities when a legally enforceable master netting agreement exists and fair value adjustments related to our own credit risk and counterparty credit risk: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30"/>
        <w:gridCol w:w="406"/>
        <w:gridCol w:w="134"/>
        <w:gridCol w:w="477"/>
        <w:gridCol w:w="69"/>
        <w:gridCol w:w="405"/>
        <w:gridCol w:w="132"/>
        <w:gridCol w:w="470"/>
        <w:gridCol w:w="69"/>
        <w:gridCol w:w="405"/>
        <w:gridCol w:w="145"/>
        <w:gridCol w:w="457"/>
        <w:gridCol w:w="69"/>
        <w:gridCol w:w="405"/>
        <w:gridCol w:w="145"/>
        <w:gridCol w:w="457"/>
        <w:gridCol w:w="69"/>
        <w:gridCol w:w="405"/>
        <w:gridCol w:w="214"/>
        <w:gridCol w:w="491"/>
        <w:gridCol w:w="69"/>
        <w:gridCol w:w="405"/>
        <w:gridCol w:w="137"/>
        <w:gridCol w:w="548"/>
        <w:gridCol w:w="69"/>
      </w:tblGrid>
      <w:tr w:rsidR="00F94E14" w:rsidRPr="008E21BC">
        <w:trPr>
          <w:tblHeader/>
          <w:jc w:val="center"/>
        </w:trPr>
        <w:tc>
          <w:tcPr>
            <w:tcW w:w="2300" w:type="pct"/>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Foreign</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Exchange</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Equity</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Interest</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Rate</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Credit</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Commodity</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Total</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Derivatives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2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rsidP="00E20399">
            <w:pPr>
              <w:pStyle w:val="NormalWeb"/>
              <w:keepNext/>
              <w:spacing w:before="0" w:beforeAutospacing="0" w:after="15" w:afterAutospacing="0"/>
              <w:jc w:val="left"/>
              <w:rPr>
                <w:rFonts w:ascii="Arial Narrow" w:hAnsi="Arial Narrow"/>
              </w:rPr>
            </w:pPr>
            <w:r w:rsidRPr="008E21BC">
              <w:rPr>
                <w:rFonts w:ascii="Arial Narrow" w:hAnsi="Arial Narrow" w:cs="Arial"/>
                <w:b/>
                <w:bCs/>
                <w:sz w:val="15"/>
                <w:szCs w:val="15"/>
              </w:rPr>
              <w:t xml:space="preserve">June 30, </w:t>
            </w:r>
            <w:r w:rsidR="008E21BC">
              <w:rPr>
                <w:rFonts w:ascii="Arial Narrow" w:hAnsi="Arial Narrow" w:cs="Arial"/>
                <w:b/>
                <w:bCs/>
                <w:sz w:val="15"/>
                <w:szCs w:val="15"/>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rsidP="00E20399">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rsidP="00E20399">
            <w:pPr>
              <w:pStyle w:val="NormalWeb"/>
              <w:keepNext/>
              <w:spacing w:before="0" w:beforeAutospacing="0" w:after="15" w:afterAutospacing="0"/>
              <w:jc w:val="left"/>
              <w:rPr>
                <w:rFonts w:ascii="Arial Narrow" w:hAnsi="Arial Narrow"/>
              </w:rPr>
            </w:pPr>
            <w:r w:rsidRPr="008E21BC">
              <w:rPr>
                <w:rFonts w:ascii="Arial Narrow" w:hAnsi="Arial Narrow" w:cs="Arial"/>
                <w:b/>
                <w:bCs/>
                <w:sz w:val="15"/>
                <w:szCs w:val="15"/>
              </w:rPr>
              <w:t>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rsidP="00E20399">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Derivatives not designated as hedging instruments: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Short-term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Other 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4"/>
            <w:vAlign w:val="bottom"/>
          </w:tcPr>
          <w:p w:rsidR="00F94E14" w:rsidRPr="008E21BC" w:rsidRDefault="00F94E14" w:rsidP="00E20399">
            <w:pPr>
              <w:pStyle w:val="rrdsinglerule"/>
              <w:jc w:val="left"/>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rsidP="00E20399">
            <w:pPr>
              <w:pStyle w:val="NormalWeb"/>
              <w:ind w:left="1200" w:hanging="240"/>
              <w:jc w:val="left"/>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Derivatives designated as hedging instruments: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Short-term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Other 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4"/>
            <w:vAlign w:val="bottom"/>
          </w:tcPr>
          <w:p w:rsidR="00F94E14" w:rsidRPr="008E21BC" w:rsidRDefault="00F94E14" w:rsidP="00E20399">
            <w:pPr>
              <w:pStyle w:val="rrdsinglerule"/>
              <w:jc w:val="left"/>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rsidP="00E20399">
            <w:pPr>
              <w:pStyle w:val="NormalWeb"/>
              <w:ind w:left="1200" w:hanging="240"/>
              <w:jc w:val="left"/>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rsidP="00E20399">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rsidP="00E20399">
            <w:pPr>
              <w:pStyle w:val="NormalWeb"/>
              <w:ind w:left="1680" w:hanging="240"/>
              <w:jc w:val="left"/>
              <w:rPr>
                <w:rFonts w:ascii="Arial Narrow" w:hAnsi="Arial Narrow"/>
              </w:rPr>
            </w:pPr>
            <w:r w:rsidRPr="008E21BC">
              <w:rPr>
                <w:rFonts w:ascii="Arial Narrow" w:hAnsi="Arial Narrow" w:cs="Arial"/>
                <w:sz w:val="20"/>
                <w:szCs w:val="20"/>
              </w:rPr>
              <w:t>Total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615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776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rsidP="00E20399">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rsidP="00E20399">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rsidP="00E20399">
            <w:pPr>
              <w:pStyle w:val="NormalWeb"/>
              <w:keepNext/>
              <w:spacing w:before="0" w:beforeAutospacing="0" w:after="15" w:afterAutospacing="0"/>
              <w:jc w:val="left"/>
              <w:rPr>
                <w:rFonts w:ascii="Arial Narrow" w:hAnsi="Arial Narrow"/>
              </w:rPr>
            </w:pPr>
            <w:r w:rsidRPr="008E21BC">
              <w:rPr>
                <w:rFonts w:ascii="Arial Narrow" w:hAnsi="Arial Narrow" w:cs="Arial"/>
                <w:b/>
                <w:bCs/>
                <w:sz w:val="15"/>
                <w:szCs w:val="15"/>
              </w:rPr>
              <w:t>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rsidP="00E20399">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Derivatives not designated as hedging instruments: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Other current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(156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tcPr>
          <w:p w:rsidR="00F94E14" w:rsidRPr="008E21BC" w:rsidRDefault="00F94E14" w:rsidP="00CB2626">
            <w:pPr>
              <w:pStyle w:val="NormalWeb"/>
              <w:keepNext/>
              <w:ind w:left="240" w:hanging="240"/>
              <w:jc w:val="left"/>
              <w:rPr>
                <w:rFonts w:ascii="Arial Narrow" w:hAnsi="Arial Narrow"/>
              </w:rPr>
            </w:pPr>
            <w:r w:rsidRPr="008E21BC">
              <w:rPr>
                <w:rFonts w:ascii="Arial Narrow" w:hAnsi="Arial Narrow" w:cs="Arial"/>
                <w:sz w:val="20"/>
                <w:szCs w:val="20"/>
              </w:rPr>
              <w:t>Derivatives designated as hedging instruments: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Other current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1680" w:hanging="240"/>
              <w:rPr>
                <w:rFonts w:ascii="Arial Narrow" w:hAnsi="Arial Narrow"/>
              </w:rPr>
            </w:pPr>
            <w:r w:rsidRPr="008E21BC">
              <w:rPr>
                <w:rFonts w:ascii="Arial Narrow" w:hAnsi="Arial Narrow" w:cs="Arial"/>
                <w:sz w:val="20"/>
                <w:szCs w:val="20"/>
              </w:rPr>
              <w:t>Total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rsidP="00E20399">
      <w:pPr>
        <w:pStyle w:val="NormalWeb"/>
        <w:pageBreakBefore/>
        <w:spacing w:before="0" w:beforeAutospacing="0" w:after="0" w:afterAutospacing="0"/>
        <w:rPr>
          <w:rFonts w:ascii="Arial Narrow" w:hAnsi="Arial Narrow"/>
          <w:sz w:val="2"/>
        </w:rPr>
      </w:pPr>
      <w:r w:rsidRPr="008E21BC">
        <w:rPr>
          <w:rFonts w:ascii="Arial Narrow" w:hAnsi="Arial Narrow"/>
          <w:sz w:val="2"/>
          <w:szCs w:val="15"/>
        </w:rPr>
        <w:lastRenderedPageBreak/>
        <w:t> </w:t>
      </w:r>
    </w:p>
    <w:tbl>
      <w:tblPr>
        <w:tblW w:w="5000" w:type="pct"/>
        <w:jc w:val="center"/>
        <w:tblCellMar>
          <w:top w:w="14" w:type="dxa"/>
          <w:left w:w="0" w:type="dxa"/>
          <w:right w:w="14" w:type="dxa"/>
        </w:tblCellMar>
        <w:tblLook w:val="0000" w:firstRow="0" w:lastRow="0" w:firstColumn="0" w:lastColumn="0" w:noHBand="0" w:noVBand="0"/>
      </w:tblPr>
      <w:tblGrid>
        <w:gridCol w:w="3730"/>
        <w:gridCol w:w="406"/>
        <w:gridCol w:w="123"/>
        <w:gridCol w:w="488"/>
        <w:gridCol w:w="69"/>
        <w:gridCol w:w="405"/>
        <w:gridCol w:w="162"/>
        <w:gridCol w:w="440"/>
        <w:gridCol w:w="69"/>
        <w:gridCol w:w="405"/>
        <w:gridCol w:w="145"/>
        <w:gridCol w:w="457"/>
        <w:gridCol w:w="69"/>
        <w:gridCol w:w="405"/>
        <w:gridCol w:w="145"/>
        <w:gridCol w:w="457"/>
        <w:gridCol w:w="69"/>
        <w:gridCol w:w="405"/>
        <w:gridCol w:w="214"/>
        <w:gridCol w:w="491"/>
        <w:gridCol w:w="69"/>
        <w:gridCol w:w="405"/>
        <w:gridCol w:w="137"/>
        <w:gridCol w:w="548"/>
        <w:gridCol w:w="69"/>
      </w:tblGrid>
      <w:tr w:rsidR="00F94E14" w:rsidRPr="008E21BC">
        <w:trPr>
          <w:tblHeader/>
          <w:jc w:val="center"/>
        </w:trPr>
        <w:tc>
          <w:tcPr>
            <w:tcW w:w="2300" w:type="pct"/>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Foreign</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Exchange</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Equity</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Interest</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Rate</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Credit</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Commodity</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Contracts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Total</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Derivatives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2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June 30, </w:t>
            </w:r>
            <w:r w:rsidR="008E21BC">
              <w:rPr>
                <w:rFonts w:ascii="Arial Narrow" w:hAnsi="Arial Narrow" w:cs="Arial"/>
                <w:b/>
                <w:bCs/>
                <w:sz w:val="15"/>
                <w:szCs w:val="15"/>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Derivatives not designated as hedging instruments: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Short-term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Other 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120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Derivatives designated as hedging instruments: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Short-term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Other 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Equity and other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120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431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1680" w:hanging="240"/>
              <w:rPr>
                <w:rFonts w:ascii="Arial Narrow" w:hAnsi="Arial Narrow"/>
              </w:rPr>
            </w:pPr>
            <w:r w:rsidRPr="008E21BC">
              <w:rPr>
                <w:rFonts w:ascii="Arial Narrow" w:hAnsi="Arial Narrow" w:cs="Arial"/>
                <w:sz w:val="20"/>
                <w:szCs w:val="20"/>
              </w:rPr>
              <w:t>Total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486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Derivatives not designated as hedging instruments: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Other current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rsidP="00E20399">
            <w:pPr>
              <w:pStyle w:val="NormalWeb"/>
              <w:keepNext/>
              <w:ind w:left="240" w:hanging="240"/>
              <w:jc w:val="left"/>
              <w:rPr>
                <w:rFonts w:ascii="Arial Narrow" w:hAnsi="Arial Narrow"/>
              </w:rPr>
            </w:pPr>
            <w:r w:rsidRPr="008E21BC">
              <w:rPr>
                <w:rFonts w:ascii="Arial Narrow" w:hAnsi="Arial Narrow" w:cs="Arial"/>
                <w:sz w:val="20"/>
                <w:szCs w:val="20"/>
              </w:rPr>
              <w:t>Derivatives designated as hedging instruments: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Other current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1680" w:hanging="240"/>
              <w:rPr>
                <w:rFonts w:ascii="Arial Narrow" w:hAnsi="Arial Narrow"/>
              </w:rPr>
            </w:pPr>
            <w:r w:rsidRPr="008E21BC">
              <w:rPr>
                <w:rFonts w:ascii="Arial Narrow" w:hAnsi="Arial Narrow" w:cs="Arial"/>
                <w:sz w:val="20"/>
                <w:szCs w:val="20"/>
              </w:rPr>
              <w:t>Total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See also Note 4 – Investments and Note 6 – Fair Value Measurements.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Fair-Value Hedges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We recognized in other income (expense) the following gains (losses) on contracts designated as fair value hedges and their related hedged items: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674"/>
        <w:gridCol w:w="295"/>
        <w:gridCol w:w="106"/>
        <w:gridCol w:w="343"/>
        <w:gridCol w:w="69"/>
        <w:gridCol w:w="295"/>
        <w:gridCol w:w="106"/>
        <w:gridCol w:w="425"/>
        <w:gridCol w:w="69"/>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Foreign Exchange Contracts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(57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Hedged items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Equity Contracts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Hedged items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b/>
          <w:bCs/>
          <w:sz w:val="20"/>
          <w:szCs w:val="20"/>
        </w:rPr>
        <w:lastRenderedPageBreak/>
        <w:t xml:space="preserve">Cash-Flow Hedges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We recognized the following gains (losses) related to foreign exchange contracts designated as cash flow hedges (our only cash flow hedges during the period):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596"/>
        <w:gridCol w:w="293"/>
        <w:gridCol w:w="106"/>
        <w:gridCol w:w="425"/>
        <w:gridCol w:w="69"/>
        <w:gridCol w:w="293"/>
        <w:gridCol w:w="106"/>
        <w:gridCol w:w="425"/>
        <w:gridCol w:w="69"/>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Effective Portion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Gain recognized in OCI, net of tax effect of </w:t>
            </w:r>
            <w:r w:rsidRPr="008E21BC">
              <w:rPr>
                <w:rFonts w:ascii="Arial Narrow" w:hAnsi="Arial Narrow" w:cs="Arial"/>
                <w:b/>
                <w:bCs/>
                <w:sz w:val="20"/>
                <w:szCs w:val="20"/>
              </w:rPr>
              <w:t>$188</w:t>
            </w:r>
            <w:r w:rsidRPr="008E21BC">
              <w:rPr>
                <w:rFonts w:ascii="Arial Narrow" w:hAnsi="Arial Narrow" w:cs="Arial"/>
                <w:sz w:val="20"/>
                <w:szCs w:val="20"/>
              </w:rPr>
              <w:t xml:space="preserve"> and $472</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349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876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Gain reclassified from OCI into 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495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Amount Excluded from Effectiveness Assessment and Ineffective Portion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Loss recognized in other income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We estimate that $496 million of net derivative gains included in OCI will be reclassified into earnings within the next 12 months. No significant amounts of gains (losses) were reclassified from OCI into earnings as a result of forecasted transactions that failed to occur during fiscal year </w:t>
      </w:r>
      <w:r w:rsidR="008E21BC">
        <w:rPr>
          <w:rFonts w:ascii="Arial Narrow" w:hAnsi="Arial Narrow" w:cs="Arial"/>
          <w:sz w:val="20"/>
          <w:szCs w:val="20"/>
        </w:rPr>
        <w:t>2018</w:t>
      </w:r>
      <w:r w:rsidRPr="008E21BC">
        <w:rPr>
          <w:rFonts w:ascii="Arial Narrow" w:hAnsi="Arial Narrow" w:cs="Arial"/>
          <w:sz w:val="20"/>
          <w:szCs w:val="20"/>
        </w:rPr>
        <w:t xml:space="preserve">.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Non-Designated Derivatives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Gains (losses) from changes in fair values of derivatives that are not designated as hedges are primarily recognized in other income (expense). These amounts are shown in the table below, with the exception of gains (losses) on derivatives presented in income statement line items other than other income (expense), which were immaterial for the fiscal years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Other than those derivatives entered into for investment purposes, such as commodity contracts, the gains (losses) below are generally economically offset by unrealized gains (losses) in the underlying available-for-sale securities.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625"/>
        <w:gridCol w:w="297"/>
        <w:gridCol w:w="106"/>
        <w:gridCol w:w="379"/>
        <w:gridCol w:w="69"/>
        <w:gridCol w:w="297"/>
        <w:gridCol w:w="106"/>
        <w:gridCol w:w="434"/>
        <w:gridCol w:w="69"/>
      </w:tblGrid>
      <w:tr w:rsidR="00F94E14" w:rsidRPr="008E21BC">
        <w:trPr>
          <w:tblHeader/>
          <w:jc w:val="center"/>
        </w:trPr>
        <w:tc>
          <w:tcPr>
            <w:tcW w:w="43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Foreign exchange contracts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106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(234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Equity contracts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Interest-rate contracts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Credit contracts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Commodity contracts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(504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rsidP="00E20399">
      <w:pPr>
        <w:pStyle w:val="NormalWeb"/>
        <w:pageBreakBefore/>
        <w:spacing w:before="0" w:beforeAutospacing="0" w:after="0" w:afterAutospacing="0"/>
        <w:jc w:val="center"/>
        <w:rPr>
          <w:rFonts w:ascii="Arial Narrow" w:hAnsi="Arial Narrow"/>
        </w:rPr>
      </w:pPr>
      <w:r w:rsidRPr="008E21BC">
        <w:rPr>
          <w:rFonts w:ascii="Arial Narrow" w:hAnsi="Arial Narrow" w:cs="Arial"/>
          <w:sz w:val="20"/>
          <w:szCs w:val="20"/>
          <w:u w:val="single"/>
        </w:rPr>
        <w:lastRenderedPageBreak/>
        <w:t xml:space="preserve">NOTE 6 — FAIR VALUE MEASUREMENTS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b/>
          <w:bCs/>
          <w:sz w:val="20"/>
          <w:szCs w:val="20"/>
        </w:rPr>
        <w:t xml:space="preserve">Assets and Liabilities Measured at Fair Value on a Recurring Basis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following tables present the fair value of our financial instruments that are measured at fair value on a recurring basis: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386"/>
        <w:gridCol w:w="263"/>
        <w:gridCol w:w="106"/>
        <w:gridCol w:w="607"/>
        <w:gridCol w:w="60"/>
        <w:gridCol w:w="263"/>
        <w:gridCol w:w="106"/>
        <w:gridCol w:w="607"/>
        <w:gridCol w:w="60"/>
        <w:gridCol w:w="263"/>
        <w:gridCol w:w="106"/>
        <w:gridCol w:w="432"/>
        <w:gridCol w:w="60"/>
        <w:gridCol w:w="263"/>
        <w:gridCol w:w="106"/>
        <w:gridCol w:w="607"/>
        <w:gridCol w:w="60"/>
        <w:gridCol w:w="263"/>
        <w:gridCol w:w="106"/>
        <w:gridCol w:w="438"/>
        <w:gridCol w:w="183"/>
        <w:gridCol w:w="264"/>
        <w:gridCol w:w="106"/>
        <w:gridCol w:w="607"/>
        <w:gridCol w:w="60"/>
      </w:tblGrid>
      <w:tr w:rsidR="00F94E14" w:rsidRPr="008E21BC">
        <w:trPr>
          <w:jc w:val="center"/>
        </w:trPr>
        <w:tc>
          <w:tcPr>
            <w:tcW w:w="25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jc w:val="center"/>
        </w:trPr>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Level 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Level 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Level 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cs="Arial"/>
                <w:b/>
                <w:bCs/>
                <w:sz w:val="15"/>
                <w:szCs w:val="15"/>
              </w:rPr>
              <w:t> </w:t>
            </w:r>
          </w:p>
          <w:p w:rsidR="00F94E14" w:rsidRPr="008E21BC" w:rsidRDefault="00F94E14">
            <w:pPr>
              <w:pStyle w:val="NormalWeb"/>
              <w:spacing w:before="0" w:beforeAutospacing="0" w:after="15" w:afterAutospacing="0"/>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Gross</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Fair</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Value</w:t>
            </w:r>
          </w:p>
        </w:tc>
        <w:tc>
          <w:tcPr>
            <w:tcW w:w="0" w:type="auto"/>
            <w:noWrap/>
            <w:vAlign w:val="bottom"/>
          </w:tcPr>
          <w:p w:rsidR="00F94E14" w:rsidRPr="008E21BC" w:rsidRDefault="00F06086">
            <w:pPr>
              <w:pStyle w:val="NormalWeb"/>
              <w:spacing w:before="0" w:beforeAutospacing="0" w:after="0" w:afterAutospacing="0"/>
              <w:rPr>
                <w:rFonts w:ascii="Arial Narrow" w:hAnsi="Arial Narrow"/>
              </w:rPr>
            </w:pPr>
            <w:r w:rsidRPr="008E21BC">
              <w:rPr>
                <w:rFonts w:ascii="Arial Narrow" w:hAnsi="Arial Narrow" w:cs="Arial"/>
                <w:b/>
                <w:bCs/>
                <w:sz w:val="15"/>
                <w:szCs w:val="15"/>
              </w:rPr>
              <w:t> </w:t>
            </w:r>
          </w:p>
          <w:p w:rsidR="00F94E14" w:rsidRPr="008E21BC" w:rsidRDefault="00F06086">
            <w:pPr>
              <w:pStyle w:val="NormalWeb"/>
              <w:spacing w:before="0" w:beforeAutospacing="0" w:after="15" w:afterAutospacing="0"/>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 xml:space="preserve">Netting </w:t>
            </w:r>
          </w:p>
        </w:tc>
        <w:tc>
          <w:tcPr>
            <w:tcW w:w="0" w:type="auto"/>
            <w:noWrap/>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r w:rsidRPr="008E21BC">
              <w:rPr>
                <w:rFonts w:ascii="Arial Narrow" w:hAnsi="Arial Narrow" w:cs="Arial"/>
                <w:b/>
                <w:bCs/>
                <w:sz w:val="15"/>
                <w:szCs w:val="15"/>
                <w:vertAlign w:val="superscript"/>
              </w:rPr>
              <w:t>(a</w:t>
            </w:r>
            <w:r w:rsidR="00E718AB" w:rsidRPr="008E21BC">
              <w:rPr>
                <w:rFonts w:ascii="Arial Narrow" w:hAnsi="Arial Narrow" w:cs="Arial"/>
                <w:b/>
                <w:bCs/>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w:t>
            </w:r>
            <w:r w:rsidRPr="008E21BC">
              <w:rPr>
                <w:rFonts w:ascii="Arial Narrow" w:hAnsi="Arial Narrow" w:cs="Arial"/>
                <w:b/>
                <w:bCs/>
                <w:sz w:val="15"/>
                <w:szCs w:val="15"/>
              </w:rPr>
              <w:b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Net Fair</w:t>
            </w:r>
            <w:r w:rsidRPr="008E21BC">
              <w:rPr>
                <w:rFonts w:ascii="Arial Narrow" w:hAnsi="Arial Narrow" w:cs="Arial"/>
                <w:b/>
                <w:bCs/>
                <w:sz w:val="15"/>
                <w:szCs w:val="15"/>
              </w:rPr>
              <w:br/>
              <w:t>Value</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sz w:val="15"/>
                <w:szCs w:val="15"/>
              </w:rPr>
              <w:t> </w:t>
            </w:r>
            <w:r w:rsidR="00F94E14" w:rsidRPr="008E21BC">
              <w:rPr>
                <w:rFonts w:ascii="Arial Narrow" w:hAnsi="Arial Narrow" w:cs="Arial"/>
                <w:b/>
                <w:bCs/>
                <w:sz w:val="15"/>
                <w:szCs w:val="15"/>
              </w:rPr>
              <w:br/>
            </w:r>
            <w:r w:rsidRPr="008E21BC">
              <w:rPr>
                <w:rFonts w:ascii="Arial Narrow" w:hAnsi="Arial Narrow" w:cs="Arial"/>
                <w:b/>
                <w:bCs/>
                <w:sz w:val="15"/>
                <w:szCs w:val="15"/>
              </w:rPr>
              <w:t> </w:t>
            </w:r>
          </w:p>
        </w:tc>
      </w:tr>
      <w:tr w:rsidR="00F94E14" w:rsidRPr="008E21BC">
        <w:trPr>
          <w:jc w:val="center"/>
        </w:trPr>
        <w:tc>
          <w:tcPr>
            <w:tcW w:w="0" w:type="auto"/>
            <w:gridSpan w:val="2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June 30, </w:t>
            </w:r>
            <w:r w:rsidR="008E21BC">
              <w:rPr>
                <w:rFonts w:ascii="Arial Narrow" w:hAnsi="Arial Narrow" w:cs="Arial"/>
                <w:b/>
                <w:bCs/>
                <w:sz w:val="15"/>
                <w:szCs w:val="15"/>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Mutual funds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Commercial paper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Certificates of deposit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U.S. Government and Agency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16,473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4,756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21,229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21,229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Foreign government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294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Mortgage-backed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Corporate notes and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7,460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7,627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7,627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Municipal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Common and preferred stock</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6,988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7,036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7,036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24,842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17,829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42,852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(207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42,645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Derivatives and 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2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240"/>
          <w:jc w:val="center"/>
        </w:trPr>
        <w:tc>
          <w:tcPr>
            <w:tcW w:w="0" w:type="auto"/>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r>
      <w:tr w:rsidR="00F94E14" w:rsidRPr="008E21BC">
        <w:trPr>
          <w:jc w:val="center"/>
        </w:trPr>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Level 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Level 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Level 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cs="Arial"/>
                <w:b/>
                <w:bCs/>
                <w:sz w:val="15"/>
                <w:szCs w:val="15"/>
              </w:rPr>
              <w:t> </w:t>
            </w:r>
          </w:p>
          <w:p w:rsidR="00F94E14" w:rsidRPr="008E21BC" w:rsidRDefault="00F94E14">
            <w:pPr>
              <w:pStyle w:val="NormalWeb"/>
              <w:spacing w:before="0" w:beforeAutospacing="0" w:after="15" w:afterAutospacing="0"/>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Gross</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Fair</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Value</w:t>
            </w:r>
          </w:p>
        </w:tc>
        <w:tc>
          <w:tcPr>
            <w:tcW w:w="0" w:type="auto"/>
            <w:noWrap/>
            <w:vAlign w:val="bottom"/>
          </w:tcPr>
          <w:p w:rsidR="00F94E14" w:rsidRPr="008E21BC" w:rsidRDefault="00F06086">
            <w:pPr>
              <w:pStyle w:val="NormalWeb"/>
              <w:spacing w:before="0" w:beforeAutospacing="0" w:after="0" w:afterAutospacing="0"/>
              <w:rPr>
                <w:rFonts w:ascii="Arial Narrow" w:hAnsi="Arial Narrow"/>
              </w:rPr>
            </w:pPr>
            <w:r w:rsidRPr="008E21BC">
              <w:rPr>
                <w:rFonts w:ascii="Arial Narrow" w:hAnsi="Arial Narrow" w:cs="Arial"/>
                <w:b/>
                <w:bCs/>
                <w:sz w:val="15"/>
                <w:szCs w:val="15"/>
              </w:rPr>
              <w:t> </w:t>
            </w:r>
          </w:p>
          <w:p w:rsidR="00F94E14" w:rsidRPr="008E21BC" w:rsidRDefault="00F06086">
            <w:pPr>
              <w:pStyle w:val="NormalWeb"/>
              <w:spacing w:before="0" w:beforeAutospacing="0" w:after="15" w:afterAutospacing="0"/>
              <w:rPr>
                <w:rFonts w:ascii="Arial Narrow" w:hAnsi="Arial Narrow"/>
              </w:rPr>
            </w:pPr>
            <w:r w:rsidRPr="008E21BC">
              <w:rPr>
                <w:rFonts w:ascii="Arial Narrow" w:hAnsi="Arial Narrow" w:cs="Arial"/>
                <w:b/>
                <w:bCs/>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 xml:space="preserve">Netting </w:t>
            </w:r>
          </w:p>
        </w:tc>
        <w:tc>
          <w:tcPr>
            <w:tcW w:w="0" w:type="auto"/>
            <w:noWrap/>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r w:rsidRPr="008E21BC">
              <w:rPr>
                <w:rFonts w:ascii="Arial Narrow" w:hAnsi="Arial Narrow" w:cs="Arial"/>
                <w:b/>
                <w:bCs/>
                <w:sz w:val="15"/>
                <w:szCs w:val="15"/>
                <w:vertAlign w:val="superscript"/>
              </w:rPr>
              <w:t>(a</w:t>
            </w:r>
            <w:r w:rsidR="00E718AB" w:rsidRPr="008E21BC">
              <w:rPr>
                <w:rFonts w:ascii="Arial Narrow" w:hAnsi="Arial Narrow" w:cs="Arial"/>
                <w:b/>
                <w:bCs/>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w:t>
            </w:r>
            <w:r w:rsidRPr="008E21BC">
              <w:rPr>
                <w:rFonts w:ascii="Arial Narrow" w:hAnsi="Arial Narrow" w:cs="Arial"/>
                <w:b/>
                <w:bCs/>
                <w:sz w:val="15"/>
                <w:szCs w:val="15"/>
              </w:rPr>
              <w:b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Net Fair</w:t>
            </w:r>
            <w:r w:rsidRPr="008E21BC">
              <w:rPr>
                <w:rFonts w:ascii="Arial Narrow" w:hAnsi="Arial Narrow" w:cs="Arial"/>
                <w:b/>
                <w:bCs/>
                <w:sz w:val="15"/>
                <w:szCs w:val="15"/>
              </w:rPr>
              <w:br/>
              <w:t>Value</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sz w:val="15"/>
                <w:szCs w:val="15"/>
              </w:rPr>
              <w:t> </w:t>
            </w:r>
            <w:r w:rsidR="00F94E14" w:rsidRPr="008E21BC">
              <w:rPr>
                <w:rFonts w:ascii="Arial Narrow" w:hAnsi="Arial Narrow" w:cs="Arial"/>
                <w:b/>
                <w:bCs/>
                <w:sz w:val="15"/>
                <w:szCs w:val="15"/>
              </w:rPr>
              <w:br/>
            </w:r>
            <w:r w:rsidRPr="008E21BC">
              <w:rPr>
                <w:rFonts w:ascii="Arial Narrow" w:hAnsi="Arial Narrow" w:cs="Arial"/>
                <w:b/>
                <w:bCs/>
                <w:sz w:val="15"/>
                <w:szCs w:val="15"/>
              </w:rPr>
              <w:t> </w:t>
            </w:r>
          </w:p>
        </w:tc>
      </w:tr>
      <w:tr w:rsidR="00F94E14" w:rsidRPr="008E21BC">
        <w:trPr>
          <w:jc w:val="center"/>
        </w:trPr>
        <w:tc>
          <w:tcPr>
            <w:tcW w:w="0" w:type="auto"/>
            <w:gridSpan w:val="2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June 30, </w:t>
            </w:r>
            <w:r w:rsidR="008E21BC">
              <w:rPr>
                <w:rFonts w:ascii="Arial Narrow" w:hAnsi="Arial Narrow" w:cs="Arial"/>
                <w:b/>
                <w:bCs/>
                <w:sz w:val="15"/>
                <w:szCs w:val="15"/>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Mutual funds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Commercial paper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Certificates of deposit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U.S. Government and Agency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7,134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6,105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13,239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13,239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Foreign government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3,022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3,523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3,523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Mortgage-backed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3,593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3,593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3,593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Corporate notes and bonds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4,326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4,326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Municipal securities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Common and preferred stock</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4,218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4,251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4,251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12,840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20,856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33,959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33,724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Derivatives and 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spacing w:before="90" w:beforeAutospacing="0" w:after="0" w:afterAutospacing="0"/>
        <w:ind w:left="489" w:hanging="490"/>
        <w:rPr>
          <w:rFonts w:ascii="Arial Narrow" w:hAnsi="Arial Narrow"/>
        </w:rPr>
      </w:pPr>
      <w:r w:rsidRPr="008E21BC">
        <w:rPr>
          <w:rFonts w:ascii="Arial Narrow" w:hAnsi="Arial Narrow" w:cs="Arial"/>
          <w:sz w:val="20"/>
          <w:szCs w:val="20"/>
        </w:rPr>
        <w:t>(a)</w:t>
      </w:r>
      <w:r w:rsidRPr="008E21BC">
        <w:rPr>
          <w:rFonts w:ascii="Arial Narrow" w:hAnsi="Arial Narrow" w:cs="Arial"/>
          <w:sz w:val="20"/>
          <w:szCs w:val="20"/>
        </w:rPr>
        <w:tab/>
      </w:r>
      <w:r w:rsidRPr="008E21BC">
        <w:rPr>
          <w:rFonts w:ascii="Arial Narrow" w:hAnsi="Arial Narrow"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The table below reconciles the total Net Fair Value of assets above to the balance sheet presentation of these same assets in Note 4 – Investments for June 30,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55"/>
        <w:gridCol w:w="281"/>
        <w:gridCol w:w="106"/>
        <w:gridCol w:w="607"/>
        <w:gridCol w:w="69"/>
        <w:gridCol w:w="282"/>
        <w:gridCol w:w="106"/>
        <w:gridCol w:w="607"/>
        <w:gridCol w:w="69"/>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Net fair value of assets measured at fair value on a recurring basis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42,645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33,724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Cash</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1,661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Common and preferred stock measured at fair value on a nonrecurring basis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Other investments measured at fair value on a nonrecurring basis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Derivative assets classified as other 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(597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(465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Derivative liabilities under master netting agreements classified as other current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Recorded basis of investment components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44,542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36,380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Changes in Financial Instruments Measured at Level 3 Fair Value on a Recurring Basis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following tables present the changes during the fiscal years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in our Level 3 financial instruments that are measured at fair value on a recurring basis. The majority of these instruments consist of investment securities classified as available-for-sale with changes in fair value included in OCI.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57"/>
        <w:gridCol w:w="176"/>
        <w:gridCol w:w="136"/>
        <w:gridCol w:w="487"/>
        <w:gridCol w:w="69"/>
        <w:gridCol w:w="176"/>
        <w:gridCol w:w="175"/>
        <w:gridCol w:w="400"/>
        <w:gridCol w:w="69"/>
        <w:gridCol w:w="176"/>
        <w:gridCol w:w="123"/>
        <w:gridCol w:w="493"/>
        <w:gridCol w:w="69"/>
        <w:gridCol w:w="176"/>
        <w:gridCol w:w="106"/>
        <w:gridCol w:w="425"/>
        <w:gridCol w:w="69"/>
      </w:tblGrid>
      <w:tr w:rsidR="00F94E14" w:rsidRPr="008E21BC">
        <w:trPr>
          <w:tblHeader/>
          <w:jc w:val="center"/>
        </w:trPr>
        <w:tc>
          <w:tcPr>
            <w:tcW w:w="4000" w:type="pct"/>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Corporate</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Notes and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Bonds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Common</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and</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Preferred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Stock</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Derivative</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Assets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Total</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6"/>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Year Ended June 30, </w:t>
            </w:r>
            <w:r w:rsidR="008E21BC">
              <w:rPr>
                <w:rFonts w:ascii="Arial Narrow" w:hAnsi="Arial Narrow" w:cs="Arial"/>
                <w:b/>
                <w:bCs/>
                <w:sz w:val="15"/>
                <w:szCs w:val="15"/>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Balance, beginning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keepNext/>
              <w:ind w:left="480" w:hanging="240"/>
              <w:jc w:val="left"/>
              <w:rPr>
                <w:rFonts w:ascii="Arial Narrow" w:hAnsi="Arial Narrow"/>
              </w:rPr>
            </w:pPr>
            <w:r w:rsidRPr="008E21BC">
              <w:rPr>
                <w:rFonts w:ascii="Arial Narrow" w:hAnsi="Arial Narrow" w:cs="Arial"/>
                <w:sz w:val="20"/>
                <w:szCs w:val="20"/>
              </w:rPr>
              <w:t>Total realized and unrealized gains (losses):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Included in other income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Included in other comprehensive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end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 xml:space="preserve">Change in unrealized gains (losses) included in other income (expense) related to assets held as of June 30, </w:t>
            </w:r>
            <w:r w:rsidR="008E21BC">
              <w:rPr>
                <w:rFonts w:ascii="Arial Narrow" w:hAnsi="Arial Narrow" w:cs="Arial"/>
                <w:sz w:val="20"/>
                <w:szCs w:val="20"/>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16"/>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240"/>
          <w:jc w:val="center"/>
        </w:trPr>
        <w:tc>
          <w:tcPr>
            <w:tcW w:w="0" w:type="auto"/>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c>
          <w:tcPr>
            <w:tcW w:w="0" w:type="auto"/>
            <w:gridSpan w:val="4"/>
            <w:vAlign w:val="center"/>
          </w:tcPr>
          <w:p w:rsidR="00F94E14" w:rsidRPr="008E21BC" w:rsidRDefault="00F94E14">
            <w:pPr>
              <w:rPr>
                <w:rFonts w:ascii="Arial Narrow" w:hAnsi="Arial Narrow"/>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Corporate</w:t>
            </w:r>
            <w:r w:rsidRPr="008E21BC">
              <w:rPr>
                <w:rFonts w:ascii="Arial Narrow" w:hAnsi="Arial Narrow" w:cs="Arial"/>
                <w:b/>
                <w:bCs/>
                <w:sz w:val="15"/>
                <w:szCs w:val="15"/>
              </w:rPr>
              <w:br/>
              <w:t>Notes and</w:t>
            </w:r>
            <w:r w:rsidRPr="008E21BC">
              <w:rPr>
                <w:rFonts w:ascii="Arial Narrow" w:hAnsi="Arial Narrow" w:cs="Arial"/>
                <w:b/>
                <w:bCs/>
                <w:sz w:val="15"/>
                <w:szCs w:val="15"/>
              </w:rPr>
              <w:br/>
              <w:t>Bonds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Common</w:t>
            </w:r>
            <w:r w:rsidRPr="008E21BC">
              <w:rPr>
                <w:rFonts w:ascii="Arial Narrow" w:hAnsi="Arial Narrow" w:cs="Arial"/>
                <w:b/>
                <w:bCs/>
                <w:sz w:val="15"/>
                <w:szCs w:val="15"/>
              </w:rPr>
              <w:br/>
              <w:t>and</w:t>
            </w:r>
            <w:r w:rsidRPr="008E21BC">
              <w:rPr>
                <w:rFonts w:ascii="Arial Narrow" w:hAnsi="Arial Narrow" w:cs="Arial"/>
                <w:b/>
                <w:bCs/>
                <w:sz w:val="15"/>
                <w:szCs w:val="15"/>
              </w:rPr>
              <w:br/>
              <w:t>Preferred</w:t>
            </w:r>
            <w:r w:rsidRPr="008E21BC">
              <w:rPr>
                <w:rFonts w:ascii="Arial Narrow" w:hAnsi="Arial Narrow" w:cs="Arial"/>
                <w:b/>
                <w:bCs/>
                <w:sz w:val="15"/>
                <w:szCs w:val="15"/>
              </w:rPr>
              <w:br/>
              <w:t>Stock</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Derivative</w:t>
            </w:r>
            <w:r w:rsidRPr="008E21BC">
              <w:rPr>
                <w:rFonts w:ascii="Arial Narrow" w:hAnsi="Arial Narrow" w:cs="Arial"/>
                <w:b/>
                <w:bCs/>
                <w:sz w:val="15"/>
                <w:szCs w:val="15"/>
              </w:rPr>
              <w:br/>
              <w:t>Assets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Total</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6"/>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Year Ended June 30, </w:t>
            </w:r>
            <w:r w:rsidR="008E21BC">
              <w:rPr>
                <w:rFonts w:ascii="Arial Narrow" w:hAnsi="Arial Narrow" w:cs="Arial"/>
                <w:b/>
                <w:bCs/>
                <w:sz w:val="15"/>
                <w:szCs w:val="15"/>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beginning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keepNext/>
              <w:ind w:left="480" w:hanging="240"/>
              <w:jc w:val="left"/>
              <w:rPr>
                <w:rFonts w:ascii="Arial Narrow" w:hAnsi="Arial Narrow"/>
              </w:rPr>
            </w:pPr>
            <w:r w:rsidRPr="008E21BC">
              <w:rPr>
                <w:rFonts w:ascii="Arial Narrow" w:hAnsi="Arial Narrow" w:cs="Arial"/>
                <w:sz w:val="20"/>
                <w:szCs w:val="20"/>
              </w:rPr>
              <w:t>Total realized and unrealized gains (losses):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Included in other income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720" w:hanging="240"/>
              <w:jc w:val="left"/>
              <w:rPr>
                <w:rFonts w:ascii="Arial Narrow" w:hAnsi="Arial Narrow"/>
              </w:rPr>
            </w:pPr>
            <w:r w:rsidRPr="008E21BC">
              <w:rPr>
                <w:rFonts w:ascii="Arial Narrow" w:hAnsi="Arial Narrow" w:cs="Arial"/>
                <w:sz w:val="20"/>
                <w:szCs w:val="20"/>
              </w:rPr>
              <w:t>Included in other comprehensive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E20399">
            <w:pPr>
              <w:pStyle w:val="NormalWeb"/>
              <w:ind w:left="480" w:hanging="240"/>
              <w:jc w:val="left"/>
              <w:rPr>
                <w:rFonts w:ascii="Arial Narrow" w:hAnsi="Arial Narrow"/>
              </w:rPr>
            </w:pPr>
            <w:r w:rsidRPr="008E21BC">
              <w:rPr>
                <w:rFonts w:ascii="Arial Narrow" w:hAnsi="Arial Narrow" w:cs="Arial"/>
                <w:sz w:val="20"/>
                <w:szCs w:val="20"/>
              </w:rPr>
              <w:t>Purchases, issuances, and settlements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Transfers in (out)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end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 xml:space="preserve">Change in unrealized gains (losses) included in other income (expense) related to assets held as of June 30, </w:t>
            </w:r>
            <w:r w:rsidR="008E21BC">
              <w:rPr>
                <w:rFonts w:ascii="Arial Narrow" w:hAnsi="Arial Narrow" w:cs="Arial"/>
                <w:sz w:val="20"/>
                <w:szCs w:val="20"/>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rsidP="00E20399">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Assets and Liabilities Measured at Fair Value on a Nonrecurring Basis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During fiscal years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impairment charges of $5 million and $86 million, respectively, were recognized for certain investments measured at fair value on a nonrecurring basis, as the decline in their respective fair values below their cost was determined to be other than temporary in all instances. At June 30,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the fair values of the common and preferred stocks that we held that were required to be measured at fair value on a non-recurring basis were $0 and $164 million, respectively. </w:t>
      </w:r>
    </w:p>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lastRenderedPageBreak/>
        <w:t xml:space="preserve">NOTE 7 — INVENTORIES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inventories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698"/>
        <w:gridCol w:w="297"/>
        <w:gridCol w:w="106"/>
        <w:gridCol w:w="379"/>
        <w:gridCol w:w="60"/>
        <w:gridCol w:w="297"/>
        <w:gridCol w:w="106"/>
        <w:gridCol w:w="379"/>
        <w:gridCol w:w="60"/>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gridSpan w:val="8"/>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Raw materials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172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170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Work in process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Finished goods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8 — PROPERTY AND EQUIPMENT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property and equipment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55"/>
        <w:gridCol w:w="281"/>
        <w:gridCol w:w="106"/>
        <w:gridCol w:w="607"/>
        <w:gridCol w:w="69"/>
        <w:gridCol w:w="282"/>
        <w:gridCol w:w="106"/>
        <w:gridCol w:w="607"/>
        <w:gridCol w:w="69"/>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gridSpan w:val="8"/>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Land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Buildings and improvements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6,087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5,886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Leasehold improvements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1,938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Computer equipment and software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5,673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4,989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Furniture and equipment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 at cost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16,259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15,082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Accumulated depreciation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(8,629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(7,547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 net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7,630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7,535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During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depreciation expense was $1.8 billion, $1.7 billion, and $1.4 billion, respectively. </w:t>
      </w:r>
    </w:p>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9 — BUSINESS COMBINATIONS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During fiscal year </w:t>
      </w:r>
      <w:r w:rsidR="008E21BC">
        <w:rPr>
          <w:rFonts w:ascii="Arial Narrow" w:hAnsi="Arial Narrow" w:cs="Arial"/>
          <w:sz w:val="20"/>
          <w:szCs w:val="20"/>
        </w:rPr>
        <w:t>2018</w:t>
      </w:r>
      <w:r w:rsidRPr="008E21BC">
        <w:rPr>
          <w:rFonts w:ascii="Arial Narrow" w:hAnsi="Arial Narrow" w:cs="Arial"/>
          <w:sz w:val="20"/>
          <w:szCs w:val="20"/>
        </w:rPr>
        <w:t xml:space="preserve">, we acquired five entities for total consideration of $267 million, substantially all of which was paid in cash. During this period, we also sold three entities for total consideration of $600 million, including Razorfish in the second quarter of fiscal year </w:t>
      </w:r>
      <w:r w:rsidR="008E21BC">
        <w:rPr>
          <w:rFonts w:ascii="Arial Narrow" w:hAnsi="Arial Narrow" w:cs="Arial"/>
          <w:sz w:val="20"/>
          <w:szCs w:val="20"/>
        </w:rPr>
        <w:t>2018</w:t>
      </w:r>
      <w:r w:rsidRPr="008E21BC">
        <w:rPr>
          <w:rFonts w:ascii="Arial Narrow" w:hAnsi="Arial Narrow" w:cs="Arial"/>
          <w:sz w:val="20"/>
          <w:szCs w:val="20"/>
        </w:rPr>
        <w:t xml:space="preserve">. These entities have been included in or removed from our consolidated results of operations since their acquisition or sale dates, respectively. Pro forma results of operations have not been presented because the effects of these business combinations, individually and in the aggregate, were not material to our consolidated results of operations. </w:t>
      </w:r>
    </w:p>
    <w:p w:rsidR="00F94E14" w:rsidRPr="008E21BC" w:rsidRDefault="00F94E14" w:rsidP="00E20399">
      <w:pPr>
        <w:pStyle w:val="NormalWeb"/>
        <w:pageBreakBefore/>
        <w:spacing w:before="0" w:beforeAutospacing="0" w:after="0" w:afterAutospacing="0"/>
        <w:jc w:val="center"/>
        <w:rPr>
          <w:rFonts w:ascii="Arial Narrow" w:hAnsi="Arial Narrow"/>
        </w:rPr>
      </w:pPr>
      <w:r w:rsidRPr="008E21BC">
        <w:rPr>
          <w:rFonts w:ascii="Arial Narrow" w:hAnsi="Arial Narrow" w:cs="Arial"/>
          <w:sz w:val="20"/>
          <w:szCs w:val="20"/>
          <w:u w:val="single"/>
        </w:rPr>
        <w:lastRenderedPageBreak/>
        <w:t xml:space="preserve">NOTE 10 — GOODWILL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Changes in the carrying amount of goodwill for fiscal years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by segment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2590"/>
        <w:gridCol w:w="305"/>
        <w:gridCol w:w="106"/>
        <w:gridCol w:w="607"/>
        <w:gridCol w:w="60"/>
        <w:gridCol w:w="305"/>
        <w:gridCol w:w="168"/>
        <w:gridCol w:w="599"/>
        <w:gridCol w:w="60"/>
        <w:gridCol w:w="305"/>
        <w:gridCol w:w="154"/>
        <w:gridCol w:w="619"/>
        <w:gridCol w:w="69"/>
        <w:gridCol w:w="305"/>
        <w:gridCol w:w="106"/>
        <w:gridCol w:w="607"/>
        <w:gridCol w:w="60"/>
        <w:gridCol w:w="305"/>
        <w:gridCol w:w="168"/>
        <w:gridCol w:w="599"/>
        <w:gridCol w:w="60"/>
        <w:gridCol w:w="305"/>
        <w:gridCol w:w="154"/>
        <w:gridCol w:w="619"/>
        <w:gridCol w:w="69"/>
        <w:gridCol w:w="305"/>
        <w:gridCol w:w="106"/>
        <w:gridCol w:w="607"/>
        <w:gridCol w:w="60"/>
      </w:tblGrid>
      <w:tr w:rsidR="00F94E14" w:rsidRPr="008E21BC">
        <w:trPr>
          <w:tblHeader/>
          <w:jc w:val="center"/>
        </w:trPr>
        <w:tc>
          <w:tcPr>
            <w:tcW w:w="1700" w:type="pct"/>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Balance as</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of June 30,</w:t>
            </w:r>
          </w:p>
          <w:p w:rsidR="00F94E14" w:rsidRPr="008E21BC" w:rsidRDefault="008E21BC">
            <w:pPr>
              <w:pStyle w:val="NormalWeb"/>
              <w:spacing w:before="0" w:beforeAutospacing="0" w:after="15" w:afterAutospacing="0"/>
              <w:jc w:val="right"/>
              <w:rPr>
                <w:rFonts w:ascii="Arial Narrow" w:hAnsi="Arial Narrow"/>
              </w:rPr>
            </w:pPr>
            <w:r>
              <w:rPr>
                <w:rFonts w:ascii="Arial Narrow" w:hAnsi="Arial Narrow" w:cs="Arial"/>
                <w:b/>
                <w:bCs/>
                <w:sz w:val="15"/>
                <w:szCs w:val="15"/>
              </w:rPr>
              <w:t>2016</w:t>
            </w:r>
            <w:r w:rsidR="00F94E14" w:rsidRPr="008E21BC">
              <w:rPr>
                <w:rFonts w:ascii="Arial Narrow" w:hAnsi="Arial Narrow" w:cs="Arial"/>
                <w:sz w:val="15"/>
                <w:szCs w:val="15"/>
              </w:rPr>
              <w:t xml:space="preserve">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Acquisitions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Purchase</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Accounting</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Adjustments</w:t>
            </w:r>
            <w:r w:rsidRPr="008E21BC">
              <w:rPr>
                <w:rFonts w:ascii="Arial Narrow" w:hAnsi="Arial Narrow" w:cs="Arial"/>
                <w:sz w:val="15"/>
                <w:szCs w:val="15"/>
              </w:rPr>
              <w:t xml:space="preserve"> </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and Other</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Balance as</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of June 30,</w:t>
            </w:r>
          </w:p>
          <w:p w:rsidR="00F94E14" w:rsidRPr="008E21BC" w:rsidRDefault="008E21BC">
            <w:pPr>
              <w:pStyle w:val="NormalWeb"/>
              <w:spacing w:before="0" w:beforeAutospacing="0" w:after="15" w:afterAutospacing="0"/>
              <w:jc w:val="right"/>
              <w:rPr>
                <w:rFonts w:ascii="Arial Narrow" w:hAnsi="Arial Narrow"/>
              </w:rPr>
            </w:pPr>
            <w:r>
              <w:rPr>
                <w:rFonts w:ascii="Arial Narrow" w:hAnsi="Arial Narrow" w:cs="Arial"/>
                <w:b/>
                <w:bCs/>
                <w:sz w:val="15"/>
                <w:szCs w:val="15"/>
              </w:rPr>
              <w:t>2017</w:t>
            </w:r>
            <w:r w:rsidR="00F94E14" w:rsidRPr="008E21BC">
              <w:rPr>
                <w:rFonts w:ascii="Arial Narrow" w:hAnsi="Arial Narrow" w:cs="Arial"/>
                <w:sz w:val="15"/>
                <w:szCs w:val="15"/>
              </w:rPr>
              <w:t xml:space="preserve">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Acquisitions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Purchase</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Accounting</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Adjustments</w:t>
            </w:r>
            <w:r w:rsidRPr="008E21BC">
              <w:rPr>
                <w:rFonts w:ascii="Arial Narrow" w:hAnsi="Arial Narrow" w:cs="Arial"/>
                <w:sz w:val="15"/>
                <w:szCs w:val="15"/>
              </w:rPr>
              <w:t xml:space="preserve"> </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and Other</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Balance as</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of June 30,</w:t>
            </w:r>
          </w:p>
          <w:p w:rsidR="00F94E14" w:rsidRPr="008E21BC" w:rsidRDefault="008E21BC">
            <w:pPr>
              <w:pStyle w:val="NormalWeb"/>
              <w:spacing w:before="0" w:beforeAutospacing="0" w:after="15" w:afterAutospacing="0"/>
              <w:jc w:val="right"/>
              <w:rPr>
                <w:rFonts w:ascii="Arial Narrow" w:hAnsi="Arial Narrow"/>
              </w:rPr>
            </w:pPr>
            <w:r>
              <w:rPr>
                <w:rFonts w:ascii="Arial Narrow" w:hAnsi="Arial Narrow" w:cs="Arial"/>
                <w:b/>
                <w:bCs/>
                <w:sz w:val="15"/>
                <w:szCs w:val="15"/>
              </w:rPr>
              <w:t>2018</w:t>
            </w:r>
            <w:r w:rsidR="00F94E14" w:rsidRPr="008E21BC">
              <w:rPr>
                <w:rFonts w:ascii="Arial Narrow" w:hAnsi="Arial Narrow" w:cs="Arial"/>
                <w:sz w:val="15"/>
                <w:szCs w:val="15"/>
              </w:rPr>
              <w:t xml:space="preserve">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2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Windows &amp; Windows Live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Server and Tools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738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1,038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Online Services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6,274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447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6,657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(284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6,373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8E21BC" w:rsidP="00E20399">
            <w:pPr>
              <w:pStyle w:val="NormalWeb"/>
              <w:ind w:left="240" w:hanging="240"/>
              <w:jc w:val="left"/>
              <w:rPr>
                <w:rFonts w:ascii="Arial Narrow" w:hAnsi="Arial Narrow"/>
              </w:rPr>
            </w:pPr>
            <w:r>
              <w:rPr>
                <w:rFonts w:ascii="Arial Narrow" w:hAnsi="Arial Narrow" w:cs="Arial"/>
                <w:sz w:val="20"/>
                <w:szCs w:val="20"/>
              </w:rPr>
              <w:t>Espresso</w:t>
            </w:r>
            <w:r w:rsidR="00F94E14" w:rsidRPr="008E21BC">
              <w:rPr>
                <w:rFonts w:ascii="Arial Narrow" w:hAnsi="Arial Narrow" w:cs="Arial"/>
                <w:sz w:val="20"/>
                <w:szCs w:val="20"/>
              </w:rPr>
              <w:t xml:space="preserve"> Business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4,191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3,927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4,024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rsidP="00E20399">
            <w:pPr>
              <w:pStyle w:val="NormalWeb"/>
              <w:ind w:left="240" w:hanging="240"/>
              <w:jc w:val="left"/>
              <w:rPr>
                <w:rFonts w:ascii="Arial Narrow" w:hAnsi="Arial Narrow"/>
              </w:rPr>
            </w:pPr>
            <w:r w:rsidRPr="008E21BC">
              <w:rPr>
                <w:rFonts w:ascii="Arial Narrow" w:hAnsi="Arial Narrow" w:cs="Arial"/>
                <w:sz w:val="20"/>
                <w:szCs w:val="20"/>
              </w:rPr>
              <w:t>Entertainment and Devices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12,108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739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(344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12,503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(307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12,394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None of the amounts recorded as goodwill are expected to be deductible for tax purposes. The measurement period for purchase price allocations ends as soon as information on the facts and circumstances becomes available, but will not exceed 12 months. Adjustments in the purchase price allocation may require a recasting of the amounts allocated to goodwill retroactive to the period in which the acquisition occurred. Any change in the goodwill amounts resulting from foreign currency translations are presented as “other” in the above table. Also included within “other” for fiscal year </w:t>
      </w:r>
      <w:r w:rsidR="008E21BC">
        <w:rPr>
          <w:rFonts w:ascii="Arial Narrow" w:hAnsi="Arial Narrow" w:cs="Arial"/>
          <w:sz w:val="20"/>
          <w:szCs w:val="20"/>
        </w:rPr>
        <w:t>2018</w:t>
      </w:r>
      <w:r w:rsidRPr="008E21BC">
        <w:rPr>
          <w:rFonts w:ascii="Arial Narrow" w:hAnsi="Arial Narrow" w:cs="Arial"/>
          <w:sz w:val="20"/>
          <w:szCs w:val="20"/>
        </w:rPr>
        <w:t xml:space="preserve"> is $285 million of goodwill associated with business dispositions. See also Note 9 – Business Combinations.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test goodwill for impairment annually on May 1 at the reporting unit level using a fair value approach. No impairment of goodwill was identified as of May 1, </w:t>
      </w:r>
      <w:r w:rsidR="008E21BC">
        <w:rPr>
          <w:rFonts w:ascii="Arial Narrow" w:hAnsi="Arial Narrow" w:cs="Arial"/>
          <w:sz w:val="20"/>
          <w:szCs w:val="20"/>
        </w:rPr>
        <w:t>2018</w:t>
      </w:r>
      <w:r w:rsidRPr="008E21BC">
        <w:rPr>
          <w:rFonts w:ascii="Arial Narrow" w:hAnsi="Arial Narrow" w:cs="Arial"/>
          <w:sz w:val="20"/>
          <w:szCs w:val="20"/>
        </w:rPr>
        <w:t xml:space="preserve">. In connection with the disposal of Razorfish, we performed an interim impairment analysis of our Online Services Division goodwill balance during the first quarter of fiscal year </w:t>
      </w:r>
      <w:r w:rsidR="008E21BC">
        <w:rPr>
          <w:rFonts w:ascii="Arial Narrow" w:hAnsi="Arial Narrow" w:cs="Arial"/>
          <w:sz w:val="20"/>
          <w:szCs w:val="20"/>
        </w:rPr>
        <w:t>2018</w:t>
      </w:r>
      <w:r w:rsidRPr="008E21BC">
        <w:rPr>
          <w:rFonts w:ascii="Arial Narrow" w:hAnsi="Arial Narrow" w:cs="Arial"/>
          <w:sz w:val="20"/>
          <w:szCs w:val="20"/>
        </w:rPr>
        <w:t xml:space="preserve">. No impairment of goodwill was identified. </w:t>
      </w:r>
    </w:p>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11 — INTANGIBLE ASSETS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intangible assets, all of which are finite-lived,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992"/>
        <w:gridCol w:w="272"/>
        <w:gridCol w:w="106"/>
        <w:gridCol w:w="516"/>
        <w:gridCol w:w="60"/>
        <w:gridCol w:w="272"/>
        <w:gridCol w:w="125"/>
        <w:gridCol w:w="676"/>
        <w:gridCol w:w="69"/>
        <w:gridCol w:w="272"/>
        <w:gridCol w:w="131"/>
        <w:gridCol w:w="636"/>
        <w:gridCol w:w="60"/>
        <w:gridCol w:w="272"/>
        <w:gridCol w:w="106"/>
        <w:gridCol w:w="516"/>
        <w:gridCol w:w="60"/>
        <w:gridCol w:w="272"/>
        <w:gridCol w:w="125"/>
        <w:gridCol w:w="676"/>
        <w:gridCol w:w="69"/>
        <w:gridCol w:w="272"/>
        <w:gridCol w:w="131"/>
        <w:gridCol w:w="636"/>
        <w:gridCol w:w="60"/>
      </w:tblGrid>
      <w:tr w:rsidR="00F94E14" w:rsidRPr="008E21BC">
        <w:trPr>
          <w:tblHeader/>
          <w:jc w:val="center"/>
        </w:trPr>
        <w:tc>
          <w:tcPr>
            <w:tcW w:w="22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Gross</w:t>
            </w:r>
            <w:r w:rsidRPr="008E21BC">
              <w:rPr>
                <w:rFonts w:ascii="Arial Narrow" w:hAnsi="Arial Narrow" w:cs="Arial"/>
                <w:b/>
                <w:bCs/>
                <w:sz w:val="15"/>
                <w:szCs w:val="15"/>
              </w:rPr>
              <w:br/>
              <w:t>Carrying</w:t>
            </w:r>
            <w:r w:rsidRPr="008E21BC">
              <w:rPr>
                <w:rFonts w:ascii="Arial Narrow" w:hAnsi="Arial Narrow" w:cs="Arial"/>
                <w:b/>
                <w:bCs/>
                <w:sz w:val="15"/>
                <w:szCs w:val="15"/>
              </w:rPr>
              <w:b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Accumulated</w:t>
            </w:r>
            <w:r w:rsidRPr="008E21BC">
              <w:rPr>
                <w:rFonts w:ascii="Arial Narrow" w:hAnsi="Arial Narrow" w:cs="Arial"/>
                <w:b/>
                <w:bCs/>
                <w:sz w:val="15"/>
                <w:szCs w:val="15"/>
              </w:rPr>
              <w:br/>
              <w:t>Amortization</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Net Carrying</w:t>
            </w:r>
            <w:r w:rsidRPr="008E21BC">
              <w:rPr>
                <w:rFonts w:ascii="Arial Narrow" w:hAnsi="Arial Narrow" w:cs="Arial"/>
                <w:b/>
                <w:bCs/>
                <w:sz w:val="15"/>
                <w:szCs w:val="15"/>
              </w:rPr>
              <w:b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Gross</w:t>
            </w:r>
            <w:r w:rsidRPr="008E21BC">
              <w:rPr>
                <w:rFonts w:ascii="Arial Narrow" w:hAnsi="Arial Narrow" w:cs="Arial"/>
                <w:b/>
                <w:bCs/>
                <w:sz w:val="15"/>
                <w:szCs w:val="15"/>
              </w:rPr>
              <w:br/>
              <w:t>Carrying</w:t>
            </w:r>
            <w:r w:rsidRPr="008E21BC">
              <w:rPr>
                <w:rFonts w:ascii="Arial Narrow" w:hAnsi="Arial Narrow" w:cs="Arial"/>
                <w:b/>
                <w:bCs/>
                <w:sz w:val="15"/>
                <w:szCs w:val="15"/>
              </w:rPr>
              <w:b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Accumulated</w:t>
            </w:r>
            <w:r w:rsidRPr="008E21BC">
              <w:rPr>
                <w:rFonts w:ascii="Arial Narrow" w:hAnsi="Arial Narrow" w:cs="Arial"/>
                <w:b/>
                <w:bCs/>
                <w:sz w:val="15"/>
                <w:szCs w:val="15"/>
              </w:rPr>
              <w:br/>
              <w:t>Amortization</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Net Carrying</w:t>
            </w:r>
            <w:r w:rsidRPr="008E21BC">
              <w:rPr>
                <w:rFonts w:ascii="Arial Narrow" w:hAnsi="Arial Narrow" w:cs="Arial"/>
                <w:b/>
                <w:bCs/>
                <w:sz w:val="15"/>
                <w:szCs w:val="15"/>
              </w:rPr>
              <w:b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2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Contract-based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(914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(855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Technology-based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2,308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(1,521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(1,090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Marketing-related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Customer-related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390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493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3,887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(2,729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1,158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4,040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(2,281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1,759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estimate that we have no significant residual value related to our intangible assets. No material impairments of intangible assets were identified during any of the periods presented.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The components of intangible assets acquired during fiscal years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55"/>
        <w:gridCol w:w="171"/>
        <w:gridCol w:w="108"/>
        <w:gridCol w:w="385"/>
        <w:gridCol w:w="60"/>
        <w:gridCol w:w="172"/>
        <w:gridCol w:w="767"/>
        <w:gridCol w:w="172"/>
        <w:gridCol w:w="108"/>
        <w:gridCol w:w="385"/>
        <w:gridCol w:w="60"/>
        <w:gridCol w:w="172"/>
        <w:gridCol w:w="767"/>
      </w:tblGrid>
      <w:tr w:rsidR="00F94E14" w:rsidRPr="008E21BC">
        <w:trPr>
          <w:tblHeader/>
          <w:jc w:val="center"/>
        </w:trPr>
        <w:tc>
          <w:tcPr>
            <w:tcW w:w="4100" w:type="pct"/>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Weighted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Average Life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Weighted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Average Life</w:t>
            </w:r>
          </w:p>
        </w:tc>
      </w:tr>
      <w:tr w:rsidR="00F94E14" w:rsidRPr="008E21BC">
        <w:trPr>
          <w:jc w:val="center"/>
        </w:trPr>
        <w:tc>
          <w:tcPr>
            <w:tcW w:w="0" w:type="auto"/>
            <w:gridSpan w:val="13"/>
            <w:vAlign w:val="bottom"/>
          </w:tcPr>
          <w:p w:rsidR="00F94E14" w:rsidRPr="008E21BC" w:rsidRDefault="00F94E14">
            <w:pPr>
              <w:pStyle w:val="rrdsinglerule"/>
              <w:rPr>
                <w:rFonts w:ascii="Arial Narrow" w:hAnsi="Arial Narrow"/>
              </w:rPr>
            </w:pPr>
            <w:r w:rsidRPr="008E21BC">
              <w:rPr>
                <w:rFonts w:ascii="Arial Narrow" w:hAnsi="Arial Narrow"/>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Contract-based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 years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 years</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Technology-based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 years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293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 years</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Marketing-related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 years</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Customer-related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 years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 years</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343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354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bl>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Intangible assets amortization expense was $707 million, $591 million, and $472 million for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The following table outlines the estimated future amortization expense related to intangible assets held at June 30, </w:t>
      </w:r>
      <w:r w:rsidR="008E21BC">
        <w:rPr>
          <w:rFonts w:ascii="Arial Narrow" w:hAnsi="Arial Narrow" w:cs="Arial"/>
          <w:sz w:val="20"/>
          <w:szCs w:val="20"/>
        </w:rPr>
        <w:t>2018</w:t>
      </w:r>
      <w:r w:rsidRPr="008E21BC">
        <w:rPr>
          <w:rFonts w:ascii="Arial Narrow" w:hAnsi="Arial Narrow" w:cs="Arial"/>
          <w:sz w:val="20"/>
          <w:szCs w:val="20"/>
        </w:rPr>
        <w:t xml:space="preserve">: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291"/>
        <w:gridCol w:w="409"/>
        <w:gridCol w:w="106"/>
        <w:gridCol w:w="516"/>
        <w:gridCol w:w="60"/>
      </w:tblGrid>
      <w:tr w:rsidR="00F94E14" w:rsidRPr="008E21BC">
        <w:trPr>
          <w:tblHeader/>
          <w:jc w:val="center"/>
        </w:trPr>
        <w:tc>
          <w:tcPr>
            <w:tcW w:w="4550" w:type="pct"/>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Ending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2011</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2012</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2013</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2014</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2015 and thereafter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1,158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12 — DEBT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September </w:t>
      </w:r>
      <w:r w:rsidR="008E21BC">
        <w:rPr>
          <w:rFonts w:ascii="Arial Narrow" w:hAnsi="Arial Narrow" w:cs="Arial"/>
          <w:sz w:val="20"/>
          <w:szCs w:val="20"/>
        </w:rPr>
        <w:t>2016</w:t>
      </w:r>
      <w:r w:rsidRPr="008E21BC">
        <w:rPr>
          <w:rFonts w:ascii="Arial Narrow" w:hAnsi="Arial Narrow" w:cs="Arial"/>
          <w:sz w:val="20"/>
          <w:szCs w:val="20"/>
        </w:rPr>
        <w:t xml:space="preserve">, our Board of Directors authorized debt financings of up to $6.0 billion. As of June 30, </w:t>
      </w:r>
      <w:r w:rsidR="008E21BC">
        <w:rPr>
          <w:rFonts w:ascii="Arial Narrow" w:hAnsi="Arial Narrow" w:cs="Arial"/>
          <w:sz w:val="20"/>
          <w:szCs w:val="20"/>
        </w:rPr>
        <w:t>2018</w:t>
      </w:r>
      <w:r w:rsidRPr="008E21BC">
        <w:rPr>
          <w:rFonts w:ascii="Arial Narrow" w:hAnsi="Arial Narrow" w:cs="Arial"/>
          <w:sz w:val="20"/>
          <w:szCs w:val="20"/>
        </w:rPr>
        <w:t xml:space="preserve">, we had $6.0 billion of issued and outstanding debt comprised of $1.0 billion of commercial paper and $5.0 billion of long-term debt, including $1.25 billion of convertible debt. Cash paid for interest on our debt for fiscal year </w:t>
      </w:r>
      <w:r w:rsidR="008E21BC">
        <w:rPr>
          <w:rFonts w:ascii="Arial Narrow" w:hAnsi="Arial Narrow" w:cs="Arial"/>
          <w:sz w:val="20"/>
          <w:szCs w:val="20"/>
        </w:rPr>
        <w:t>2018</w:t>
      </w:r>
      <w:r w:rsidRPr="008E21BC">
        <w:rPr>
          <w:rFonts w:ascii="Arial Narrow" w:hAnsi="Arial Narrow" w:cs="Arial"/>
          <w:sz w:val="20"/>
          <w:szCs w:val="20"/>
        </w:rPr>
        <w:t xml:space="preserve"> was $145 million. No cash was paid for interest on our debt for fiscal years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Short-term Debt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As of June 30, </w:t>
      </w:r>
      <w:r w:rsidR="008E21BC">
        <w:rPr>
          <w:rFonts w:ascii="Arial Narrow" w:hAnsi="Arial Narrow" w:cs="Arial"/>
          <w:sz w:val="20"/>
          <w:szCs w:val="20"/>
        </w:rPr>
        <w:t>2018</w:t>
      </w:r>
      <w:r w:rsidRPr="008E21BC">
        <w:rPr>
          <w:rFonts w:ascii="Arial Narrow" w:hAnsi="Arial Narrow" w:cs="Arial"/>
          <w:sz w:val="20"/>
          <w:szCs w:val="20"/>
        </w:rPr>
        <w:t xml:space="preserve">, our $1.0 billion of commercial paper issued and outstanding had a weighted average interest rate, including issuance costs, of 0.20% and maturities of 22 to 216 days. The estimated fair value of this commercial paper approximates its carrying value.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November </w:t>
      </w:r>
      <w:r w:rsidR="008E21BC">
        <w:rPr>
          <w:rFonts w:ascii="Arial Narrow" w:hAnsi="Arial Narrow" w:cs="Arial"/>
          <w:sz w:val="20"/>
          <w:szCs w:val="20"/>
        </w:rPr>
        <w:t>2017</w:t>
      </w:r>
      <w:r w:rsidRPr="008E21BC">
        <w:rPr>
          <w:rFonts w:ascii="Arial Narrow" w:hAnsi="Arial Narrow" w:cs="Arial"/>
          <w:sz w:val="20"/>
          <w:szCs w:val="20"/>
        </w:rPr>
        <w:t xml:space="preserve">, we replaced our $2.0 billion and $1.0 billion credit facilities with a $2.25 billion 364-day credit facility, which expires on November 5, </w:t>
      </w:r>
      <w:r w:rsidR="008E21BC">
        <w:rPr>
          <w:rFonts w:ascii="Arial Narrow" w:hAnsi="Arial Narrow" w:cs="Arial"/>
          <w:sz w:val="20"/>
          <w:szCs w:val="20"/>
        </w:rPr>
        <w:t>2018</w:t>
      </w:r>
      <w:r w:rsidRPr="008E21BC">
        <w:rPr>
          <w:rFonts w:ascii="Arial Narrow" w:hAnsi="Arial Narrow" w:cs="Arial"/>
          <w:sz w:val="20"/>
          <w:szCs w:val="20"/>
        </w:rPr>
        <w:t xml:space="preserve">. This facility serves as a back-up for our commercial paper program. In June </w:t>
      </w:r>
      <w:r w:rsidR="008E21BC">
        <w:rPr>
          <w:rFonts w:ascii="Arial Narrow" w:hAnsi="Arial Narrow" w:cs="Arial"/>
          <w:sz w:val="20"/>
          <w:szCs w:val="20"/>
        </w:rPr>
        <w:t>2018</w:t>
      </w:r>
      <w:r w:rsidRPr="008E21BC">
        <w:rPr>
          <w:rFonts w:ascii="Arial Narrow" w:hAnsi="Arial Narrow" w:cs="Arial"/>
          <w:sz w:val="20"/>
          <w:szCs w:val="20"/>
        </w:rPr>
        <w:t xml:space="preserve">, we reduced the size of our credit facility from $2.25 billion to $1.0 billion due to the reduction in commercial paper outstanding. As of June 30, </w:t>
      </w:r>
      <w:r w:rsidR="008E21BC">
        <w:rPr>
          <w:rFonts w:ascii="Arial Narrow" w:hAnsi="Arial Narrow" w:cs="Arial"/>
          <w:sz w:val="20"/>
          <w:szCs w:val="20"/>
        </w:rPr>
        <w:t>2018</w:t>
      </w:r>
      <w:r w:rsidRPr="008E21BC">
        <w:rPr>
          <w:rFonts w:ascii="Arial Narrow" w:hAnsi="Arial Narrow" w:cs="Arial"/>
          <w:sz w:val="20"/>
          <w:szCs w:val="20"/>
        </w:rPr>
        <w:t xml:space="preserve">, we were in compliance with the financial covenant in the credit facility agreement, which requires a coverage ratio be maintained of at least three times earnings before interest, taxes, depreciation, and amortization to interest expense. No amounts were drawn against the credit facility during any of the periods presented.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Long-term Debt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i/>
          <w:iCs/>
          <w:sz w:val="20"/>
          <w:szCs w:val="20"/>
        </w:rPr>
        <w:t xml:space="preserve">Notes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As of June 30, </w:t>
      </w:r>
      <w:r w:rsidR="008E21BC">
        <w:rPr>
          <w:rFonts w:ascii="Arial Narrow" w:hAnsi="Arial Narrow" w:cs="Arial"/>
          <w:sz w:val="20"/>
          <w:szCs w:val="20"/>
        </w:rPr>
        <w:t>2018</w:t>
      </w:r>
      <w:r w:rsidRPr="008E21BC">
        <w:rPr>
          <w:rFonts w:ascii="Arial Narrow" w:hAnsi="Arial Narrow" w:cs="Arial"/>
          <w:sz w:val="20"/>
          <w:szCs w:val="20"/>
        </w:rPr>
        <w:t xml:space="preserve">, we had issued and outstanding $3.75 billion of debt securities as illustrated in the table below (collectively “the Notes”). Interest on the Notes is payable semi-annually on June 1 and December 1 of each year, to holders of record on the preceding May 15 and November 15. The Notes are senior unsecured obligations and rank equally with our other unsecured and unsubordinated debt outstanding. </w:t>
      </w:r>
    </w:p>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pPr>
        <w:pStyle w:val="NormalWeb"/>
        <w:keepNext/>
        <w:spacing w:before="0" w:beforeAutospacing="0" w:after="0" w:afterAutospacing="0"/>
        <w:rPr>
          <w:rFonts w:ascii="Arial Narrow" w:hAnsi="Arial Narrow"/>
        </w:rPr>
      </w:pPr>
      <w:r w:rsidRPr="008E21BC">
        <w:rPr>
          <w:rFonts w:ascii="Arial Narrow" w:hAnsi="Arial Narrow" w:cs="Arial"/>
          <w:i/>
          <w:iCs/>
          <w:sz w:val="20"/>
          <w:szCs w:val="20"/>
        </w:rPr>
        <w:t xml:space="preserve">Convertible Debt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June </w:t>
      </w:r>
      <w:r w:rsidR="008E21BC">
        <w:rPr>
          <w:rFonts w:ascii="Arial Narrow" w:hAnsi="Arial Narrow" w:cs="Arial"/>
          <w:sz w:val="20"/>
          <w:szCs w:val="20"/>
        </w:rPr>
        <w:t>2018</w:t>
      </w:r>
      <w:r w:rsidRPr="008E21BC">
        <w:rPr>
          <w:rFonts w:ascii="Arial Narrow" w:hAnsi="Arial Narrow" w:cs="Arial"/>
          <w:sz w:val="20"/>
          <w:szCs w:val="20"/>
        </w:rPr>
        <w:t xml:space="preserve">, we issued $1.25 billion of zero coupon convertible unsecured debt due on June 15, 2013 in a private placement offering. Proceeds from the offering were $1.24 billion, net of fees and expenses which were capitalized. The majority of the proceeds were used to repay outstanding commercial paper, leaving $1.0 billion of commercial paper outstanding as of June 30, </w:t>
      </w:r>
      <w:r w:rsidR="008E21BC">
        <w:rPr>
          <w:rFonts w:ascii="Arial Narrow" w:hAnsi="Arial Narrow" w:cs="Arial"/>
          <w:sz w:val="20"/>
          <w:szCs w:val="20"/>
        </w:rPr>
        <w:t>2018</w:t>
      </w:r>
      <w:r w:rsidRPr="008E21BC">
        <w:rPr>
          <w:rFonts w:ascii="Arial Narrow" w:hAnsi="Arial Narrow" w:cs="Arial"/>
          <w:sz w:val="20"/>
          <w:szCs w:val="20"/>
        </w:rPr>
        <w:t xml:space="preserve">. Each $1,000 principal amount of notes is convertible into 29.94 shares of </w:t>
      </w:r>
      <w:r w:rsidR="008E21BC">
        <w:rPr>
          <w:rFonts w:ascii="Arial Narrow" w:hAnsi="Arial Narrow" w:cs="Arial"/>
          <w:sz w:val="20"/>
          <w:szCs w:val="20"/>
        </w:rPr>
        <w:t>Espresso</w:t>
      </w:r>
      <w:r w:rsidRPr="008E21BC">
        <w:rPr>
          <w:rFonts w:ascii="Arial Narrow" w:hAnsi="Arial Narrow" w:cs="Arial"/>
          <w:sz w:val="20"/>
          <w:szCs w:val="20"/>
        </w:rPr>
        <w:t xml:space="preserve"> common stock at a conversion price of $33.40 per share.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lastRenderedPageBreak/>
        <w:t xml:space="preserve">Prior to March 15, 2013, the notes will be convertible, only in certain circumstances, into cash and, if applicable, cash, shares of </w:t>
      </w:r>
      <w:r w:rsidR="008E21BC">
        <w:rPr>
          <w:rFonts w:ascii="Arial Narrow" w:hAnsi="Arial Narrow" w:cs="Arial"/>
          <w:sz w:val="20"/>
          <w:szCs w:val="20"/>
        </w:rPr>
        <w:t>Espresso</w:t>
      </w:r>
      <w:r w:rsidRPr="008E21BC">
        <w:rPr>
          <w:rFonts w:ascii="Arial Narrow" w:hAnsi="Arial Narrow" w:cs="Arial"/>
          <w:sz w:val="20"/>
          <w:szCs w:val="20"/>
        </w:rPr>
        <w:t xml:space="preserve">’s common stock or a combination thereof, at our election. On or after March 15, 2013, the notes will be convertible at any time. Upon conversion, we will pay cash up to the aggregate principal amount of the notes and pay or deliver cash, shares of our common stock or a combination of cash and shares of our common stock, at our election.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Because the convertible debt may be wholly or partially settled in cash, we are required to separately account for the liability and equity components of the notes in a manner that reflects our nonconvertible debt borrowing rate when interest costs are recognized in subsequent periods. The net proceeds of $1.24 billion were allocated between debt for $1.18 billion and stockholders’ equity for $58 million with the portion in stockholders’ equity representing the fair value of the option to convert the debt.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connection with the issuance of the notes, we entered into capped call transactions with certain option counterparties who are initial purchasers of the notes or their affiliates. The capped call transactions are expected to reduce potential dilution of earnings per share upon conversion of the notes. Under the capped call transactions, we purchased from the option counterparties capped call options that in the aggregate relate to the total number of shares of our common stock underlying the notes, with a strike price equal to the conversion price of the notes and with a cap price equal to $37.16. The purchased capped calls were valued at $40 million and recorded to stockholders’ equity.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As of June 30, </w:t>
      </w:r>
      <w:r w:rsidR="008E21BC">
        <w:rPr>
          <w:rFonts w:ascii="Arial Narrow" w:hAnsi="Arial Narrow" w:cs="Arial"/>
          <w:sz w:val="20"/>
          <w:szCs w:val="20"/>
        </w:rPr>
        <w:t>2018</w:t>
      </w:r>
      <w:r w:rsidRPr="008E21BC">
        <w:rPr>
          <w:rFonts w:ascii="Arial Narrow" w:hAnsi="Arial Narrow" w:cs="Arial"/>
          <w:sz w:val="20"/>
          <w:szCs w:val="20"/>
        </w:rPr>
        <w:t xml:space="preserve">, the total carrying value and estimated fair value of our long-term debt, including convertible debt, were $4.94 billion and $5.21 billion, respectively. The estimate of fair value is based on quoted prices for our publicly-traded debt as of June 30, </w:t>
      </w:r>
      <w:r w:rsidR="008E21BC">
        <w:rPr>
          <w:rFonts w:ascii="Arial Narrow" w:hAnsi="Arial Narrow" w:cs="Arial"/>
          <w:sz w:val="20"/>
          <w:szCs w:val="20"/>
        </w:rPr>
        <w:t>2018</w:t>
      </w:r>
      <w:r w:rsidRPr="008E21BC">
        <w:rPr>
          <w:rFonts w:ascii="Arial Narrow" w:hAnsi="Arial Narrow" w:cs="Arial"/>
          <w:sz w:val="20"/>
          <w:szCs w:val="20"/>
        </w:rPr>
        <w:t xml:space="preserve">, as applicable. The effective interest yields of the Notes due in 2014, 2019, and 2039 were 3.00%, 4.29%, and 5.22%, respectively, at June 30, </w:t>
      </w:r>
      <w:r w:rsidR="008E21BC">
        <w:rPr>
          <w:rFonts w:ascii="Arial Narrow" w:hAnsi="Arial Narrow" w:cs="Arial"/>
          <w:sz w:val="20"/>
          <w:szCs w:val="20"/>
        </w:rPr>
        <w:t>2018</w:t>
      </w:r>
      <w:r w:rsidRPr="008E21BC">
        <w:rPr>
          <w:rFonts w:ascii="Arial Narrow" w:hAnsi="Arial Narrow" w:cs="Arial"/>
          <w:sz w:val="20"/>
          <w:szCs w:val="20"/>
        </w:rPr>
        <w:t xml:space="preserve">. The effective interest yield of the convertible debt due in 2013 is 1.85% at June 30, </w:t>
      </w:r>
      <w:r w:rsidR="008E21BC">
        <w:rPr>
          <w:rFonts w:ascii="Arial Narrow" w:hAnsi="Arial Narrow" w:cs="Arial"/>
          <w:sz w:val="20"/>
          <w:szCs w:val="20"/>
        </w:rPr>
        <w:t>2018</w:t>
      </w:r>
      <w:r w:rsidRPr="008E21BC">
        <w:rPr>
          <w:rFonts w:ascii="Arial Narrow" w:hAnsi="Arial Narrow" w:cs="Arial"/>
          <w:sz w:val="20"/>
          <w:szCs w:val="20"/>
        </w:rPr>
        <w:t xml:space="preserve"> and the coupon interest rate is zero percent.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long-term debt as of June 30, </w:t>
      </w:r>
      <w:r w:rsidR="008E21BC">
        <w:rPr>
          <w:rFonts w:ascii="Arial Narrow" w:hAnsi="Arial Narrow" w:cs="Arial"/>
          <w:sz w:val="20"/>
          <w:szCs w:val="20"/>
        </w:rPr>
        <w:t>2018</w:t>
      </w:r>
      <w:r w:rsidRPr="008E21BC">
        <w:rPr>
          <w:rFonts w:ascii="Arial Narrow" w:hAnsi="Arial Narrow" w:cs="Arial"/>
          <w:sz w:val="20"/>
          <w:szCs w:val="20"/>
        </w:rPr>
        <w:t xml:space="preserve">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282"/>
        <w:gridCol w:w="409"/>
        <w:gridCol w:w="106"/>
        <w:gridCol w:w="516"/>
        <w:gridCol w:w="69"/>
      </w:tblGrid>
      <w:tr w:rsidR="00F94E14" w:rsidRPr="008E21BC">
        <w:trPr>
          <w:tblHeader/>
          <w:jc w:val="center"/>
        </w:trPr>
        <w:tc>
          <w:tcPr>
            <w:tcW w:w="4550" w:type="pct"/>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Zero coupon convertible notes due on June 15, 2013</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2.95% Notes due on June 1, 2014</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4.20% Notes due on June 1, 2019</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5.20% Notes due on June 1, 2039</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Unamortized discount for Notes above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4,939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Maturities of long-term debt for the next five years are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291"/>
        <w:gridCol w:w="409"/>
        <w:gridCol w:w="106"/>
        <w:gridCol w:w="516"/>
        <w:gridCol w:w="60"/>
      </w:tblGrid>
      <w:tr w:rsidR="00F94E14" w:rsidRPr="008E21BC">
        <w:trPr>
          <w:tblHeader/>
          <w:jc w:val="center"/>
        </w:trPr>
        <w:tc>
          <w:tcPr>
            <w:tcW w:w="4550" w:type="pct"/>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Ending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2011</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2012</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2013</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2014</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2015</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Thereafter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5,000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pPr>
        <w:pStyle w:val="NormalWeb"/>
        <w:spacing w:before="0" w:beforeAutospacing="0" w:after="0" w:afterAutospacing="0"/>
        <w:rPr>
          <w:rFonts w:ascii="Arial Narrow" w:hAnsi="Arial Narrow"/>
          <w:sz w:val="2"/>
        </w:rPr>
      </w:pPr>
      <w:r w:rsidRPr="008E21BC">
        <w:rPr>
          <w:rFonts w:ascii="Arial Narrow" w:hAnsi="Arial Narrow"/>
          <w:sz w:val="2"/>
          <w:szCs w:val="15"/>
        </w:rPr>
        <w:t> </w:t>
      </w:r>
    </w:p>
    <w:p w:rsidR="00F94E14" w:rsidRPr="008E21BC" w:rsidRDefault="00F94E14" w:rsidP="00E20399">
      <w:pPr>
        <w:pStyle w:val="NormalWeb"/>
        <w:pageBreakBefore/>
        <w:spacing w:before="0" w:beforeAutospacing="0" w:after="0" w:afterAutospacing="0"/>
        <w:jc w:val="center"/>
        <w:rPr>
          <w:rFonts w:ascii="Arial Narrow" w:hAnsi="Arial Narrow"/>
        </w:rPr>
      </w:pPr>
      <w:r w:rsidRPr="008E21BC">
        <w:rPr>
          <w:rFonts w:ascii="Arial Narrow" w:hAnsi="Arial Narrow" w:cs="Arial"/>
          <w:sz w:val="20"/>
          <w:szCs w:val="20"/>
          <w:u w:val="single"/>
        </w:rPr>
        <w:lastRenderedPageBreak/>
        <w:t xml:space="preserve">NOTE 13 — INCOME TAXES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the provision for income taxes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75"/>
        <w:gridCol w:w="284"/>
        <w:gridCol w:w="106"/>
        <w:gridCol w:w="516"/>
        <w:gridCol w:w="69"/>
        <w:gridCol w:w="284"/>
        <w:gridCol w:w="106"/>
        <w:gridCol w:w="516"/>
        <w:gridCol w:w="60"/>
        <w:gridCol w:w="284"/>
        <w:gridCol w:w="106"/>
        <w:gridCol w:w="516"/>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gridSpan w:val="12"/>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Current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U.S. federal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4,415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3,159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4,357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U.S. state and local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International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1,007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Current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6,473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4,490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5,620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Deferred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Deferred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Provision for 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6,253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5,252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6,133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U.S. and international components of income before income taxes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39"/>
        <w:gridCol w:w="275"/>
        <w:gridCol w:w="107"/>
        <w:gridCol w:w="607"/>
        <w:gridCol w:w="60"/>
        <w:gridCol w:w="274"/>
        <w:gridCol w:w="106"/>
        <w:gridCol w:w="607"/>
        <w:gridCol w:w="60"/>
        <w:gridCol w:w="274"/>
        <w:gridCol w:w="106"/>
        <w:gridCol w:w="607"/>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gridSpan w:val="12"/>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9,575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5,529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12,682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International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15,438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14,292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11,132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Income before income taxes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25,013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19,821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23,814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items accounting for the difference between income taxes computed at the federal statutory rate and the provision for income taxes were as follows: </w:t>
      </w:r>
    </w:p>
    <w:p w:rsidR="00F94E14" w:rsidRPr="008E21BC" w:rsidRDefault="00F94E14">
      <w:pPr>
        <w:pStyle w:val="rrdsinglerule"/>
        <w:pBdr>
          <w:top w:val="single" w:sz="4" w:space="0" w:color="000000"/>
        </w:pBdr>
        <w:spacing w:before="180"/>
        <w:rPr>
          <w:rFonts w:ascii="Arial Narrow" w:hAnsi="Arial Narrow"/>
        </w:rPr>
      </w:pPr>
      <w:r w:rsidRPr="008E21BC">
        <w:rPr>
          <w:rFonts w:ascii="Arial Narrow" w:hAnsi="Arial Narrow"/>
        </w:rPr>
        <w:t> </w:t>
      </w:r>
    </w:p>
    <w:tbl>
      <w:tblPr>
        <w:tblW w:w="5000" w:type="pct"/>
        <w:jc w:val="center"/>
        <w:tblCellMar>
          <w:top w:w="14" w:type="dxa"/>
          <w:left w:w="0" w:type="dxa"/>
          <w:right w:w="14" w:type="dxa"/>
        </w:tblCellMar>
        <w:tblLook w:val="0000" w:firstRow="0" w:lastRow="0" w:firstColumn="0" w:lastColumn="0" w:noHBand="0" w:noVBand="0"/>
      </w:tblPr>
      <w:tblGrid>
        <w:gridCol w:w="8066"/>
        <w:gridCol w:w="204"/>
        <w:gridCol w:w="590"/>
        <w:gridCol w:w="60"/>
        <w:gridCol w:w="203"/>
        <w:gridCol w:w="498"/>
        <w:gridCol w:w="60"/>
        <w:gridCol w:w="203"/>
        <w:gridCol w:w="498"/>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rHeight w:val="75"/>
          <w:tblHeader/>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Federal statutory rate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35.0%</w:t>
            </w: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Effect of:</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Foreign earnings taxed at lower rates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(7.0)%</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Internal Revenue Service settlement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(5.8)%</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European Commission fine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Other reconciling items, net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w:t>
            </w:r>
          </w:p>
        </w:tc>
      </w:tr>
      <w:tr w:rsidR="00F94E14" w:rsidRPr="008E21BC">
        <w:trPr>
          <w:jc w:val="center"/>
        </w:trPr>
        <w:tc>
          <w:tcPr>
            <w:tcW w:w="0" w:type="auto"/>
            <w:gridSpan w:val="3"/>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Effective rate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25.8%</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general, other reconciling items consist of interest, U.S. state income taxes, domestic production deductions, and research credits. In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there were no individually significant other reconciling items.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The components of the deferred income tax assets and liabilities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40"/>
        <w:gridCol w:w="284"/>
        <w:gridCol w:w="106"/>
        <w:gridCol w:w="562"/>
        <w:gridCol w:w="69"/>
        <w:gridCol w:w="284"/>
        <w:gridCol w:w="106"/>
        <w:gridCol w:w="562"/>
        <w:gridCol w:w="69"/>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Deferred Income Tax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Stock-based compensation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1,329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2,004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 expense items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1,696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1,595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Unearned 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Impaired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289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 revenue items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Deferred income tax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3,950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4,698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Deferred Income Tax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International earnings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(1,056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(1,191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Unrealized gain on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(674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(516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(265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(499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Deferred income tax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(1,995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(2,206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Net deferred income tax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1,955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2,492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Reported As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Current deferred income tax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Long-term deferred income tax assets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720" w:hanging="240"/>
              <w:rPr>
                <w:rFonts w:ascii="Arial Narrow" w:hAnsi="Arial Narrow"/>
              </w:rPr>
            </w:pPr>
            <w:r w:rsidRPr="008E21BC">
              <w:rPr>
                <w:rFonts w:ascii="Arial Narrow" w:hAnsi="Arial Narrow" w:cs="Arial"/>
                <w:sz w:val="20"/>
                <w:szCs w:val="20"/>
              </w:rPr>
              <w:t>Net deferred income tax assets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1,955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2,492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actually paid or recovered.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have not provided deferred U.S. income taxes or foreign withholding taxes on temporary differences of approximately $29.5 billion resulting from earnings for certain non-U.S. subsidiaries which are permanently reinvested outside the U.S. The unrecognized deferred tax liability associated with these temporary differences is approximately $9.2 billion.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Income taxes paid were $4.1 billion, $6.6 billion, and $5.4 billion in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Uncertain Tax Positions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As of June 30, </w:t>
      </w:r>
      <w:r w:rsidR="008E21BC">
        <w:rPr>
          <w:rFonts w:ascii="Arial Narrow" w:hAnsi="Arial Narrow" w:cs="Arial"/>
          <w:sz w:val="20"/>
          <w:szCs w:val="20"/>
        </w:rPr>
        <w:t>2018</w:t>
      </w:r>
      <w:r w:rsidRPr="008E21BC">
        <w:rPr>
          <w:rFonts w:ascii="Arial Narrow" w:hAnsi="Arial Narrow" w:cs="Arial"/>
          <w:sz w:val="20"/>
          <w:szCs w:val="20"/>
        </w:rPr>
        <w:t xml:space="preserve">, we had $6.5 billion of unrecognized tax benefits of which $5.6 billion, if recognized, would affect our effective tax rate. As of June 30, </w:t>
      </w:r>
      <w:r w:rsidR="008E21BC">
        <w:rPr>
          <w:rFonts w:ascii="Arial Narrow" w:hAnsi="Arial Narrow" w:cs="Arial"/>
          <w:sz w:val="20"/>
          <w:szCs w:val="20"/>
        </w:rPr>
        <w:t>2017</w:t>
      </w:r>
      <w:r w:rsidRPr="008E21BC">
        <w:rPr>
          <w:rFonts w:ascii="Arial Narrow" w:hAnsi="Arial Narrow" w:cs="Arial"/>
          <w:sz w:val="20"/>
          <w:szCs w:val="20"/>
        </w:rPr>
        <w:t xml:space="preserve">, we had $5.4 billion of unrecognized tax benefits of which $4.4 billion, if recognized, would affect our effective tax rate.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Interest on unrecognized tax benefits was $193 million, $230 million, and $121 million in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As of June 30,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we had accrued interest related to uncertain tax positions of $747 million, $554 million, and $324 million, respectively, net of federal income tax benefits.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The aggregate changes in the balance of unrecognized tax benefits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159"/>
        <w:gridCol w:w="368"/>
        <w:gridCol w:w="106"/>
        <w:gridCol w:w="516"/>
        <w:gridCol w:w="69"/>
        <w:gridCol w:w="368"/>
        <w:gridCol w:w="106"/>
        <w:gridCol w:w="516"/>
        <w:gridCol w:w="69"/>
        <w:gridCol w:w="368"/>
        <w:gridCol w:w="106"/>
        <w:gridCol w:w="562"/>
        <w:gridCol w:w="69"/>
      </w:tblGrid>
      <w:tr w:rsidR="00F94E14" w:rsidRPr="008E21BC">
        <w:trPr>
          <w:tblHeader/>
          <w:jc w:val="center"/>
        </w:trPr>
        <w:tc>
          <w:tcPr>
            <w:tcW w:w="3900" w:type="pct"/>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gridSpan w:val="12"/>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beginning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5,403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3,195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7,076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Decreases related to settlements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(4,787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Increases for tax positions related to the current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Increases for tax positions related to prior years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Decreases for tax positions related to prior years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Reductions due to lapsed statute of limitations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end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6,542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5,403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3,195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are under audit by the IRS for the tax years 2004-2006. We do not believe it is reasonably possible that the total amount of unrecognized tax benefits will significantly increase or decrease within the next 12 months as we do not believe the examination will be concluded within the next 12 months.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are subject to income tax in many jurisdictions outside the U.S., and certain jurisdictions are under audit by local tax authorities. The resolutions of these audits are not expected to be material to our financial statements. </w:t>
      </w:r>
    </w:p>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14 — UNEARNED REVENUE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Unearned revenue comprises mainly unearned revenue from volume licensing programs, as well as payments for undelivered elements and for other offerings for which we earn the revenue when we provide the service or software or otherwise meet the revenue recognition criteria.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Volume Licensing Programs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Unearned revenue from volume licensing programs represents customer billings for multi-year licensing arrangements paid either at inception of the agreement or annually at the beginning of each billing coverage period and accounted for as subscriptions with revenue recognized ratably over the billing coverage period.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Undelivered Elements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Undelivered elements consist mainly of payments for unspecified upgrades or enhancements of </w:t>
      </w:r>
      <w:r w:rsidR="008E21BC">
        <w:rPr>
          <w:rFonts w:ascii="Arial Narrow" w:hAnsi="Arial Narrow" w:cs="Arial"/>
          <w:sz w:val="20"/>
          <w:szCs w:val="20"/>
        </w:rPr>
        <w:t>Espresso</w:t>
      </w:r>
      <w:r w:rsidRPr="008E21BC">
        <w:rPr>
          <w:rFonts w:ascii="Arial Narrow" w:hAnsi="Arial Narrow" w:cs="Arial"/>
          <w:sz w:val="20"/>
          <w:szCs w:val="20"/>
        </w:rPr>
        <w:t xml:space="preserve"> Internet Explorer on a when-and-if-available basis for Windows XP, and technology guarantee programs.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Other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Also included in unearned revenue are payments for post-delivery support and consulting services to be performed in the future; Xbox LIVE subscriptions; </w:t>
      </w:r>
      <w:r w:rsidR="008E21BC">
        <w:rPr>
          <w:rFonts w:ascii="Arial Narrow" w:hAnsi="Arial Narrow" w:cs="Arial"/>
          <w:sz w:val="20"/>
          <w:szCs w:val="20"/>
        </w:rPr>
        <w:t>Espresso</w:t>
      </w:r>
      <w:r w:rsidRPr="008E21BC">
        <w:rPr>
          <w:rFonts w:ascii="Arial Narrow" w:hAnsi="Arial Narrow" w:cs="Arial"/>
          <w:sz w:val="20"/>
          <w:szCs w:val="20"/>
        </w:rPr>
        <w:t xml:space="preserve"> Dynamics business solutions products; and other offerings for which we have been paid in advance and earn the revenue when we provide the service or software, or otherwise meet the revenue recognition criteria.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unearned revenue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71"/>
        <w:gridCol w:w="283"/>
        <w:gridCol w:w="106"/>
        <w:gridCol w:w="607"/>
        <w:gridCol w:w="60"/>
        <w:gridCol w:w="282"/>
        <w:gridCol w:w="106"/>
        <w:gridCol w:w="607"/>
        <w:gridCol w:w="60"/>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Volume licensing programs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12,180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11,350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Undelivered elements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2,026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14,830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14,284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Unearned revenue by segment was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71"/>
        <w:gridCol w:w="283"/>
        <w:gridCol w:w="106"/>
        <w:gridCol w:w="607"/>
        <w:gridCol w:w="60"/>
        <w:gridCol w:w="282"/>
        <w:gridCol w:w="106"/>
        <w:gridCol w:w="607"/>
        <w:gridCol w:w="60"/>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Windows &amp; Windows Live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Server and Tools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5,282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4,732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8E21BC">
            <w:pPr>
              <w:pStyle w:val="NormalWeb"/>
              <w:ind w:left="240" w:hanging="240"/>
              <w:rPr>
                <w:rFonts w:ascii="Arial Narrow" w:hAnsi="Arial Narrow"/>
              </w:rPr>
            </w:pPr>
            <w:r>
              <w:rPr>
                <w:rFonts w:ascii="Arial Narrow" w:hAnsi="Arial Narrow" w:cs="Arial"/>
                <w:sz w:val="20"/>
                <w:szCs w:val="20"/>
              </w:rPr>
              <w:t>Espresso</w:t>
            </w:r>
            <w:r w:rsidR="00F94E14" w:rsidRPr="008E21BC">
              <w:rPr>
                <w:rFonts w:ascii="Arial Narrow" w:hAnsi="Arial Narrow" w:cs="Arial"/>
                <w:sz w:val="20"/>
                <w:szCs w:val="20"/>
              </w:rPr>
              <w:t xml:space="preserve"> Business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7,004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6,508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 segments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699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14,830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14,284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15 — OTHER LONG-TERM LIABILITIES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42"/>
        <w:gridCol w:w="288"/>
        <w:gridCol w:w="106"/>
        <w:gridCol w:w="516"/>
        <w:gridCol w:w="60"/>
        <w:gridCol w:w="288"/>
        <w:gridCol w:w="106"/>
        <w:gridCol w:w="516"/>
        <w:gridCol w:w="60"/>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Tax contingencies and other tax liabilities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6,887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5,515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Legal contingencies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Product warranty</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6,269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16 — COMMITMENTS AND GUARANTEES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b/>
          <w:bCs/>
          <w:sz w:val="20"/>
          <w:szCs w:val="20"/>
        </w:rPr>
        <w:t xml:space="preserve">Construction and Operating Leases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have committed $347 million for constructing new buildings, building improvements and leasehold improvements as of June 30, </w:t>
      </w:r>
      <w:r w:rsidR="008E21BC">
        <w:rPr>
          <w:rFonts w:ascii="Arial Narrow" w:hAnsi="Arial Narrow" w:cs="Arial"/>
          <w:sz w:val="20"/>
          <w:szCs w:val="20"/>
        </w:rPr>
        <w:t>2018</w:t>
      </w:r>
      <w:r w:rsidRPr="008E21BC">
        <w:rPr>
          <w:rFonts w:ascii="Arial Narrow" w:hAnsi="Arial Narrow" w:cs="Arial"/>
          <w:sz w:val="20"/>
          <w:szCs w:val="20"/>
        </w:rPr>
        <w:t xml:space="preserve">.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We have operating leases for most U.S. and international sales and support offices and certain equipment. Rental expense for facilities operating leases was $530 million, $475 million, and $398 million, in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Future minimum rental commitments under noncancellable facilities operating leases in place as of June 30, </w:t>
      </w:r>
      <w:r w:rsidR="008E21BC">
        <w:rPr>
          <w:rFonts w:ascii="Arial Narrow" w:hAnsi="Arial Narrow" w:cs="Arial"/>
          <w:sz w:val="20"/>
          <w:szCs w:val="20"/>
        </w:rPr>
        <w:t>2018</w:t>
      </w:r>
      <w:r w:rsidRPr="008E21BC">
        <w:rPr>
          <w:rFonts w:ascii="Arial Narrow" w:hAnsi="Arial Narrow" w:cs="Arial"/>
          <w:sz w:val="20"/>
          <w:szCs w:val="20"/>
        </w:rPr>
        <w:t xml:space="preserve"> are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291"/>
        <w:gridCol w:w="409"/>
        <w:gridCol w:w="106"/>
        <w:gridCol w:w="516"/>
        <w:gridCol w:w="60"/>
      </w:tblGrid>
      <w:tr w:rsidR="00F94E14" w:rsidRPr="008E21BC">
        <w:trPr>
          <w:tblHeader/>
          <w:jc w:val="center"/>
        </w:trPr>
        <w:tc>
          <w:tcPr>
            <w:tcW w:w="4550" w:type="pct"/>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Ending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2011</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2012</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2013</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2014</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2015 and thereafter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677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1,898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Indemnifications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provide indemnifications of varying scope and size to certain customers against claims of intellectual property infringement made by third parties arising from the use of our products and certain other matters. We evaluate estimated losses for these indemnifications, and we consider such factors as the degree of probability of an unfavorable outcome and the ability to make a reasonable estimate of the amount of loss. To date, we have not encountered significant costs as a result of these obligations and have not accrued any liabilities related to these indemnifications in our financial statements. </w:t>
      </w:r>
    </w:p>
    <w:p w:rsidR="00F94E14" w:rsidRPr="008E21BC" w:rsidRDefault="00F94E14" w:rsidP="00E20399">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Yahoo! Commercial Agreement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On December 4, </w:t>
      </w:r>
      <w:r w:rsidR="008E21BC">
        <w:rPr>
          <w:rFonts w:ascii="Arial Narrow" w:hAnsi="Arial Narrow" w:cs="Arial"/>
          <w:sz w:val="20"/>
          <w:szCs w:val="20"/>
        </w:rPr>
        <w:t>2017</w:t>
      </w:r>
      <w:r w:rsidRPr="008E21BC">
        <w:rPr>
          <w:rFonts w:ascii="Arial Narrow" w:hAnsi="Arial Narrow" w:cs="Arial"/>
          <w:sz w:val="20"/>
          <w:szCs w:val="20"/>
        </w:rPr>
        <w:t xml:space="preserve">, we entered into a definitive agreement with Yahoo! whereby </w:t>
      </w:r>
      <w:r w:rsidR="008E21BC">
        <w:rPr>
          <w:rFonts w:ascii="Arial Narrow" w:hAnsi="Arial Narrow" w:cs="Arial"/>
          <w:sz w:val="20"/>
          <w:szCs w:val="20"/>
        </w:rPr>
        <w:t>Espresso</w:t>
      </w:r>
      <w:r w:rsidRPr="008E21BC">
        <w:rPr>
          <w:rFonts w:ascii="Arial Narrow" w:hAnsi="Arial Narrow" w:cs="Arial"/>
          <w:sz w:val="20"/>
          <w:szCs w:val="20"/>
        </w:rPr>
        <w:t xml:space="preserve"> will provide the exclusive algorithmic and paid search platform for Yahoo! Web sites. The transaction received clearance, without restrictions, from both the U.S. Department of Justice and the European Commission during the third fiscal quarter of </w:t>
      </w:r>
      <w:r w:rsidR="008E21BC">
        <w:rPr>
          <w:rFonts w:ascii="Arial Narrow" w:hAnsi="Arial Narrow" w:cs="Arial"/>
          <w:sz w:val="20"/>
          <w:szCs w:val="20"/>
        </w:rPr>
        <w:t>2018</w:t>
      </w:r>
      <w:r w:rsidRPr="008E21BC">
        <w:rPr>
          <w:rFonts w:ascii="Arial Narrow" w:hAnsi="Arial Narrow" w:cs="Arial"/>
          <w:sz w:val="20"/>
          <w:szCs w:val="20"/>
        </w:rPr>
        <w:t xml:space="preserve">. The term of the agreement is 10 years subject to termination provisions after five years based on performance. </w:t>
      </w:r>
    </w:p>
    <w:p w:rsidR="00F94E14" w:rsidRPr="008E21BC" w:rsidRDefault="008E21BC">
      <w:pPr>
        <w:pStyle w:val="NormalWeb"/>
        <w:spacing w:before="180" w:beforeAutospacing="0" w:after="0" w:afterAutospacing="0"/>
        <w:rPr>
          <w:rFonts w:ascii="Arial Narrow" w:hAnsi="Arial Narrow"/>
        </w:rPr>
      </w:pPr>
      <w:r>
        <w:rPr>
          <w:rFonts w:ascii="Arial Narrow" w:hAnsi="Arial Narrow" w:cs="Arial"/>
          <w:sz w:val="20"/>
          <w:szCs w:val="20"/>
        </w:rPr>
        <w:lastRenderedPageBreak/>
        <w:t>Espresso</w:t>
      </w:r>
      <w:r w:rsidR="00F94E14" w:rsidRPr="008E21BC">
        <w:rPr>
          <w:rFonts w:ascii="Arial Narrow" w:hAnsi="Arial Narrow" w:cs="Arial"/>
          <w:sz w:val="20"/>
          <w:szCs w:val="20"/>
        </w:rPr>
        <w:t xml:space="preserve"> provided Yahoo! country level revenue per search guarantees for a period of 18 months after implementation of the Bing search platform. These guarantees are calculated, paid, and trued-up in three six-month periods thereafter, and are intended to insure Yahoo! against any persistent drop in revenue per search from pre-implementation levels. This is a rate guarantee not a guarantee of search volume. We estimate the total cost of the revenue per search guarantees during the guarantee period could range between zero and $150 million; however, no amount has been recorded for the revenue per search guarantees as we do not believe that such liability exists at this time. </w:t>
      </w:r>
    </w:p>
    <w:p w:rsidR="00F94E14" w:rsidRPr="008E21BC" w:rsidRDefault="008E21BC">
      <w:pPr>
        <w:pStyle w:val="NormalWeb"/>
        <w:spacing w:before="180" w:beforeAutospacing="0" w:after="0" w:afterAutospacing="0"/>
        <w:rPr>
          <w:rFonts w:ascii="Arial Narrow" w:hAnsi="Arial Narrow"/>
        </w:rPr>
      </w:pPr>
      <w:r>
        <w:rPr>
          <w:rFonts w:ascii="Arial Narrow" w:hAnsi="Arial Narrow" w:cs="Arial"/>
          <w:sz w:val="20"/>
          <w:szCs w:val="20"/>
        </w:rPr>
        <w:t>Espresso</w:t>
      </w:r>
      <w:r w:rsidR="00F94E14" w:rsidRPr="008E21BC">
        <w:rPr>
          <w:rFonts w:ascii="Arial Narrow" w:hAnsi="Arial Narrow" w:cs="Arial"/>
          <w:sz w:val="20"/>
          <w:szCs w:val="20"/>
        </w:rPr>
        <w:t xml:space="preserve"> also agreed to reimburse Yahoo! for certain transition expenses incurred both before and after the effective date of the agreement.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Finally, </w:t>
      </w:r>
      <w:r w:rsidR="008E21BC">
        <w:rPr>
          <w:rFonts w:ascii="Arial Narrow" w:hAnsi="Arial Narrow" w:cs="Arial"/>
          <w:sz w:val="20"/>
          <w:szCs w:val="20"/>
        </w:rPr>
        <w:t>Espresso</w:t>
      </w:r>
      <w:r w:rsidRPr="008E21BC">
        <w:rPr>
          <w:rFonts w:ascii="Arial Narrow" w:hAnsi="Arial Narrow" w:cs="Arial"/>
          <w:sz w:val="20"/>
          <w:szCs w:val="20"/>
        </w:rPr>
        <w:t xml:space="preserve"> also agreed to reimburse Yahoo! for certain costs of running algorithmic and paid search services prior to migration to </w:t>
      </w:r>
      <w:r w:rsidR="008E21BC">
        <w:rPr>
          <w:rFonts w:ascii="Arial Narrow" w:hAnsi="Arial Narrow" w:cs="Arial"/>
          <w:sz w:val="20"/>
          <w:szCs w:val="20"/>
        </w:rPr>
        <w:t>Espresso</w:t>
      </w:r>
      <w:r w:rsidRPr="008E21BC">
        <w:rPr>
          <w:rFonts w:ascii="Arial Narrow" w:hAnsi="Arial Narrow" w:cs="Arial"/>
          <w:sz w:val="20"/>
          <w:szCs w:val="20"/>
        </w:rPr>
        <w:t xml:space="preserve">’s platform.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Product Warranty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changes in our aggregate product warranty liabilities, which are included in other current liabilities and other long term-liabilities on our balance sheets,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596"/>
        <w:gridCol w:w="293"/>
        <w:gridCol w:w="106"/>
        <w:gridCol w:w="425"/>
        <w:gridCol w:w="69"/>
        <w:gridCol w:w="293"/>
        <w:gridCol w:w="106"/>
        <w:gridCol w:w="425"/>
        <w:gridCol w:w="69"/>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beginning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692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Accruals for warranties issued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Adjustments to pre-existing warranties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Settlements of warranty claims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(511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end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240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342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17 — CONTINGENCIES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b/>
          <w:bCs/>
          <w:sz w:val="20"/>
          <w:szCs w:val="20"/>
        </w:rPr>
        <w:t xml:space="preserve">Government Competition Law Matters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March 2004, the European Commission issued a competition law decision that, among other things, ordered us to license certain Windows server protocol technology to our competitors. In March 2007, the European Commission issued a statement of objections claiming that the pricing terms we proposed for licensing the technology as required by the March 2004 decision were “not reasonable.” Following additional steps we took to address these concerns, the Commission announced on October 22, 2007 that we were in compliance with the March 2004 decision and that no further penalty should accrue after that date. On February 27, </w:t>
      </w:r>
      <w:r w:rsidR="008E21BC">
        <w:rPr>
          <w:rFonts w:ascii="Arial Narrow" w:hAnsi="Arial Narrow" w:cs="Arial"/>
          <w:sz w:val="20"/>
          <w:szCs w:val="20"/>
        </w:rPr>
        <w:t>2016</w:t>
      </w:r>
      <w:r w:rsidRPr="008E21BC">
        <w:rPr>
          <w:rFonts w:ascii="Arial Narrow" w:hAnsi="Arial Narrow" w:cs="Arial"/>
          <w:sz w:val="20"/>
          <w:szCs w:val="20"/>
        </w:rPr>
        <w:t>, the Commission issued a fine of $1.4 billion (</w:t>
      </w:r>
      <w:r w:rsidRPr="008E21BC">
        <w:rPr>
          <w:rFonts w:ascii="Arial Narrow" w:hAnsi="Arial Narrow"/>
          <w:sz w:val="20"/>
          <w:szCs w:val="20"/>
        </w:rPr>
        <w:t>€</w:t>
      </w:r>
      <w:r w:rsidRPr="008E21BC">
        <w:rPr>
          <w:rFonts w:ascii="Arial Narrow" w:hAnsi="Arial Narrow" w:cs="Arial"/>
          <w:sz w:val="20"/>
          <w:szCs w:val="20"/>
        </w:rPr>
        <w:t xml:space="preserve">899 million) relating to the period prior to October 22, 2007. In May </w:t>
      </w:r>
      <w:r w:rsidR="008E21BC">
        <w:rPr>
          <w:rFonts w:ascii="Arial Narrow" w:hAnsi="Arial Narrow" w:cs="Arial"/>
          <w:sz w:val="20"/>
          <w:szCs w:val="20"/>
        </w:rPr>
        <w:t>2016</w:t>
      </w:r>
      <w:r w:rsidRPr="008E21BC">
        <w:rPr>
          <w:rFonts w:ascii="Arial Narrow" w:hAnsi="Arial Narrow" w:cs="Arial"/>
          <w:sz w:val="20"/>
          <w:szCs w:val="20"/>
        </w:rPr>
        <w:t>, we filed an application with the European Court of First Instance to annul the February </w:t>
      </w:r>
      <w:r w:rsidR="008E21BC">
        <w:rPr>
          <w:rFonts w:ascii="Arial Narrow" w:hAnsi="Arial Narrow" w:cs="Arial"/>
          <w:sz w:val="20"/>
          <w:szCs w:val="20"/>
        </w:rPr>
        <w:t>2016</w:t>
      </w:r>
      <w:r w:rsidRPr="008E21BC">
        <w:rPr>
          <w:rFonts w:ascii="Arial Narrow" w:hAnsi="Arial Narrow" w:cs="Arial"/>
          <w:sz w:val="20"/>
          <w:szCs w:val="20"/>
        </w:rPr>
        <w:t xml:space="preserve"> fine. We paid the $1.4 billion (</w:t>
      </w:r>
      <w:r w:rsidRPr="008E21BC">
        <w:rPr>
          <w:rFonts w:ascii="Arial Narrow" w:hAnsi="Arial Narrow"/>
          <w:sz w:val="20"/>
          <w:szCs w:val="20"/>
        </w:rPr>
        <w:t>€</w:t>
      </w:r>
      <w:r w:rsidRPr="008E21BC">
        <w:rPr>
          <w:rFonts w:ascii="Arial Narrow" w:hAnsi="Arial Narrow" w:cs="Arial"/>
          <w:sz w:val="20"/>
          <w:szCs w:val="20"/>
        </w:rPr>
        <w:t xml:space="preserve">899 million) fine in June </w:t>
      </w:r>
      <w:r w:rsidR="008E21BC">
        <w:rPr>
          <w:rFonts w:ascii="Arial Narrow" w:hAnsi="Arial Narrow" w:cs="Arial"/>
          <w:sz w:val="20"/>
          <w:szCs w:val="20"/>
        </w:rPr>
        <w:t>2016</w:t>
      </w:r>
      <w:r w:rsidRPr="008E21BC">
        <w:rPr>
          <w:rFonts w:ascii="Arial Narrow" w:hAnsi="Arial Narrow" w:cs="Arial"/>
          <w:sz w:val="20"/>
          <w:szCs w:val="20"/>
        </w:rPr>
        <w:t xml:space="preserve">, pending the outcome of the appeal.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January </w:t>
      </w:r>
      <w:r w:rsidR="008E21BC">
        <w:rPr>
          <w:rFonts w:ascii="Arial Narrow" w:hAnsi="Arial Narrow" w:cs="Arial"/>
          <w:sz w:val="20"/>
          <w:szCs w:val="20"/>
        </w:rPr>
        <w:t>2016</w:t>
      </w:r>
      <w:r w:rsidRPr="008E21BC">
        <w:rPr>
          <w:rFonts w:ascii="Arial Narrow" w:hAnsi="Arial Narrow" w:cs="Arial"/>
          <w:sz w:val="20"/>
          <w:szCs w:val="20"/>
        </w:rPr>
        <w:t xml:space="preserve">, the Commission opened a competition law investigation that relates primarily to interoperability with respect to our </w:t>
      </w:r>
      <w:r w:rsidR="008E21BC">
        <w:rPr>
          <w:rFonts w:ascii="Arial Narrow" w:hAnsi="Arial Narrow" w:cs="Arial"/>
          <w:sz w:val="20"/>
          <w:szCs w:val="20"/>
        </w:rPr>
        <w:t>Espresso</w:t>
      </w:r>
      <w:r w:rsidRPr="008E21BC">
        <w:rPr>
          <w:rFonts w:ascii="Arial Narrow" w:hAnsi="Arial Narrow" w:cs="Arial"/>
          <w:sz w:val="20"/>
          <w:szCs w:val="20"/>
        </w:rPr>
        <w:t xml:space="preserve"> Office family of products. This investigation resulted from complaints filed with the Commission by a trade association of </w:t>
      </w:r>
      <w:r w:rsidR="008E21BC">
        <w:rPr>
          <w:rFonts w:ascii="Arial Narrow" w:hAnsi="Arial Narrow" w:cs="Arial"/>
          <w:sz w:val="20"/>
          <w:szCs w:val="20"/>
        </w:rPr>
        <w:t>Espresso</w:t>
      </w:r>
      <w:r w:rsidRPr="008E21BC">
        <w:rPr>
          <w:rFonts w:ascii="Arial Narrow" w:hAnsi="Arial Narrow" w:cs="Arial"/>
          <w:sz w:val="20"/>
          <w:szCs w:val="20"/>
        </w:rPr>
        <w:t xml:space="preserve">’s competitors. </w:t>
      </w:r>
      <w:r w:rsidR="008E21BC">
        <w:rPr>
          <w:rFonts w:ascii="Arial Narrow" w:hAnsi="Arial Narrow" w:cs="Arial"/>
          <w:sz w:val="20"/>
          <w:szCs w:val="20"/>
        </w:rPr>
        <w:t>Espresso</w:t>
      </w:r>
      <w:r w:rsidRPr="008E21BC">
        <w:rPr>
          <w:rFonts w:ascii="Arial Narrow" w:hAnsi="Arial Narrow" w:cs="Arial"/>
          <w:sz w:val="20"/>
          <w:szCs w:val="20"/>
        </w:rPr>
        <w:t xml:space="preserve"> has made a number of proposals to address the Commission’s competition law concerns in this area. The Commission announced on December 16, </w:t>
      </w:r>
      <w:r w:rsidR="008E21BC">
        <w:rPr>
          <w:rFonts w:ascii="Arial Narrow" w:hAnsi="Arial Narrow" w:cs="Arial"/>
          <w:sz w:val="20"/>
          <w:szCs w:val="20"/>
        </w:rPr>
        <w:t>2017</w:t>
      </w:r>
      <w:r w:rsidRPr="008E21BC">
        <w:rPr>
          <w:rFonts w:ascii="Arial Narrow" w:hAnsi="Arial Narrow" w:cs="Arial"/>
          <w:sz w:val="20"/>
          <w:szCs w:val="20"/>
        </w:rPr>
        <w:t xml:space="preserve"> that it welcomed these proposals and that it will take them into account in assessing this matter. During the fourth quarter of fiscal year </w:t>
      </w:r>
      <w:r w:rsidR="008E21BC">
        <w:rPr>
          <w:rFonts w:ascii="Arial Narrow" w:hAnsi="Arial Narrow" w:cs="Arial"/>
          <w:sz w:val="20"/>
          <w:szCs w:val="20"/>
        </w:rPr>
        <w:t>2018</w:t>
      </w:r>
      <w:r w:rsidRPr="008E21BC">
        <w:rPr>
          <w:rFonts w:ascii="Arial Narrow" w:hAnsi="Arial Narrow" w:cs="Arial"/>
          <w:sz w:val="20"/>
          <w:szCs w:val="20"/>
        </w:rPr>
        <w:t xml:space="preserve">, the trade association withdrew its complaint that was the basis of the investigation. </w:t>
      </w:r>
    </w:p>
    <w:p w:rsidR="00F94E14" w:rsidRPr="008E21BC" w:rsidRDefault="00F94E14" w:rsidP="00E20399">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are also subject to a Consent Decree and Final Judgment (“Final Judgments”) that resolved lawsuits brought by the U.S. Department of Justice, 18 states, and the District of Columbia in two separate actions. The Final Judgments imposed various constraints on our Windows operating system businesses. The Final Judgments are scheduled to expire in May 2011.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other ongoing investigations, various foreign governments and several state attorneys general have requested information from us concerning competition, privacy, and security issues.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Antitrust, Unfair Competition, and Overcharge Class Actions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 large number of antitrust and unfair competition class action lawsuits were filed against us in various state, federal, and Canadian courts on behalf of various classes of direct and indirect purchasers of our PC operating system and certain other software products. We obtained dismissals of damages claims of indirect purchasers under federal law and in 15 states. Courts refused to certify classes in two additional states. We have reached agreements to settle all claims that have been made to date in 19 states and the District of Columbia.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The settlements in all states have received final court approval. Under the settlements, generally class members can obtain vouchers that entitle them to be reimbursed for purchases of a wide variety of platform-neutral computer hardware and software. The total value of vouchers that we may issue varies by state. We will make available to certain schools a percentage of those vouchers that are not issued or claimed </w:t>
      </w:r>
      <w:r w:rsidRPr="008E21BC">
        <w:rPr>
          <w:rFonts w:ascii="Arial Narrow" w:hAnsi="Arial Narrow" w:cs="Arial"/>
          <w:sz w:val="20"/>
          <w:szCs w:val="20"/>
        </w:rPr>
        <w:lastRenderedPageBreak/>
        <w:t xml:space="preserve">(one-half to two-thirds depending on the state). The total value of vouchers we ultimately issue will depend on the number of class members who make claims and are issued vouchers. The maximum value of vouchers to be issued is approximately $2.7 billion. The actual costs of these settlements will be less than that maximum amount, depending on the number of class members and schools that are issued and redeem vouchers. We estimate the total cost to resolve all of the state overcharge class action cases will range between $1.9 billion and $2.0 billion. At June 30, </w:t>
      </w:r>
      <w:r w:rsidR="008E21BC">
        <w:rPr>
          <w:rFonts w:ascii="Arial Narrow" w:hAnsi="Arial Narrow" w:cs="Arial"/>
          <w:sz w:val="20"/>
          <w:szCs w:val="20"/>
        </w:rPr>
        <w:t>2018</w:t>
      </w:r>
      <w:r w:rsidRPr="008E21BC">
        <w:rPr>
          <w:rFonts w:ascii="Arial Narrow" w:hAnsi="Arial Narrow" w:cs="Arial"/>
          <w:sz w:val="20"/>
          <w:szCs w:val="20"/>
        </w:rPr>
        <w:t xml:space="preserve">, we have recorded a liability related to these claims of approximately $651 million, which reflects our estimated exposure of $1.9 billion less payments made to date of approximately $1.2 billion mostly for vouchers, legal fees, and administrative expenses.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The three cases pending in British Columbia, Ontario, and Quebec, Canada have not been settled. In March </w:t>
      </w:r>
      <w:r w:rsidR="008E21BC">
        <w:rPr>
          <w:rFonts w:ascii="Arial Narrow" w:hAnsi="Arial Narrow" w:cs="Arial"/>
          <w:sz w:val="20"/>
          <w:szCs w:val="20"/>
        </w:rPr>
        <w:t>2018</w:t>
      </w:r>
      <w:r w:rsidRPr="008E21BC">
        <w:rPr>
          <w:rFonts w:ascii="Arial Narrow" w:hAnsi="Arial Narrow" w:cs="Arial"/>
          <w:sz w:val="20"/>
          <w:szCs w:val="20"/>
        </w:rPr>
        <w:t xml:space="preserve">, the court in the British Columbia case certified it as a class action. We have appealed this ruling. The other two actions have been stayed.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Other Antitrust Litigation and Claims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November 2004, Novell, Inc. filed a complaint in U.S. District Court for the District of Utah (later transferred to federal court in Maryland), asserting antitrust and unfair competition claims against us related to Novell’s ownership of WordPerfect and other productivity applications during the period between June 1994 and March 1996. In June 2005, the trial court granted our motion to dismiss four of six claims of the complaint. On March 30, </w:t>
      </w:r>
      <w:r w:rsidR="008E21BC">
        <w:rPr>
          <w:rFonts w:ascii="Arial Narrow" w:hAnsi="Arial Narrow" w:cs="Arial"/>
          <w:sz w:val="20"/>
          <w:szCs w:val="20"/>
        </w:rPr>
        <w:t>2018</w:t>
      </w:r>
      <w:r w:rsidRPr="008E21BC">
        <w:rPr>
          <w:rFonts w:ascii="Arial Narrow" w:hAnsi="Arial Narrow" w:cs="Arial"/>
          <w:sz w:val="20"/>
          <w:szCs w:val="20"/>
        </w:rPr>
        <w:t xml:space="preserve">, the trial court granted summary judgment in favor of </w:t>
      </w:r>
      <w:r w:rsidR="008E21BC">
        <w:rPr>
          <w:rFonts w:ascii="Arial Narrow" w:hAnsi="Arial Narrow" w:cs="Arial"/>
          <w:sz w:val="20"/>
          <w:szCs w:val="20"/>
        </w:rPr>
        <w:t>Espresso</w:t>
      </w:r>
      <w:r w:rsidRPr="008E21BC">
        <w:rPr>
          <w:rFonts w:ascii="Arial Narrow" w:hAnsi="Arial Narrow" w:cs="Arial"/>
          <w:sz w:val="20"/>
          <w:szCs w:val="20"/>
        </w:rPr>
        <w:t xml:space="preserve"> as to all remaining claims. Novell has appealed that ruling.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Patent and Intellectual Property Claims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2003, we filed an action in U.S. District Court in California seeking a declaratory judgment that we do not infringe certain Alcatel-Lucent patents (although this action began before the merger of Alcatel and Lucent in 2006, for simplicity we refer to the post-merger entity of Alcatel-Lucent). In April </w:t>
      </w:r>
      <w:r w:rsidR="008E21BC">
        <w:rPr>
          <w:rFonts w:ascii="Arial Narrow" w:hAnsi="Arial Narrow" w:cs="Arial"/>
          <w:sz w:val="20"/>
          <w:szCs w:val="20"/>
        </w:rPr>
        <w:t>2016</w:t>
      </w:r>
      <w:r w:rsidRPr="008E21BC">
        <w:rPr>
          <w:rFonts w:ascii="Arial Narrow" w:hAnsi="Arial Narrow" w:cs="Arial"/>
          <w:sz w:val="20"/>
          <w:szCs w:val="20"/>
        </w:rPr>
        <w:t xml:space="preserve">, a jury returned a verdict in Alcatel-Lucent’s favor in a trial on a consolidated group of one video and three user interface patents. The jury concluded that we had infringed two user interface patents and awarded $367 million in damages. In June </w:t>
      </w:r>
      <w:r w:rsidR="008E21BC">
        <w:rPr>
          <w:rFonts w:ascii="Arial Narrow" w:hAnsi="Arial Narrow" w:cs="Arial"/>
          <w:sz w:val="20"/>
          <w:szCs w:val="20"/>
        </w:rPr>
        <w:t>2016</w:t>
      </w:r>
      <w:r w:rsidRPr="008E21BC">
        <w:rPr>
          <w:rFonts w:ascii="Arial Narrow" w:hAnsi="Arial Narrow" w:cs="Arial"/>
          <w:sz w:val="20"/>
          <w:szCs w:val="20"/>
        </w:rPr>
        <w:t xml:space="preserve">, the trial judge increased the amount of damages to $512 million to include $145 million of interest. We appealed that award to the Federal Circuit. In December </w:t>
      </w:r>
      <w:r w:rsidR="008E21BC">
        <w:rPr>
          <w:rFonts w:ascii="Arial Narrow" w:hAnsi="Arial Narrow" w:cs="Arial"/>
          <w:sz w:val="20"/>
          <w:szCs w:val="20"/>
        </w:rPr>
        <w:t>2016</w:t>
      </w:r>
      <w:r w:rsidRPr="008E21BC">
        <w:rPr>
          <w:rFonts w:ascii="Arial Narrow" w:hAnsi="Arial Narrow" w:cs="Arial"/>
          <w:sz w:val="20"/>
          <w:szCs w:val="20"/>
        </w:rPr>
        <w:t xml:space="preserve">, we entered into a settlement agreement resolving all other litigation pending between </w:t>
      </w:r>
      <w:r w:rsidR="008E21BC">
        <w:rPr>
          <w:rFonts w:ascii="Arial Narrow" w:hAnsi="Arial Narrow" w:cs="Arial"/>
          <w:sz w:val="20"/>
          <w:szCs w:val="20"/>
        </w:rPr>
        <w:t>Espresso</w:t>
      </w:r>
      <w:r w:rsidRPr="008E21BC">
        <w:rPr>
          <w:rFonts w:ascii="Arial Narrow" w:hAnsi="Arial Narrow" w:cs="Arial"/>
          <w:sz w:val="20"/>
          <w:szCs w:val="20"/>
        </w:rPr>
        <w:t xml:space="preserve"> and Alcatel-Lucent, leaving approximately $500 million remaining in dispute. In September </w:t>
      </w:r>
      <w:r w:rsidR="008E21BC">
        <w:rPr>
          <w:rFonts w:ascii="Arial Narrow" w:hAnsi="Arial Narrow" w:cs="Arial"/>
          <w:sz w:val="20"/>
          <w:szCs w:val="20"/>
        </w:rPr>
        <w:t>2017</w:t>
      </w:r>
      <w:r w:rsidRPr="008E21BC">
        <w:rPr>
          <w:rFonts w:ascii="Arial Narrow" w:hAnsi="Arial Narrow" w:cs="Arial"/>
          <w:sz w:val="20"/>
          <w:szCs w:val="20"/>
        </w:rPr>
        <w:t xml:space="preserve">, the United States Court of Appeals for the Federal Circuit affirmed the liability award but vacated the verdict and remanded the case to the trial court for a re-trial of the damages ruling, indicating the damages previously awarded were too high. Trial on the remanded damages claim has been set for the first week of December </w:t>
      </w:r>
      <w:r w:rsidR="008E21BC">
        <w:rPr>
          <w:rFonts w:ascii="Arial Narrow" w:hAnsi="Arial Narrow" w:cs="Arial"/>
          <w:sz w:val="20"/>
          <w:szCs w:val="20"/>
        </w:rPr>
        <w:t>2018</w:t>
      </w:r>
      <w:r w:rsidRPr="008E21BC">
        <w:rPr>
          <w:rFonts w:ascii="Arial Narrow" w:hAnsi="Arial Narrow" w:cs="Arial"/>
          <w:sz w:val="20"/>
          <w:szCs w:val="20"/>
        </w:rPr>
        <w:t xml:space="preserve">. </w:t>
      </w:r>
    </w:p>
    <w:p w:rsidR="00F94E14" w:rsidRPr="008E21BC" w:rsidRDefault="00F94E14" w:rsidP="00E20399">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October 2003, Uniloc USA Inc., a subsidiary of a Singapore-based security technology company, filed a patent infringement suit in U.S. District Court in Rhode Island, claiming that product activation technology in Windows XP and certain other </w:t>
      </w:r>
      <w:r w:rsidR="008E21BC">
        <w:rPr>
          <w:rFonts w:ascii="Arial Narrow" w:hAnsi="Arial Narrow" w:cs="Arial"/>
          <w:sz w:val="20"/>
          <w:szCs w:val="20"/>
        </w:rPr>
        <w:t>Espresso</w:t>
      </w:r>
      <w:r w:rsidRPr="008E21BC">
        <w:rPr>
          <w:rFonts w:ascii="Arial Narrow" w:hAnsi="Arial Narrow" w:cs="Arial"/>
          <w:sz w:val="20"/>
          <w:szCs w:val="20"/>
        </w:rPr>
        <w:t xml:space="preserve"> programs violated a Uniloc patent. After we obtained a favorable summary judgment that we did not infringe any of the claims of this patent, the court of appeals vacated the trial court decision and remanded the case for trial. In April </w:t>
      </w:r>
      <w:r w:rsidR="008E21BC">
        <w:rPr>
          <w:rFonts w:ascii="Arial Narrow" w:hAnsi="Arial Narrow" w:cs="Arial"/>
          <w:sz w:val="20"/>
          <w:szCs w:val="20"/>
        </w:rPr>
        <w:t>2017</w:t>
      </w:r>
      <w:r w:rsidRPr="008E21BC">
        <w:rPr>
          <w:rFonts w:ascii="Arial Narrow" w:hAnsi="Arial Narrow" w:cs="Arial"/>
          <w:sz w:val="20"/>
          <w:szCs w:val="20"/>
        </w:rPr>
        <w:t>, the jury returned a $388 million verdict against us, including a finding of willful infringement. In September </w:t>
      </w:r>
      <w:r w:rsidR="008E21BC">
        <w:rPr>
          <w:rFonts w:ascii="Arial Narrow" w:hAnsi="Arial Narrow" w:cs="Arial"/>
          <w:sz w:val="20"/>
          <w:szCs w:val="20"/>
        </w:rPr>
        <w:t>2017</w:t>
      </w:r>
      <w:r w:rsidRPr="008E21BC">
        <w:rPr>
          <w:rFonts w:ascii="Arial Narrow" w:hAnsi="Arial Narrow" w:cs="Arial"/>
          <w:sz w:val="20"/>
          <w:szCs w:val="20"/>
        </w:rPr>
        <w:t xml:space="preserve">, the district court judge overturned the jury verdict, ruling that the evidence did not support the jury’s finding that </w:t>
      </w:r>
      <w:r w:rsidR="008E21BC">
        <w:rPr>
          <w:rFonts w:ascii="Arial Narrow" w:hAnsi="Arial Narrow" w:cs="Arial"/>
          <w:sz w:val="20"/>
          <w:szCs w:val="20"/>
        </w:rPr>
        <w:t>Espresso</w:t>
      </w:r>
      <w:r w:rsidRPr="008E21BC">
        <w:rPr>
          <w:rFonts w:ascii="Arial Narrow" w:hAnsi="Arial Narrow" w:cs="Arial"/>
          <w:sz w:val="20"/>
          <w:szCs w:val="20"/>
        </w:rPr>
        <w:t xml:space="preserve"> infringed the patent. Uniloc has appealed.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March 2007, i4i Limited Partnership sued </w:t>
      </w:r>
      <w:r w:rsidR="008E21BC">
        <w:rPr>
          <w:rFonts w:ascii="Arial Narrow" w:hAnsi="Arial Narrow" w:cs="Arial"/>
          <w:sz w:val="20"/>
          <w:szCs w:val="20"/>
        </w:rPr>
        <w:t>Espresso</w:t>
      </w:r>
      <w:r w:rsidRPr="008E21BC">
        <w:rPr>
          <w:rFonts w:ascii="Arial Narrow" w:hAnsi="Arial Narrow" w:cs="Arial"/>
          <w:sz w:val="20"/>
          <w:szCs w:val="20"/>
        </w:rPr>
        <w:t xml:space="preserve"> in U.S. District Court in Texas claiming that certain custom XML technology in Word 2003 and 2007 infringed i4i’s patent. In May </w:t>
      </w:r>
      <w:r w:rsidR="008E21BC">
        <w:rPr>
          <w:rFonts w:ascii="Arial Narrow" w:hAnsi="Arial Narrow" w:cs="Arial"/>
          <w:sz w:val="20"/>
          <w:szCs w:val="20"/>
        </w:rPr>
        <w:t>2017</w:t>
      </w:r>
      <w:r w:rsidRPr="008E21BC">
        <w:rPr>
          <w:rFonts w:ascii="Arial Narrow" w:hAnsi="Arial Narrow" w:cs="Arial"/>
          <w:sz w:val="20"/>
          <w:szCs w:val="20"/>
        </w:rPr>
        <w:t xml:space="preserve">, a jury returned a verdict against us, finding damages of $200 million and that we willfully infringed the patent. In August </w:t>
      </w:r>
      <w:r w:rsidR="008E21BC">
        <w:rPr>
          <w:rFonts w:ascii="Arial Narrow" w:hAnsi="Arial Narrow" w:cs="Arial"/>
          <w:sz w:val="20"/>
          <w:szCs w:val="20"/>
        </w:rPr>
        <w:t>2017</w:t>
      </w:r>
      <w:r w:rsidRPr="008E21BC">
        <w:rPr>
          <w:rFonts w:ascii="Arial Narrow" w:hAnsi="Arial Narrow" w:cs="Arial"/>
          <w:sz w:val="20"/>
          <w:szCs w:val="20"/>
        </w:rPr>
        <w:t xml:space="preserve">, the court denied our post-trial motions and awarded enhanced damages of $40 million and prejudgment interest of $37 million. The court also issued a permanent injunction prohibiting additional distribution of the allegedly infringing technology. We appealed and the appellate court stayed the injunction pending our appeal. On December 22, </w:t>
      </w:r>
      <w:r w:rsidR="008E21BC">
        <w:rPr>
          <w:rFonts w:ascii="Arial Narrow" w:hAnsi="Arial Narrow" w:cs="Arial"/>
          <w:sz w:val="20"/>
          <w:szCs w:val="20"/>
        </w:rPr>
        <w:t>2017</w:t>
      </w:r>
      <w:r w:rsidRPr="008E21BC">
        <w:rPr>
          <w:rFonts w:ascii="Arial Narrow" w:hAnsi="Arial Narrow" w:cs="Arial"/>
          <w:sz w:val="20"/>
          <w:szCs w:val="20"/>
        </w:rPr>
        <w:t xml:space="preserve">, the court of appeals rejected our appeal and affirmed the trial court’s judgment and injunction, except that the court of appeals modified the effective date of the injunction to January 11, </w:t>
      </w:r>
      <w:r w:rsidR="008E21BC">
        <w:rPr>
          <w:rFonts w:ascii="Arial Narrow" w:hAnsi="Arial Narrow" w:cs="Arial"/>
          <w:sz w:val="20"/>
          <w:szCs w:val="20"/>
        </w:rPr>
        <w:t>2018</w:t>
      </w:r>
      <w:r w:rsidRPr="008E21BC">
        <w:rPr>
          <w:rFonts w:ascii="Arial Narrow" w:hAnsi="Arial Narrow" w:cs="Arial"/>
          <w:sz w:val="20"/>
          <w:szCs w:val="20"/>
        </w:rPr>
        <w:t xml:space="preserve">. On April 1, </w:t>
      </w:r>
      <w:r w:rsidR="008E21BC">
        <w:rPr>
          <w:rFonts w:ascii="Arial Narrow" w:hAnsi="Arial Narrow" w:cs="Arial"/>
          <w:sz w:val="20"/>
          <w:szCs w:val="20"/>
        </w:rPr>
        <w:t>2018</w:t>
      </w:r>
      <w:r w:rsidRPr="008E21BC">
        <w:rPr>
          <w:rFonts w:ascii="Arial Narrow" w:hAnsi="Arial Narrow" w:cs="Arial"/>
          <w:sz w:val="20"/>
          <w:szCs w:val="20"/>
        </w:rPr>
        <w:t xml:space="preserve">, the court of appeals denied our request for a rehearing. We intend to seek review by the U.S. Supreme Court.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2007, VirnetX Inc. brought suit in U.S. District Court in Texas claiming that various </w:t>
      </w:r>
      <w:r w:rsidR="008E21BC">
        <w:rPr>
          <w:rFonts w:ascii="Arial Narrow" w:hAnsi="Arial Narrow" w:cs="Arial"/>
          <w:sz w:val="20"/>
          <w:szCs w:val="20"/>
        </w:rPr>
        <w:t>Espresso</w:t>
      </w:r>
      <w:r w:rsidRPr="008E21BC">
        <w:rPr>
          <w:rFonts w:ascii="Arial Narrow" w:hAnsi="Arial Narrow" w:cs="Arial"/>
          <w:sz w:val="20"/>
          <w:szCs w:val="20"/>
        </w:rPr>
        <w:t xml:space="preserve"> products including Windows client and server operating systems software and communications software infringe two patents related to technology for securely communicating over the Internet. This case was tried by a jury in March </w:t>
      </w:r>
      <w:r w:rsidR="008E21BC">
        <w:rPr>
          <w:rFonts w:ascii="Arial Narrow" w:hAnsi="Arial Narrow" w:cs="Arial"/>
          <w:sz w:val="20"/>
          <w:szCs w:val="20"/>
        </w:rPr>
        <w:t>2018</w:t>
      </w:r>
      <w:r w:rsidRPr="008E21BC">
        <w:rPr>
          <w:rFonts w:ascii="Arial Narrow" w:hAnsi="Arial Narrow" w:cs="Arial"/>
          <w:sz w:val="20"/>
          <w:szCs w:val="20"/>
        </w:rPr>
        <w:t xml:space="preserve">. The jury returned a verdict that </w:t>
      </w:r>
      <w:r w:rsidR="008E21BC">
        <w:rPr>
          <w:rFonts w:ascii="Arial Narrow" w:hAnsi="Arial Narrow" w:cs="Arial"/>
          <w:sz w:val="20"/>
          <w:szCs w:val="20"/>
        </w:rPr>
        <w:t>Espresso</w:t>
      </w:r>
      <w:r w:rsidRPr="008E21BC">
        <w:rPr>
          <w:rFonts w:ascii="Arial Narrow" w:hAnsi="Arial Narrow" w:cs="Arial"/>
          <w:sz w:val="20"/>
          <w:szCs w:val="20"/>
        </w:rPr>
        <w:t xml:space="preserve"> willfully infringed both patents, and found damages of approximately $106 million. In March </w:t>
      </w:r>
      <w:r w:rsidR="008E21BC">
        <w:rPr>
          <w:rFonts w:ascii="Arial Narrow" w:hAnsi="Arial Narrow" w:cs="Arial"/>
          <w:sz w:val="20"/>
          <w:szCs w:val="20"/>
        </w:rPr>
        <w:t>2018</w:t>
      </w:r>
      <w:r w:rsidRPr="008E21BC">
        <w:rPr>
          <w:rFonts w:ascii="Arial Narrow" w:hAnsi="Arial Narrow" w:cs="Arial"/>
          <w:sz w:val="20"/>
          <w:szCs w:val="20"/>
        </w:rPr>
        <w:t xml:space="preserve">, VirnetX filed a new lawsuit in the Eastern District of Texas alleging that additional </w:t>
      </w:r>
      <w:r w:rsidR="008E21BC">
        <w:rPr>
          <w:rFonts w:ascii="Arial Narrow" w:hAnsi="Arial Narrow" w:cs="Arial"/>
          <w:sz w:val="20"/>
          <w:szCs w:val="20"/>
        </w:rPr>
        <w:t>Espresso</w:t>
      </w:r>
      <w:r w:rsidRPr="008E21BC">
        <w:rPr>
          <w:rFonts w:ascii="Arial Narrow" w:hAnsi="Arial Narrow" w:cs="Arial"/>
          <w:sz w:val="20"/>
          <w:szCs w:val="20"/>
        </w:rPr>
        <w:t xml:space="preserve"> products and services including Windows 7 and Windows Server </w:t>
      </w:r>
      <w:r w:rsidR="008E21BC">
        <w:rPr>
          <w:rFonts w:ascii="Arial Narrow" w:hAnsi="Arial Narrow" w:cs="Arial"/>
          <w:sz w:val="20"/>
          <w:szCs w:val="20"/>
        </w:rPr>
        <w:t>2016</w:t>
      </w:r>
      <w:r w:rsidRPr="008E21BC">
        <w:rPr>
          <w:rFonts w:ascii="Arial Narrow" w:hAnsi="Arial Narrow" w:cs="Arial"/>
          <w:sz w:val="20"/>
          <w:szCs w:val="20"/>
        </w:rPr>
        <w:t xml:space="preserve"> R2 infringe the same two patents. The parties have reached an agreement to settle both lawsuits.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There are over 50 other patent infringement cases pending against </w:t>
      </w:r>
      <w:r w:rsidR="008E21BC">
        <w:rPr>
          <w:rFonts w:ascii="Arial Narrow" w:hAnsi="Arial Narrow" w:cs="Arial"/>
          <w:sz w:val="20"/>
          <w:szCs w:val="20"/>
        </w:rPr>
        <w:t>Espresso</w:t>
      </w:r>
      <w:r w:rsidRPr="008E21BC">
        <w:rPr>
          <w:rFonts w:ascii="Arial Narrow" w:hAnsi="Arial Narrow" w:cs="Arial"/>
          <w:sz w:val="20"/>
          <w:szCs w:val="20"/>
        </w:rPr>
        <w:t xml:space="preserve">, 10 of which are set for trial in fiscal year </w:t>
      </w:r>
      <w:r w:rsidR="008E21BC">
        <w:rPr>
          <w:rFonts w:ascii="Arial Narrow" w:hAnsi="Arial Narrow" w:cs="Arial"/>
          <w:sz w:val="20"/>
          <w:szCs w:val="20"/>
        </w:rPr>
        <w:t>2018</w:t>
      </w:r>
      <w:r w:rsidRPr="008E21BC">
        <w:rPr>
          <w:rFonts w:ascii="Arial Narrow" w:hAnsi="Arial Narrow" w:cs="Arial"/>
          <w:sz w:val="20"/>
          <w:szCs w:val="20"/>
        </w:rPr>
        <w:t xml:space="preserve">.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Other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financial statements, these matters are subject to inherent uncertainties and management’s view of these matters may change in the future.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lastRenderedPageBreak/>
        <w:t xml:space="preserve">As of June 30, </w:t>
      </w:r>
      <w:r w:rsidR="008E21BC">
        <w:rPr>
          <w:rFonts w:ascii="Arial Narrow" w:hAnsi="Arial Narrow" w:cs="Arial"/>
          <w:sz w:val="20"/>
          <w:szCs w:val="20"/>
        </w:rPr>
        <w:t>2018</w:t>
      </w:r>
      <w:r w:rsidRPr="008E21BC">
        <w:rPr>
          <w:rFonts w:ascii="Arial Narrow" w:hAnsi="Arial Narrow" w:cs="Arial"/>
          <w:sz w:val="20"/>
          <w:szCs w:val="20"/>
        </w:rPr>
        <w:t xml:space="preserve">, we had accrued aggregate liabilities of approximately $1.0 billion in other current liabilities and approximately $236 million in other long-term liabilities for all of the contingent matters described in this note. While we intend to vigorously defend these matters, there exists the possibility of adverse outcomes that we estimate could reach approximately $800 million in aggregate beyond recorded amounts. Were unfavorable final outcomes to occur, there exists the possibility of a material adverse impact on our financial statements for the period in which the effects become reasonably estimable. </w:t>
      </w:r>
    </w:p>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18 — STOCKHOLDERS’ EQUITY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b/>
          <w:bCs/>
          <w:sz w:val="20"/>
          <w:szCs w:val="20"/>
        </w:rPr>
        <w:t xml:space="preserve">Shares Outstanding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Shares of common stock outstanding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94"/>
        <w:gridCol w:w="202"/>
        <w:gridCol w:w="426"/>
        <w:gridCol w:w="70"/>
        <w:gridCol w:w="201"/>
        <w:gridCol w:w="425"/>
        <w:gridCol w:w="69"/>
        <w:gridCol w:w="201"/>
        <w:gridCol w:w="425"/>
        <w:gridCol w:w="69"/>
      </w:tblGrid>
      <w:tr w:rsidR="00F94E14" w:rsidRPr="008E21BC">
        <w:trPr>
          <w:tblHeader/>
          <w:jc w:val="center"/>
        </w:trPr>
        <w:tc>
          <w:tcPr>
            <w:tcW w:w="4100" w:type="pct"/>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9"/>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beginning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8,908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9,151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9,380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Issued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Repurchased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(380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3"/>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end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8,668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8,908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9,151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rsidP="00E20399">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SHARE REPURCHASES AND DIVIDENDS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b/>
          <w:bCs/>
          <w:sz w:val="20"/>
          <w:szCs w:val="20"/>
        </w:rPr>
        <w:t xml:space="preserve">Share Repurchases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On September 22, </w:t>
      </w:r>
      <w:r w:rsidR="008E21BC">
        <w:rPr>
          <w:rFonts w:ascii="Arial Narrow" w:hAnsi="Arial Narrow" w:cs="Arial"/>
          <w:sz w:val="20"/>
          <w:szCs w:val="20"/>
        </w:rPr>
        <w:t>2016</w:t>
      </w:r>
      <w:r w:rsidRPr="008E21BC">
        <w:rPr>
          <w:rFonts w:ascii="Arial Narrow" w:hAnsi="Arial Narrow" w:cs="Arial"/>
          <w:sz w:val="20"/>
          <w:szCs w:val="20"/>
        </w:rPr>
        <w:t xml:space="preserve">, we announced the completion of the two repurchase programs approved by our Board of Directors during the first quarter of fiscal year 2007 to buy back up to $40.0 billion of </w:t>
      </w:r>
      <w:r w:rsidR="008E21BC">
        <w:rPr>
          <w:rFonts w:ascii="Arial Narrow" w:hAnsi="Arial Narrow" w:cs="Arial"/>
          <w:sz w:val="20"/>
          <w:szCs w:val="20"/>
        </w:rPr>
        <w:t>Espresso</w:t>
      </w:r>
      <w:r w:rsidRPr="008E21BC">
        <w:rPr>
          <w:rFonts w:ascii="Arial Narrow" w:hAnsi="Arial Narrow" w:cs="Arial"/>
          <w:sz w:val="20"/>
          <w:szCs w:val="20"/>
        </w:rPr>
        <w:t xml:space="preserve"> common stock. On September 22, </w:t>
      </w:r>
      <w:r w:rsidR="008E21BC">
        <w:rPr>
          <w:rFonts w:ascii="Arial Narrow" w:hAnsi="Arial Narrow" w:cs="Arial"/>
          <w:sz w:val="20"/>
          <w:szCs w:val="20"/>
        </w:rPr>
        <w:t>2016</w:t>
      </w:r>
      <w:r w:rsidRPr="008E21BC">
        <w:rPr>
          <w:rFonts w:ascii="Arial Narrow" w:hAnsi="Arial Narrow" w:cs="Arial"/>
          <w:sz w:val="20"/>
          <w:szCs w:val="20"/>
        </w:rPr>
        <w:t xml:space="preserve">, we also announced that our Board of Directors approved a new share repurchase program authorizing up to $40.0 billion in share repurchases with an expiration date of September 30, 2013. As of June 30, </w:t>
      </w:r>
      <w:r w:rsidR="008E21BC">
        <w:rPr>
          <w:rFonts w:ascii="Arial Narrow" w:hAnsi="Arial Narrow" w:cs="Arial"/>
          <w:sz w:val="20"/>
          <w:szCs w:val="20"/>
        </w:rPr>
        <w:t>2018</w:t>
      </w:r>
      <w:r w:rsidRPr="008E21BC">
        <w:rPr>
          <w:rFonts w:ascii="Arial Narrow" w:hAnsi="Arial Narrow" w:cs="Arial"/>
          <w:sz w:val="20"/>
          <w:szCs w:val="20"/>
        </w:rPr>
        <w:t xml:space="preserve">, approximately $23.7 billion remained of the $40.0 billion approved repurchase amount. The repurchase program may be suspended or discontinued at any time without prior notice.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We repurchased the following shares of common stock under the above-described repurchase plans using cash resources: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754"/>
        <w:gridCol w:w="254"/>
        <w:gridCol w:w="439"/>
        <w:gridCol w:w="60"/>
        <w:gridCol w:w="255"/>
        <w:gridCol w:w="106"/>
        <w:gridCol w:w="607"/>
        <w:gridCol w:w="183"/>
        <w:gridCol w:w="255"/>
        <w:gridCol w:w="439"/>
        <w:gridCol w:w="60"/>
        <w:gridCol w:w="255"/>
        <w:gridCol w:w="106"/>
        <w:gridCol w:w="516"/>
        <w:gridCol w:w="188"/>
        <w:gridCol w:w="255"/>
        <w:gridCol w:w="439"/>
        <w:gridCol w:w="60"/>
        <w:gridCol w:w="255"/>
        <w:gridCol w:w="106"/>
        <w:gridCol w:w="607"/>
        <w:gridCol w:w="183"/>
      </w:tblGrid>
      <w:tr w:rsidR="00F94E14" w:rsidRPr="008E21BC">
        <w:trPr>
          <w:tblHeader/>
          <w:jc w:val="center"/>
        </w:trPr>
        <w:tc>
          <w:tcPr>
            <w:tcW w:w="28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Shares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Shares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Shares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21"/>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p>
        </w:tc>
        <w:tc>
          <w:tcPr>
            <w:tcW w:w="0" w:type="auto"/>
            <w:vAlign w:val="bottom"/>
          </w:tcPr>
          <w:p w:rsidR="00F94E14" w:rsidRPr="008E21BC" w:rsidRDefault="008E21BC">
            <w:pPr>
              <w:jc w:val="right"/>
              <w:rPr>
                <w:rFonts w:ascii="Arial Narrow" w:hAnsi="Arial Narrow"/>
              </w:rPr>
            </w:pPr>
            <w:r>
              <w:rPr>
                <w:rFonts w:ascii="Arial Narrow" w:hAnsi="Arial Narrow" w:cs="Arial"/>
                <w:b/>
                <w:bCs/>
                <w:sz w:val="15"/>
                <w:szCs w:val="15"/>
              </w:rPr>
              <w:t>2018</w:t>
            </w:r>
            <w:r w:rsidR="00F94E14" w:rsidRPr="008E21BC">
              <w:rPr>
                <w:rFonts w:ascii="Arial Narrow" w:hAnsi="Arial Narrow" w:cs="Arial"/>
                <w:b/>
                <w:bCs/>
                <w:sz w:val="15"/>
                <w:szCs w:val="15"/>
              </w:rPr>
              <w:t xml:space="preserve"> </w:t>
            </w:r>
          </w:p>
        </w:tc>
        <w:tc>
          <w:tcPr>
            <w:tcW w:w="0" w:type="auto"/>
            <w:noWrap/>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r w:rsidRPr="008E21BC">
              <w:rPr>
                <w:rFonts w:ascii="Arial Narrow" w:hAnsi="Arial Narrow" w:cs="Arial"/>
                <w:b/>
                <w:bCs/>
                <w:sz w:val="15"/>
                <w:szCs w:val="15"/>
                <w:vertAlign w:val="superscript"/>
              </w:rPr>
              <w:t>(a</w:t>
            </w:r>
            <w:r w:rsidR="00E718AB" w:rsidRPr="008E21BC">
              <w:rPr>
                <w:rFonts w:ascii="Arial Narrow" w:hAnsi="Arial Narrow" w:cs="Arial"/>
                <w:b/>
                <w:bCs/>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p>
        </w:tc>
        <w:tc>
          <w:tcPr>
            <w:tcW w:w="0" w:type="auto"/>
            <w:vAlign w:val="bottom"/>
          </w:tcPr>
          <w:p w:rsidR="00F94E14" w:rsidRPr="008E21BC" w:rsidRDefault="008E21BC">
            <w:pPr>
              <w:jc w:val="right"/>
              <w:rPr>
                <w:rFonts w:ascii="Arial Narrow" w:hAnsi="Arial Narrow"/>
              </w:rPr>
            </w:pPr>
            <w:r>
              <w:rPr>
                <w:rFonts w:ascii="Arial Narrow" w:hAnsi="Arial Narrow" w:cs="Arial"/>
                <w:b/>
                <w:bCs/>
                <w:sz w:val="15"/>
                <w:szCs w:val="15"/>
              </w:rPr>
              <w:t>2017</w:t>
            </w:r>
            <w:r w:rsidR="00F94E14" w:rsidRPr="008E21BC">
              <w:rPr>
                <w:rFonts w:ascii="Arial Narrow" w:hAnsi="Arial Narrow" w:cs="Arial"/>
                <w:b/>
                <w:bCs/>
                <w:sz w:val="15"/>
                <w:szCs w:val="15"/>
              </w:rPr>
              <w:t xml:space="preserve"> </w:t>
            </w:r>
          </w:p>
        </w:tc>
        <w:tc>
          <w:tcPr>
            <w:tcW w:w="0" w:type="auto"/>
            <w:noWrap/>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r w:rsidRPr="008E21BC">
              <w:rPr>
                <w:rFonts w:ascii="Arial Narrow" w:hAnsi="Arial Narrow" w:cs="Arial"/>
                <w:b/>
                <w:bCs/>
                <w:sz w:val="15"/>
                <w:szCs w:val="15"/>
                <w:vertAlign w:val="superscript"/>
              </w:rPr>
              <w:t>(b</w:t>
            </w:r>
            <w:r w:rsidR="00E718AB" w:rsidRPr="008E21BC">
              <w:rPr>
                <w:rFonts w:ascii="Arial Narrow" w:hAnsi="Arial Narrow" w:cs="Arial"/>
                <w:b/>
                <w:bCs/>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p>
        </w:tc>
        <w:tc>
          <w:tcPr>
            <w:tcW w:w="0" w:type="auto"/>
            <w:vAlign w:val="bottom"/>
          </w:tcPr>
          <w:p w:rsidR="00F94E14" w:rsidRPr="008E21BC" w:rsidRDefault="008E21BC">
            <w:pPr>
              <w:jc w:val="right"/>
              <w:rPr>
                <w:rFonts w:ascii="Arial Narrow" w:hAnsi="Arial Narrow"/>
              </w:rPr>
            </w:pPr>
            <w:r>
              <w:rPr>
                <w:rFonts w:ascii="Arial Narrow" w:hAnsi="Arial Narrow" w:cs="Arial"/>
                <w:b/>
                <w:bCs/>
                <w:sz w:val="15"/>
                <w:szCs w:val="15"/>
              </w:rPr>
              <w:t>2016</w:t>
            </w:r>
            <w:r w:rsidR="00F94E14" w:rsidRPr="008E21BC">
              <w:rPr>
                <w:rFonts w:ascii="Arial Narrow" w:hAnsi="Arial Narrow" w:cs="Arial"/>
                <w:b/>
                <w:bCs/>
                <w:sz w:val="15"/>
                <w:szCs w:val="15"/>
              </w:rPr>
              <w:t xml:space="preserve"> </w:t>
            </w:r>
          </w:p>
        </w:tc>
        <w:tc>
          <w:tcPr>
            <w:tcW w:w="0" w:type="auto"/>
            <w:noWrap/>
            <w:vAlign w:val="bottom"/>
          </w:tcPr>
          <w:p w:rsidR="00F94E14" w:rsidRPr="008E21BC" w:rsidRDefault="00F94E14">
            <w:pPr>
              <w:rPr>
                <w:rFonts w:ascii="Arial Narrow" w:hAnsi="Arial Narrow"/>
              </w:rPr>
            </w:pPr>
            <w:r w:rsidRPr="008E21BC">
              <w:rPr>
                <w:rFonts w:ascii="Arial Narrow" w:hAnsi="Arial Narrow" w:cs="Arial"/>
                <w:b/>
                <w:bCs/>
                <w:sz w:val="15"/>
                <w:szCs w:val="15"/>
              </w:rPr>
              <w:t xml:space="preserve">  </w:t>
            </w:r>
            <w:r w:rsidRPr="008E21BC">
              <w:rPr>
                <w:rFonts w:ascii="Arial Narrow" w:hAnsi="Arial Narrow" w:cs="Arial"/>
                <w:b/>
                <w:bCs/>
                <w:sz w:val="15"/>
                <w:szCs w:val="15"/>
                <w:vertAlign w:val="superscript"/>
              </w:rPr>
              <w:t>(c</w:t>
            </w:r>
            <w:r w:rsidR="00E718AB" w:rsidRPr="008E21BC">
              <w:rPr>
                <w:rFonts w:ascii="Arial Narrow" w:hAnsi="Arial Narrow" w:cs="Arial"/>
                <w:b/>
                <w:bCs/>
                <w:sz w:val="15"/>
                <w:szCs w:val="15"/>
                <w:vertAlign w:val="superscript"/>
              </w:rPr>
              <w:t>)</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First quarter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5,966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Second quarter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3,583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2,234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Third quarter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Fourth quarter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3,808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4,975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3"/>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380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10,836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8,200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12,424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90" w:beforeAutospacing="0" w:after="0" w:afterAutospacing="0"/>
        <w:ind w:left="489" w:hanging="490"/>
        <w:rPr>
          <w:rFonts w:ascii="Arial Narrow" w:hAnsi="Arial Narrow"/>
        </w:rPr>
      </w:pPr>
      <w:r w:rsidRPr="008E21BC">
        <w:rPr>
          <w:rFonts w:ascii="Arial Narrow" w:hAnsi="Arial Narrow" w:cs="Arial"/>
          <w:sz w:val="20"/>
          <w:szCs w:val="20"/>
        </w:rPr>
        <w:t>(a)</w:t>
      </w:r>
      <w:r w:rsidRPr="008E21BC">
        <w:rPr>
          <w:rFonts w:ascii="Arial Narrow" w:hAnsi="Arial Narrow" w:cs="Arial"/>
          <w:sz w:val="20"/>
          <w:szCs w:val="20"/>
        </w:rPr>
        <w:tab/>
      </w:r>
      <w:r w:rsidRPr="008E21BC">
        <w:rPr>
          <w:rFonts w:ascii="Arial Narrow" w:hAnsi="Arial Narrow" w:cs="Arial"/>
          <w:i/>
          <w:iCs/>
          <w:sz w:val="20"/>
          <w:szCs w:val="20"/>
        </w:rPr>
        <w:t xml:space="preserve">All shares repurchased in fiscal year </w:t>
      </w:r>
      <w:r w:rsidR="008E21BC">
        <w:rPr>
          <w:rFonts w:ascii="Arial Narrow" w:hAnsi="Arial Narrow" w:cs="Arial"/>
          <w:i/>
          <w:iCs/>
          <w:sz w:val="20"/>
          <w:szCs w:val="20"/>
        </w:rPr>
        <w:t>2018</w:t>
      </w:r>
      <w:r w:rsidRPr="008E21BC">
        <w:rPr>
          <w:rFonts w:ascii="Arial Narrow" w:hAnsi="Arial Narrow" w:cs="Arial"/>
          <w:i/>
          <w:iCs/>
          <w:sz w:val="20"/>
          <w:szCs w:val="20"/>
        </w:rPr>
        <w:t xml:space="preserve"> were repurchased under the plan approved by our Board of Directors on September 22, </w:t>
      </w:r>
      <w:r w:rsidR="008E21BC">
        <w:rPr>
          <w:rFonts w:ascii="Arial Narrow" w:hAnsi="Arial Narrow" w:cs="Arial"/>
          <w:i/>
          <w:iCs/>
          <w:sz w:val="20"/>
          <w:szCs w:val="20"/>
        </w:rPr>
        <w:t>2016</w:t>
      </w:r>
      <w:r w:rsidRPr="008E21BC">
        <w:rPr>
          <w:rFonts w:ascii="Arial Narrow" w:hAnsi="Arial Narrow" w:cs="Arial"/>
          <w:i/>
          <w:iCs/>
          <w:sz w:val="20"/>
          <w:szCs w:val="20"/>
        </w:rPr>
        <w:t>.</w:t>
      </w:r>
      <w:r w:rsidRPr="008E21BC">
        <w:rPr>
          <w:rFonts w:ascii="Arial Narrow" w:hAnsi="Arial Narrow" w:cs="Arial"/>
          <w:sz w:val="20"/>
          <w:szCs w:val="20"/>
        </w:rPr>
        <w:t xml:space="preserve"> </w:t>
      </w:r>
    </w:p>
    <w:p w:rsidR="00F94E14" w:rsidRPr="008E21BC" w:rsidRDefault="00F94E14">
      <w:pPr>
        <w:pStyle w:val="NormalWeb"/>
        <w:spacing w:before="0" w:beforeAutospacing="0" w:after="0" w:afterAutospacing="0"/>
        <w:ind w:left="489" w:hanging="490"/>
        <w:rPr>
          <w:rFonts w:ascii="Arial Narrow" w:hAnsi="Arial Narrow"/>
        </w:rPr>
      </w:pPr>
      <w:r w:rsidRPr="008E21BC">
        <w:rPr>
          <w:rFonts w:ascii="Arial Narrow" w:hAnsi="Arial Narrow" w:cs="Arial"/>
          <w:sz w:val="20"/>
          <w:szCs w:val="20"/>
        </w:rPr>
        <w:t>(b)</w:t>
      </w:r>
      <w:r w:rsidRPr="008E21BC">
        <w:rPr>
          <w:rFonts w:ascii="Arial Narrow" w:hAnsi="Arial Narrow" w:cs="Arial"/>
          <w:sz w:val="20"/>
          <w:szCs w:val="20"/>
        </w:rPr>
        <w:tab/>
      </w:r>
      <w:r w:rsidRPr="008E21BC">
        <w:rPr>
          <w:rFonts w:ascii="Arial Narrow" w:hAnsi="Arial Narrow" w:cs="Arial"/>
          <w:i/>
          <w:iCs/>
          <w:sz w:val="20"/>
          <w:szCs w:val="20"/>
        </w:rPr>
        <w:t xml:space="preserve">Of the 318 million shares of common stock repurchased in fiscal year </w:t>
      </w:r>
      <w:r w:rsidR="008E21BC">
        <w:rPr>
          <w:rFonts w:ascii="Arial Narrow" w:hAnsi="Arial Narrow" w:cs="Arial"/>
          <w:i/>
          <w:iCs/>
          <w:sz w:val="20"/>
          <w:szCs w:val="20"/>
        </w:rPr>
        <w:t>2017</w:t>
      </w:r>
      <w:r w:rsidRPr="008E21BC">
        <w:rPr>
          <w:rFonts w:ascii="Arial Narrow" w:hAnsi="Arial Narrow" w:cs="Arial"/>
          <w:i/>
          <w:iCs/>
          <w:sz w:val="20"/>
          <w:szCs w:val="20"/>
        </w:rPr>
        <w:t xml:space="preserve">, 101 million shares were repurchased for $2.7 billion under the plan approved by our Board of Directors during the first quarter of fiscal year 2007. The remaining shares were repurchased under the plan approved by our Board of Directors on September 22, </w:t>
      </w:r>
      <w:r w:rsidR="008E21BC">
        <w:rPr>
          <w:rFonts w:ascii="Arial Narrow" w:hAnsi="Arial Narrow" w:cs="Arial"/>
          <w:i/>
          <w:iCs/>
          <w:sz w:val="20"/>
          <w:szCs w:val="20"/>
        </w:rPr>
        <w:t>2016</w:t>
      </w:r>
      <w:r w:rsidRPr="008E21BC">
        <w:rPr>
          <w:rFonts w:ascii="Arial Narrow" w:hAnsi="Arial Narrow" w:cs="Arial"/>
          <w:i/>
          <w:iCs/>
          <w:sz w:val="20"/>
          <w:szCs w:val="20"/>
        </w:rPr>
        <w:t>.</w:t>
      </w:r>
      <w:r w:rsidRPr="008E21BC">
        <w:rPr>
          <w:rFonts w:ascii="Arial Narrow" w:hAnsi="Arial Narrow" w:cs="Arial"/>
          <w:sz w:val="20"/>
          <w:szCs w:val="20"/>
        </w:rPr>
        <w:t xml:space="preserve"> </w:t>
      </w:r>
    </w:p>
    <w:p w:rsidR="00F94E14" w:rsidRPr="008E21BC" w:rsidRDefault="00F94E14">
      <w:pPr>
        <w:pStyle w:val="NormalWeb"/>
        <w:spacing w:before="0" w:beforeAutospacing="0" w:after="0" w:afterAutospacing="0"/>
        <w:ind w:left="489" w:hanging="490"/>
        <w:rPr>
          <w:rFonts w:ascii="Arial Narrow" w:hAnsi="Arial Narrow"/>
        </w:rPr>
      </w:pPr>
      <w:r w:rsidRPr="008E21BC">
        <w:rPr>
          <w:rFonts w:ascii="Arial Narrow" w:hAnsi="Arial Narrow" w:cs="Arial"/>
          <w:sz w:val="20"/>
          <w:szCs w:val="20"/>
        </w:rPr>
        <w:t>(c)</w:t>
      </w:r>
      <w:r w:rsidRPr="008E21BC">
        <w:rPr>
          <w:rFonts w:ascii="Arial Narrow" w:hAnsi="Arial Narrow" w:cs="Arial"/>
          <w:sz w:val="20"/>
          <w:szCs w:val="20"/>
        </w:rPr>
        <w:tab/>
      </w:r>
      <w:r w:rsidRPr="008E21BC">
        <w:rPr>
          <w:rFonts w:ascii="Arial Narrow" w:hAnsi="Arial Narrow" w:cs="Arial"/>
          <w:i/>
          <w:iCs/>
          <w:sz w:val="20"/>
          <w:szCs w:val="20"/>
        </w:rPr>
        <w:t xml:space="preserve">All shares repurchased in fiscal year </w:t>
      </w:r>
      <w:r w:rsidR="008E21BC">
        <w:rPr>
          <w:rFonts w:ascii="Arial Narrow" w:hAnsi="Arial Narrow" w:cs="Arial"/>
          <w:i/>
          <w:iCs/>
          <w:sz w:val="20"/>
          <w:szCs w:val="20"/>
        </w:rPr>
        <w:t>2016</w:t>
      </w:r>
      <w:r w:rsidRPr="008E21BC">
        <w:rPr>
          <w:rFonts w:ascii="Arial Narrow" w:hAnsi="Arial Narrow" w:cs="Arial"/>
          <w:i/>
          <w:iCs/>
          <w:sz w:val="20"/>
          <w:szCs w:val="20"/>
        </w:rPr>
        <w:t xml:space="preserve"> were repurchased under the plan approved by our Board of Directors during the first quarter of fiscal year 2007.</w:t>
      </w:r>
      <w:r w:rsidRPr="008E21BC">
        <w:rPr>
          <w:rFonts w:ascii="Arial Narrow" w:hAnsi="Arial Narrow" w:cs="Arial"/>
          <w:sz w:val="20"/>
          <w:szCs w:val="20"/>
        </w:rPr>
        <w:t xml:space="preserve">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Dividends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In fiscal year </w:t>
      </w:r>
      <w:r w:rsidR="008E21BC">
        <w:rPr>
          <w:rFonts w:ascii="Arial Narrow" w:hAnsi="Arial Narrow" w:cs="Arial"/>
          <w:sz w:val="20"/>
          <w:szCs w:val="20"/>
        </w:rPr>
        <w:t>2018</w:t>
      </w:r>
      <w:r w:rsidRPr="008E21BC">
        <w:rPr>
          <w:rFonts w:ascii="Arial Narrow" w:hAnsi="Arial Narrow" w:cs="Arial"/>
          <w:sz w:val="20"/>
          <w:szCs w:val="20"/>
        </w:rPr>
        <w:t xml:space="preserve">, our Board of Directors declared the following dividends: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361"/>
        <w:gridCol w:w="312"/>
        <w:gridCol w:w="126"/>
        <w:gridCol w:w="502"/>
        <w:gridCol w:w="62"/>
        <w:gridCol w:w="311"/>
        <w:gridCol w:w="1559"/>
        <w:gridCol w:w="62"/>
        <w:gridCol w:w="311"/>
        <w:gridCol w:w="145"/>
        <w:gridCol w:w="708"/>
        <w:gridCol w:w="62"/>
        <w:gridCol w:w="311"/>
        <w:gridCol w:w="1550"/>
      </w:tblGrid>
      <w:tr w:rsidR="00F94E14" w:rsidRPr="008E21BC">
        <w:trPr>
          <w:tblHeader/>
          <w:jc w:val="center"/>
        </w:trPr>
        <w:tc>
          <w:tcPr>
            <w:tcW w:w="21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Declaration Date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Dividend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Per Share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Record Date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Total 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Payment Date</w:t>
            </w:r>
          </w:p>
        </w:tc>
      </w:tr>
      <w:tr w:rsidR="00F94E14" w:rsidRPr="008E21BC">
        <w:trPr>
          <w:jc w:val="center"/>
        </w:trPr>
        <w:tc>
          <w:tcPr>
            <w:tcW w:w="0" w:type="auto"/>
            <w:gridSpan w:val="14"/>
            <w:vAlign w:val="bottom"/>
          </w:tcPr>
          <w:p w:rsidR="00F94E14" w:rsidRPr="008E21BC" w:rsidRDefault="00F94E14">
            <w:pPr>
              <w:pStyle w:val="rrdsinglerule"/>
              <w:rPr>
                <w:rFonts w:ascii="Arial Narrow" w:hAnsi="Arial Narrow"/>
              </w:rPr>
            </w:pPr>
            <w:r w:rsidRPr="008E21BC">
              <w:rPr>
                <w:rFonts w:ascii="Arial Narrow" w:hAnsi="Arial Narrow"/>
              </w:rPr>
              <w:t> </w:t>
            </w:r>
          </w:p>
        </w:tc>
      </w:tr>
      <w:tr w:rsidR="00F94E14" w:rsidRPr="008E21BC">
        <w:trP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 xml:space="preserve">September 18, </w:t>
            </w:r>
            <w:r w:rsidR="008E21BC">
              <w:rPr>
                <w:rFonts w:ascii="Arial Narrow" w:hAnsi="Arial Narrow" w:cs="Arial"/>
                <w:b/>
                <w:bCs/>
                <w:sz w:val="20"/>
                <w:szCs w:val="20"/>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November 19, </w:t>
            </w:r>
            <w:r w:rsidR="008E21BC">
              <w:rPr>
                <w:rFonts w:ascii="Arial Narrow" w:hAnsi="Arial Narrow" w:cs="Arial"/>
                <w:b/>
                <w:bCs/>
              </w:rPr>
              <w:t>2017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1,152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December 10, </w:t>
            </w:r>
            <w:r w:rsidR="008E21BC">
              <w:rPr>
                <w:rFonts w:ascii="Arial Narrow" w:hAnsi="Arial Narrow" w:cs="Arial"/>
                <w:b/>
                <w:bCs/>
              </w:rPr>
              <w:t>2017</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 xml:space="preserve">December 9, </w:t>
            </w:r>
            <w:r w:rsidR="008E21BC">
              <w:rPr>
                <w:rFonts w:ascii="Arial Narrow" w:hAnsi="Arial Narrow" w:cs="Arial"/>
                <w:b/>
                <w:bCs/>
                <w:sz w:val="20"/>
                <w:szCs w:val="20"/>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xml:space="preserve">February 18, </w:t>
            </w:r>
            <w:r w:rsidR="008E21BC">
              <w:rPr>
                <w:rFonts w:ascii="Arial Narrow" w:hAnsi="Arial Narrow" w:cs="Arial"/>
                <w:b/>
                <w:bCs/>
              </w:rPr>
              <w:t>2018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1,139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xml:space="preserve">March 11, </w:t>
            </w:r>
            <w:r w:rsidR="008E21BC">
              <w:rPr>
                <w:rFonts w:ascii="Arial Narrow" w:hAnsi="Arial Narrow" w:cs="Arial"/>
                <w:b/>
                <w:bCs/>
              </w:rPr>
              <w:t>2018</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 xml:space="preserve">March 8, </w:t>
            </w:r>
            <w:r w:rsidR="008E21BC">
              <w:rPr>
                <w:rFonts w:ascii="Arial Narrow" w:hAnsi="Arial Narrow" w:cs="Arial"/>
                <w:b/>
                <w:bCs/>
                <w:sz w:val="20"/>
                <w:szCs w:val="20"/>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xml:space="preserve">May 20, </w:t>
            </w:r>
            <w:r w:rsidR="008E21BC">
              <w:rPr>
                <w:rFonts w:ascii="Arial Narrow" w:hAnsi="Arial Narrow" w:cs="Arial"/>
                <w:b/>
                <w:bCs/>
              </w:rPr>
              <w:t>2018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xml:space="preserve">June 10, </w:t>
            </w:r>
            <w:r w:rsidR="008E21BC">
              <w:rPr>
                <w:rFonts w:ascii="Arial Narrow" w:hAnsi="Arial Narrow" w:cs="Arial"/>
                <w:b/>
                <w:bCs/>
              </w:rPr>
              <w:t>2018</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b/>
                <w:bCs/>
                <w:sz w:val="20"/>
                <w:szCs w:val="20"/>
              </w:rPr>
              <w:t xml:space="preserve">June 16, </w:t>
            </w:r>
            <w:r w:rsidR="008E21BC">
              <w:rPr>
                <w:rFonts w:ascii="Arial Narrow" w:hAnsi="Arial Narrow" w:cs="Arial"/>
                <w:b/>
                <w:bCs/>
                <w:sz w:val="20"/>
                <w:szCs w:val="20"/>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xml:space="preserve">August 19, </w:t>
            </w:r>
            <w:r w:rsidR="008E21BC">
              <w:rPr>
                <w:rFonts w:ascii="Arial Narrow" w:hAnsi="Arial Narrow" w:cs="Arial"/>
                <w:b/>
                <w:bCs/>
              </w:rPr>
              <w:t>2018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September 9, </w:t>
            </w:r>
            <w:r w:rsidR="008E21BC">
              <w:rPr>
                <w:rFonts w:ascii="Arial Narrow" w:hAnsi="Arial Narrow" w:cs="Arial"/>
                <w:b/>
                <w:bCs/>
              </w:rPr>
              <w:t>2018</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The dividend declared on June 16, </w:t>
      </w:r>
      <w:r w:rsidR="008E21BC">
        <w:rPr>
          <w:rFonts w:ascii="Arial Narrow" w:hAnsi="Arial Narrow" w:cs="Arial"/>
          <w:sz w:val="20"/>
          <w:szCs w:val="20"/>
        </w:rPr>
        <w:t>2018</w:t>
      </w:r>
      <w:r w:rsidRPr="008E21BC">
        <w:rPr>
          <w:rFonts w:ascii="Arial Narrow" w:hAnsi="Arial Narrow" w:cs="Arial"/>
          <w:sz w:val="20"/>
          <w:szCs w:val="20"/>
        </w:rPr>
        <w:t xml:space="preserve"> will be paid after the filing of our </w:t>
      </w:r>
      <w:r w:rsidR="008E21BC">
        <w:rPr>
          <w:rFonts w:ascii="Arial Narrow" w:hAnsi="Arial Narrow" w:cs="Arial"/>
          <w:sz w:val="20"/>
          <w:szCs w:val="20"/>
        </w:rPr>
        <w:t>2018</w:t>
      </w:r>
      <w:r w:rsidRPr="008E21BC">
        <w:rPr>
          <w:rFonts w:ascii="Arial Narrow" w:hAnsi="Arial Narrow" w:cs="Arial"/>
          <w:sz w:val="20"/>
          <w:szCs w:val="20"/>
        </w:rPr>
        <w:t xml:space="preserve"> Form 10-K and was included in other current liabilities as of June 30, </w:t>
      </w:r>
      <w:r w:rsidR="008E21BC">
        <w:rPr>
          <w:rFonts w:ascii="Arial Narrow" w:hAnsi="Arial Narrow" w:cs="Arial"/>
          <w:sz w:val="20"/>
          <w:szCs w:val="20"/>
        </w:rPr>
        <w:t>2018</w:t>
      </w:r>
      <w:r w:rsidRPr="008E21BC">
        <w:rPr>
          <w:rFonts w:ascii="Arial Narrow" w:hAnsi="Arial Narrow" w:cs="Arial"/>
          <w:sz w:val="20"/>
          <w:szCs w:val="20"/>
        </w:rPr>
        <w:t xml:space="preserve">.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In fiscal year </w:t>
      </w:r>
      <w:r w:rsidR="008E21BC">
        <w:rPr>
          <w:rFonts w:ascii="Arial Narrow" w:hAnsi="Arial Narrow" w:cs="Arial"/>
          <w:sz w:val="20"/>
          <w:szCs w:val="20"/>
        </w:rPr>
        <w:t>2017</w:t>
      </w:r>
      <w:r w:rsidRPr="008E21BC">
        <w:rPr>
          <w:rFonts w:ascii="Arial Narrow" w:hAnsi="Arial Narrow" w:cs="Arial"/>
          <w:sz w:val="20"/>
          <w:szCs w:val="20"/>
        </w:rPr>
        <w:t xml:space="preserve">, our Board of Directors declared the following dividends: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65"/>
        <w:gridCol w:w="312"/>
        <w:gridCol w:w="124"/>
        <w:gridCol w:w="495"/>
        <w:gridCol w:w="61"/>
        <w:gridCol w:w="311"/>
        <w:gridCol w:w="1491"/>
        <w:gridCol w:w="61"/>
        <w:gridCol w:w="311"/>
        <w:gridCol w:w="143"/>
        <w:gridCol w:w="698"/>
        <w:gridCol w:w="61"/>
        <w:gridCol w:w="311"/>
        <w:gridCol w:w="1538"/>
      </w:tblGrid>
      <w:tr w:rsidR="00F94E14" w:rsidRPr="008E21BC">
        <w:trPr>
          <w:tblHeader/>
          <w:jc w:val="center"/>
        </w:trPr>
        <w:tc>
          <w:tcPr>
            <w:tcW w:w="21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Declaration Date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Dividend</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Per Share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Record Date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Total Amount</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Payment Date</w:t>
            </w:r>
          </w:p>
        </w:tc>
      </w:tr>
      <w:tr w:rsidR="00F94E14" w:rsidRPr="008E21BC">
        <w:trPr>
          <w:jc w:val="center"/>
        </w:trPr>
        <w:tc>
          <w:tcPr>
            <w:tcW w:w="0" w:type="auto"/>
            <w:gridSpan w:val="14"/>
            <w:vAlign w:val="bottom"/>
          </w:tcPr>
          <w:p w:rsidR="00F94E14" w:rsidRPr="008E21BC" w:rsidRDefault="00F94E14">
            <w:pPr>
              <w:pStyle w:val="rrdsinglerule"/>
              <w:rPr>
                <w:rFonts w:ascii="Arial Narrow" w:hAnsi="Arial Narrow"/>
              </w:rPr>
            </w:pPr>
            <w:r w:rsidRPr="008E21BC">
              <w:rPr>
                <w:rFonts w:ascii="Arial Narrow" w:hAnsi="Arial Narrow"/>
              </w:rPr>
              <w:t> </w:t>
            </w:r>
          </w:p>
        </w:tc>
      </w:tr>
      <w:tr w:rsidR="00F94E14" w:rsidRPr="008E21BC">
        <w:trP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September 19, </w:t>
            </w:r>
            <w:r w:rsidR="008E21BC">
              <w:rPr>
                <w:rFonts w:ascii="Arial Narrow" w:hAnsi="Arial Narrow" w:cs="Arial"/>
                <w:sz w:val="20"/>
                <w:szCs w:val="20"/>
              </w:rPr>
              <w:t>2016</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November 20, </w:t>
            </w:r>
            <w:r w:rsidR="008E21BC">
              <w:rPr>
                <w:rFonts w:ascii="Arial Narrow" w:hAnsi="Arial Narrow" w:cs="Arial"/>
              </w:rPr>
              <w:t>2016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1,157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December 11, </w:t>
            </w:r>
            <w:r w:rsidR="008E21BC">
              <w:rPr>
                <w:rFonts w:ascii="Arial Narrow" w:hAnsi="Arial Narrow" w:cs="Arial"/>
              </w:rPr>
              <w:t>2016</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December 10, </w:t>
            </w:r>
            <w:r w:rsidR="008E21BC">
              <w:rPr>
                <w:rFonts w:ascii="Arial Narrow" w:hAnsi="Arial Narrow" w:cs="Arial"/>
                <w:sz w:val="20"/>
                <w:szCs w:val="20"/>
              </w:rPr>
              <w:t>2016</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xml:space="preserve">February 19, </w:t>
            </w:r>
            <w:r w:rsidR="008E21BC">
              <w:rPr>
                <w:rFonts w:ascii="Arial Narrow" w:hAnsi="Arial Narrow" w:cs="Arial"/>
              </w:rPr>
              <w:t>2017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xml:space="preserve">March 12, </w:t>
            </w:r>
            <w:r w:rsidR="008E21BC">
              <w:rPr>
                <w:rFonts w:ascii="Arial Narrow" w:hAnsi="Arial Narrow" w:cs="Arial"/>
              </w:rPr>
              <w:t>2017</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March 9, </w:t>
            </w:r>
            <w:r w:rsidR="008E21BC">
              <w:rPr>
                <w:rFonts w:ascii="Arial Narrow" w:hAnsi="Arial Narrow" w:cs="Arial"/>
                <w:sz w:val="20"/>
                <w:szCs w:val="20"/>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xml:space="preserve">May 21, </w:t>
            </w:r>
            <w:r w:rsidR="008E21BC">
              <w:rPr>
                <w:rFonts w:ascii="Arial Narrow" w:hAnsi="Arial Narrow" w:cs="Arial"/>
              </w:rPr>
              <w:t>2017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xml:space="preserve">June 18, </w:t>
            </w:r>
            <w:r w:rsidR="008E21BC">
              <w:rPr>
                <w:rFonts w:ascii="Arial Narrow" w:hAnsi="Arial Narrow" w:cs="Arial"/>
              </w:rPr>
              <w:t>2017</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June 10, </w:t>
            </w:r>
            <w:r w:rsidR="008E21BC">
              <w:rPr>
                <w:rFonts w:ascii="Arial Narrow" w:hAnsi="Arial Narrow" w:cs="Arial"/>
                <w:sz w:val="20"/>
                <w:szCs w:val="20"/>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xml:space="preserve">August 20, </w:t>
            </w:r>
            <w:r w:rsidR="008E21BC">
              <w:rPr>
                <w:rFonts w:ascii="Arial Narrow" w:hAnsi="Arial Narrow" w:cs="Arial"/>
              </w:rPr>
              <w:t>2017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September 10, </w:t>
            </w:r>
            <w:r w:rsidR="008E21BC">
              <w:rPr>
                <w:rFonts w:ascii="Arial Narrow" w:hAnsi="Arial Narrow" w:cs="Arial"/>
              </w:rPr>
              <w:t>2017</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The dividend declared on June 10, </w:t>
      </w:r>
      <w:r w:rsidR="008E21BC">
        <w:rPr>
          <w:rFonts w:ascii="Arial Narrow" w:hAnsi="Arial Narrow" w:cs="Arial"/>
          <w:sz w:val="20"/>
          <w:szCs w:val="20"/>
        </w:rPr>
        <w:t>2017</w:t>
      </w:r>
      <w:r w:rsidRPr="008E21BC">
        <w:rPr>
          <w:rFonts w:ascii="Arial Narrow" w:hAnsi="Arial Narrow" w:cs="Arial"/>
          <w:sz w:val="20"/>
          <w:szCs w:val="20"/>
        </w:rPr>
        <w:t xml:space="preserve"> was included in other current liabilities as of June 30, </w:t>
      </w:r>
      <w:r w:rsidR="008E21BC">
        <w:rPr>
          <w:rFonts w:ascii="Arial Narrow" w:hAnsi="Arial Narrow" w:cs="Arial"/>
          <w:sz w:val="20"/>
          <w:szCs w:val="20"/>
        </w:rPr>
        <w:t>2017</w:t>
      </w:r>
      <w:r w:rsidRPr="008E21BC">
        <w:rPr>
          <w:rFonts w:ascii="Arial Narrow" w:hAnsi="Arial Narrow" w:cs="Arial"/>
          <w:sz w:val="20"/>
          <w:szCs w:val="20"/>
        </w:rPr>
        <w:t xml:space="preserve">. </w:t>
      </w:r>
    </w:p>
    <w:p w:rsidR="00F94E14" w:rsidRPr="008E21BC" w:rsidRDefault="00F94E14" w:rsidP="00E20399">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Cumulative Effects of Changes in Accounting Principle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On July 1, 2007, we adopted guidance on accounting for uncertainty in income taxes, which provides a financial statement recognition threshold and measurement attribute for a tax position taken or expected to be taken in a tax return. Upon adoption, we recognized a $395 million charge to our beginning retained deficit as a cumulative effect of a change in accounting principle.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On July 1, 2007, we adopted accounting guidance which requires companies to accrue the costs of compensated absences under a sabbatical or similar benefit arrangement over the requisite service period. Upon adoption, we recognized a $17 million charge to our beginning retained deficit as a cumulative effect of a change in accounting principle. </w:t>
      </w:r>
    </w:p>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19 — OTHER COMPREHENSIVE INCOME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lastRenderedPageBreak/>
        <w:t xml:space="preserve">The activity in other comprehensive income and related income tax effects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703"/>
        <w:gridCol w:w="293"/>
        <w:gridCol w:w="106"/>
        <w:gridCol w:w="425"/>
        <w:gridCol w:w="69"/>
        <w:gridCol w:w="293"/>
        <w:gridCol w:w="106"/>
        <w:gridCol w:w="425"/>
        <w:gridCol w:w="69"/>
        <w:gridCol w:w="293"/>
        <w:gridCol w:w="106"/>
        <w:gridCol w:w="425"/>
        <w:gridCol w:w="69"/>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Net Unrealized Gains on 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Unrealized gains, net of tax effects of </w:t>
            </w:r>
            <w:r w:rsidRPr="008E21BC">
              <w:rPr>
                <w:rFonts w:ascii="Arial Narrow" w:hAnsi="Arial Narrow" w:cs="Arial"/>
                <w:b/>
                <w:bCs/>
                <w:sz w:val="20"/>
                <w:szCs w:val="20"/>
              </w:rPr>
              <w:t>$188</w:t>
            </w:r>
            <w:r w:rsidRPr="008E21BC">
              <w:rPr>
                <w:rFonts w:ascii="Arial Narrow" w:hAnsi="Arial Narrow" w:cs="Arial"/>
                <w:sz w:val="20"/>
                <w:szCs w:val="20"/>
              </w:rPr>
              <w:t>, $472, and $46</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349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876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rsidP="00CB2626">
            <w:pPr>
              <w:pStyle w:val="NormalWeb"/>
              <w:ind w:left="240" w:hanging="240"/>
              <w:jc w:val="left"/>
              <w:rPr>
                <w:rFonts w:ascii="Arial Narrow" w:hAnsi="Arial Narrow"/>
              </w:rPr>
            </w:pPr>
            <w:r w:rsidRPr="008E21BC">
              <w:rPr>
                <w:rFonts w:ascii="Arial Narrow" w:hAnsi="Arial Narrow" w:cs="Arial"/>
                <w:sz w:val="20"/>
                <w:szCs w:val="20"/>
              </w:rPr>
              <w:t xml:space="preserve">Reclassification adjustment for gains included in net income, net of tax effects of </w:t>
            </w:r>
            <w:r w:rsidRPr="008E21BC">
              <w:rPr>
                <w:rFonts w:ascii="Arial Narrow" w:hAnsi="Arial Narrow" w:cs="Arial"/>
                <w:b/>
                <w:bCs/>
                <w:sz w:val="20"/>
                <w:szCs w:val="20"/>
              </w:rPr>
              <w:t>$(173)</w:t>
            </w:r>
            <w:r w:rsidRPr="008E21BC">
              <w:rPr>
                <w:rFonts w:ascii="Arial Narrow" w:hAnsi="Arial Narrow" w:cs="Arial"/>
                <w:sz w:val="20"/>
                <w:szCs w:val="20"/>
              </w:rPr>
              <w:t>, $(309), and $(36)</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(574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Net unrealized gains on 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Net Unrealized Gains (Losses) on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Unrealized gains (losses), net of tax effects of </w:t>
            </w:r>
            <w:r w:rsidRPr="008E21BC">
              <w:rPr>
                <w:rFonts w:ascii="Arial Narrow" w:hAnsi="Arial Narrow" w:cs="Arial"/>
                <w:b/>
                <w:bCs/>
                <w:sz w:val="20"/>
                <w:szCs w:val="20"/>
              </w:rPr>
              <w:t>$263</w:t>
            </w:r>
            <w:r w:rsidRPr="008E21BC">
              <w:rPr>
                <w:rFonts w:ascii="Arial Narrow" w:hAnsi="Arial Narrow" w:cs="Arial"/>
                <w:sz w:val="20"/>
                <w:szCs w:val="20"/>
              </w:rPr>
              <w:t>, $(142), and $(234)</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(263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(435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rsidP="00CB2626">
            <w:pPr>
              <w:pStyle w:val="NormalWeb"/>
              <w:ind w:left="240" w:hanging="240"/>
              <w:jc w:val="left"/>
              <w:rPr>
                <w:rFonts w:ascii="Arial Narrow" w:hAnsi="Arial Narrow"/>
              </w:rPr>
            </w:pPr>
            <w:r w:rsidRPr="008E21BC">
              <w:rPr>
                <w:rFonts w:ascii="Arial Narrow" w:hAnsi="Arial Narrow" w:cs="Arial"/>
                <w:sz w:val="20"/>
                <w:szCs w:val="20"/>
              </w:rPr>
              <w:t xml:space="preserve">Reclassification adjustment for losses (gains) included in net income, net of tax effects of </w:t>
            </w:r>
            <w:r w:rsidRPr="008E21BC">
              <w:rPr>
                <w:rFonts w:ascii="Arial Narrow" w:hAnsi="Arial Narrow" w:cs="Arial"/>
                <w:b/>
                <w:bCs/>
                <w:sz w:val="20"/>
                <w:szCs w:val="20"/>
              </w:rPr>
              <w:t>$(120)</w:t>
            </w:r>
            <w:r w:rsidRPr="008E21BC">
              <w:rPr>
                <w:rFonts w:ascii="Arial Narrow" w:hAnsi="Arial Narrow" w:cs="Arial"/>
                <w:sz w:val="20"/>
                <w:szCs w:val="20"/>
              </w:rPr>
              <w:t>, $16, and $(117)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Net unrealized gains (losses) on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(653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rsidP="0064007A">
            <w:pPr>
              <w:pStyle w:val="NormalWeb"/>
              <w:ind w:left="240" w:hanging="240"/>
              <w:jc w:val="left"/>
              <w:rPr>
                <w:rFonts w:ascii="Arial Narrow" w:hAnsi="Arial Narrow"/>
              </w:rPr>
            </w:pPr>
            <w:r w:rsidRPr="008E21BC">
              <w:rPr>
                <w:rFonts w:ascii="Arial Narrow" w:hAnsi="Arial Narrow" w:cs="Arial"/>
                <w:sz w:val="20"/>
                <w:szCs w:val="20"/>
              </w:rPr>
              <w:t xml:space="preserve">Translation adjustments and other, net of tax effects of </w:t>
            </w:r>
            <w:r w:rsidRPr="008E21BC">
              <w:rPr>
                <w:rFonts w:ascii="Arial Narrow" w:hAnsi="Arial Narrow" w:cs="Arial"/>
                <w:b/>
                <w:bCs/>
                <w:sz w:val="20"/>
                <w:szCs w:val="20"/>
              </w:rPr>
              <w:t>$(103)</w:t>
            </w:r>
            <w:r w:rsidRPr="008E21BC">
              <w:rPr>
                <w:rFonts w:ascii="Arial Narrow" w:hAnsi="Arial Narrow" w:cs="Arial"/>
                <w:sz w:val="20"/>
                <w:szCs w:val="20"/>
              </w:rPr>
              <w:t>, $(133), and $69</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121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 comprehensive income (loss)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(514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components of accumulated other comprehensive income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609"/>
        <w:gridCol w:w="285"/>
        <w:gridCol w:w="107"/>
        <w:gridCol w:w="517"/>
        <w:gridCol w:w="69"/>
        <w:gridCol w:w="284"/>
        <w:gridCol w:w="106"/>
        <w:gridCol w:w="379"/>
        <w:gridCol w:w="60"/>
        <w:gridCol w:w="284"/>
        <w:gridCol w:w="106"/>
        <w:gridCol w:w="516"/>
        <w:gridCol w:w="60"/>
      </w:tblGrid>
      <w:tr w:rsidR="00F94E14" w:rsidRPr="008E21BC">
        <w:trPr>
          <w:tblHeader/>
          <w:jc w:val="center"/>
        </w:trPr>
        <w:tc>
          <w:tcPr>
            <w:tcW w:w="40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unrealized gains on derivatives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unrealized gains on investments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767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Translation adjustments and 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Accumulated other comprehensive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1,055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969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1,140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20 — EMPLOYEE STOCK AND SAVINGS PLANS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Stock-based compensation expense and related income tax benefits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84"/>
        <w:gridCol w:w="284"/>
        <w:gridCol w:w="106"/>
        <w:gridCol w:w="516"/>
        <w:gridCol w:w="60"/>
        <w:gridCol w:w="284"/>
        <w:gridCol w:w="106"/>
        <w:gridCol w:w="516"/>
        <w:gridCol w:w="60"/>
        <w:gridCol w:w="284"/>
        <w:gridCol w:w="106"/>
        <w:gridCol w:w="516"/>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Total stock-based compensation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1,891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1,708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1,479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Income tax benefits related to stock-based compensation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rsidP="00E20399">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Employee Stock Purchase Plan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We have an employee stock purchase plan for all eligible employees. Shares of our common stock may be purchased by employees at three-month intervals at 90% of the fair market value on the last day of each three-month period. Employees may purchase shares having a value not exceeding 15% of their gross compensation during an offering period. Employees purchased the following shares during the periods presented: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84"/>
        <w:gridCol w:w="284"/>
        <w:gridCol w:w="106"/>
        <w:gridCol w:w="516"/>
        <w:gridCol w:w="60"/>
        <w:gridCol w:w="284"/>
        <w:gridCol w:w="106"/>
        <w:gridCol w:w="516"/>
        <w:gridCol w:w="60"/>
        <w:gridCol w:w="284"/>
        <w:gridCol w:w="106"/>
        <w:gridCol w:w="516"/>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(Shares 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Shares purchased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Average price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23.73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26.78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At June 30, </w:t>
      </w:r>
      <w:r w:rsidR="008E21BC">
        <w:rPr>
          <w:rFonts w:ascii="Arial Narrow" w:hAnsi="Arial Narrow" w:cs="Arial"/>
          <w:sz w:val="20"/>
          <w:szCs w:val="20"/>
        </w:rPr>
        <w:t>2018</w:t>
      </w:r>
      <w:r w:rsidRPr="008E21BC">
        <w:rPr>
          <w:rFonts w:ascii="Arial Narrow" w:hAnsi="Arial Narrow" w:cs="Arial"/>
          <w:sz w:val="20"/>
          <w:szCs w:val="20"/>
        </w:rPr>
        <w:t xml:space="preserve">, 64 million shares of our common stock were reserved for future issuance through the employee stock purchase plan.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lastRenderedPageBreak/>
        <w:t xml:space="preserve">Stock Plans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have stock plans for directors and for officers, employees, consultants, and advisors. At June 30, </w:t>
      </w:r>
      <w:r w:rsidR="008E21BC">
        <w:rPr>
          <w:rFonts w:ascii="Arial Narrow" w:hAnsi="Arial Narrow" w:cs="Arial"/>
          <w:sz w:val="20"/>
          <w:szCs w:val="20"/>
        </w:rPr>
        <w:t>2018</w:t>
      </w:r>
      <w:r w:rsidRPr="008E21BC">
        <w:rPr>
          <w:rFonts w:ascii="Arial Narrow" w:hAnsi="Arial Narrow" w:cs="Arial"/>
          <w:sz w:val="20"/>
          <w:szCs w:val="20"/>
        </w:rPr>
        <w:t xml:space="preserve">, an aggregate of 690 million shares were authorized for future grant under our stock plans, which cover stock options, stock awards, and shared performance stock awards. Awards that expire or are canceled without delivery of shares generally become available for issuance under the plans. We issue new shares to satisfy exercises and vestings of awards granted under all of our stock plans.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i/>
          <w:iCs/>
          <w:sz w:val="20"/>
          <w:szCs w:val="20"/>
        </w:rPr>
        <w:t xml:space="preserve">Stock Awards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Stock awards (“SAs”) are grants that entitle the holder to shares of </w:t>
      </w:r>
      <w:r w:rsidR="008E21BC">
        <w:rPr>
          <w:rFonts w:ascii="Arial Narrow" w:hAnsi="Arial Narrow" w:cs="Arial"/>
          <w:sz w:val="20"/>
          <w:szCs w:val="20"/>
        </w:rPr>
        <w:t>Espresso</w:t>
      </w:r>
      <w:r w:rsidRPr="008E21BC">
        <w:rPr>
          <w:rFonts w:ascii="Arial Narrow" w:hAnsi="Arial Narrow" w:cs="Arial"/>
          <w:sz w:val="20"/>
          <w:szCs w:val="20"/>
        </w:rPr>
        <w:t xml:space="preserve"> common stock as the award vests. Our SAs generally vest over a five-year period.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i/>
          <w:iCs/>
          <w:sz w:val="20"/>
          <w:szCs w:val="20"/>
        </w:rPr>
        <w:t xml:space="preserve">Shared Performance Stock Awards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Shared performance stock awards (“SPSAs”) are a form of SA in which the number of shares ultimately received depends on our business performance against specified performance targets.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granted SPSAs for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with performance periods of July 1, </w:t>
      </w:r>
      <w:r w:rsidR="008E21BC">
        <w:rPr>
          <w:rFonts w:ascii="Arial Narrow" w:hAnsi="Arial Narrow" w:cs="Arial"/>
          <w:sz w:val="20"/>
          <w:szCs w:val="20"/>
        </w:rPr>
        <w:t>2017</w:t>
      </w:r>
      <w:r w:rsidRPr="008E21BC">
        <w:rPr>
          <w:rFonts w:ascii="Arial Narrow" w:hAnsi="Arial Narrow" w:cs="Arial"/>
          <w:sz w:val="20"/>
          <w:szCs w:val="20"/>
        </w:rPr>
        <w:t xml:space="preserve"> through June 30, </w:t>
      </w:r>
      <w:r w:rsidR="008E21BC">
        <w:rPr>
          <w:rFonts w:ascii="Arial Narrow" w:hAnsi="Arial Narrow" w:cs="Arial"/>
          <w:sz w:val="20"/>
          <w:szCs w:val="20"/>
        </w:rPr>
        <w:t>2018</w:t>
      </w:r>
      <w:r w:rsidRPr="008E21BC">
        <w:rPr>
          <w:rFonts w:ascii="Arial Narrow" w:hAnsi="Arial Narrow" w:cs="Arial"/>
          <w:sz w:val="20"/>
          <w:szCs w:val="20"/>
        </w:rPr>
        <w:t xml:space="preserve">, July 1, </w:t>
      </w:r>
      <w:r w:rsidR="008E21BC">
        <w:rPr>
          <w:rFonts w:ascii="Arial Narrow" w:hAnsi="Arial Narrow" w:cs="Arial"/>
          <w:sz w:val="20"/>
          <w:szCs w:val="20"/>
        </w:rPr>
        <w:t>2016</w:t>
      </w:r>
      <w:r w:rsidRPr="008E21BC">
        <w:rPr>
          <w:rFonts w:ascii="Arial Narrow" w:hAnsi="Arial Narrow" w:cs="Arial"/>
          <w:sz w:val="20"/>
          <w:szCs w:val="20"/>
        </w:rPr>
        <w:t xml:space="preserve"> through June 30, </w:t>
      </w:r>
      <w:r w:rsidR="008E21BC">
        <w:rPr>
          <w:rFonts w:ascii="Arial Narrow" w:hAnsi="Arial Narrow" w:cs="Arial"/>
          <w:sz w:val="20"/>
          <w:szCs w:val="20"/>
        </w:rPr>
        <w:t>2017</w:t>
      </w:r>
      <w:r w:rsidRPr="008E21BC">
        <w:rPr>
          <w:rFonts w:ascii="Arial Narrow" w:hAnsi="Arial Narrow" w:cs="Arial"/>
          <w:sz w:val="20"/>
          <w:szCs w:val="20"/>
        </w:rPr>
        <w:t xml:space="preserve">, and July 1, 2007 through June 30, </w:t>
      </w:r>
      <w:r w:rsidR="008E21BC">
        <w:rPr>
          <w:rFonts w:ascii="Arial Narrow" w:hAnsi="Arial Narrow" w:cs="Arial"/>
          <w:sz w:val="20"/>
          <w:szCs w:val="20"/>
        </w:rPr>
        <w:t>2016</w:t>
      </w:r>
      <w:r w:rsidRPr="008E21BC">
        <w:rPr>
          <w:rFonts w:ascii="Arial Narrow" w:hAnsi="Arial Narrow" w:cs="Arial"/>
          <w:sz w:val="20"/>
          <w:szCs w:val="20"/>
        </w:rPr>
        <w:t xml:space="preserve">, respectively. In September following the end of each performance period, the number of shares of stock subject to the award is determined by multiplying the target award by a percentage ranging from 0% to 150%. The percentage is based on performance metrics for the performance period, as determined by the Compensation Committee of the Board of Directors in its sole discretion. An additional number of shares, approximately 12% of the total target SPSAs, are available as additional awards to participants based on individual performance. One-quarter of the shares of stock subject to each award vest following the end of the performance period, and an additional one-quarter of the shares vest on each of the following three anniversaries of the grant date.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i/>
          <w:iCs/>
          <w:sz w:val="20"/>
          <w:szCs w:val="20"/>
        </w:rPr>
        <w:t xml:space="preserve">Executive Officer Incentive Plan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fiscal year </w:t>
      </w:r>
      <w:r w:rsidR="008E21BC">
        <w:rPr>
          <w:rFonts w:ascii="Arial Narrow" w:hAnsi="Arial Narrow" w:cs="Arial"/>
          <w:sz w:val="20"/>
          <w:szCs w:val="20"/>
        </w:rPr>
        <w:t>2017</w:t>
      </w:r>
      <w:r w:rsidRPr="008E21BC">
        <w:rPr>
          <w:rFonts w:ascii="Arial Narrow" w:hAnsi="Arial Narrow" w:cs="Arial"/>
          <w:sz w:val="20"/>
          <w:szCs w:val="20"/>
        </w:rPr>
        <w:t xml:space="preserve">, the Compensation Committee approved a new Executive Officer Incentive Plan (“EOIP”) for executive officers of the Company. The EOIP replaced the annual cash bonus opportunity and equity award plans for executive officers. Under the EOIP, the Compensation Committee makes awards of performance-based compensation for specified performance periods. For fiscal years </w:t>
      </w:r>
      <w:r w:rsidR="008E21BC">
        <w:rPr>
          <w:rFonts w:ascii="Arial Narrow" w:hAnsi="Arial Narrow" w:cs="Arial"/>
          <w:sz w:val="20"/>
          <w:szCs w:val="20"/>
        </w:rPr>
        <w:t>2018</w:t>
      </w:r>
      <w:r w:rsidRPr="008E21BC">
        <w:rPr>
          <w:rFonts w:ascii="Arial Narrow" w:hAnsi="Arial Narrow" w:cs="Arial"/>
          <w:sz w:val="20"/>
          <w:szCs w:val="20"/>
        </w:rPr>
        <w:t xml:space="preserve"> and </w:t>
      </w:r>
      <w:r w:rsidR="008E21BC">
        <w:rPr>
          <w:rFonts w:ascii="Arial Narrow" w:hAnsi="Arial Narrow" w:cs="Arial"/>
          <w:sz w:val="20"/>
          <w:szCs w:val="20"/>
        </w:rPr>
        <w:t>2017</w:t>
      </w:r>
      <w:r w:rsidRPr="008E21BC">
        <w:rPr>
          <w:rFonts w:ascii="Arial Narrow" w:hAnsi="Arial Narrow" w:cs="Arial"/>
          <w:sz w:val="20"/>
          <w:szCs w:val="20"/>
        </w:rPr>
        <w:t xml:space="preserve">, executive officers were eligible to receive annual awards comprised of cash and SAs from an incentive pool equal to a percentage of the Company’s operating income. For fiscal year </w:t>
      </w:r>
      <w:r w:rsidR="008E21BC">
        <w:rPr>
          <w:rFonts w:ascii="Arial Narrow" w:hAnsi="Arial Narrow" w:cs="Arial"/>
          <w:sz w:val="20"/>
          <w:szCs w:val="20"/>
        </w:rPr>
        <w:t>2018</w:t>
      </w:r>
      <w:r w:rsidRPr="008E21BC">
        <w:rPr>
          <w:rFonts w:ascii="Arial Narrow" w:hAnsi="Arial Narrow" w:cs="Arial"/>
          <w:sz w:val="20"/>
          <w:szCs w:val="20"/>
        </w:rPr>
        <w:t xml:space="preserve"> it was 0.45% of operating income, and for fiscal year </w:t>
      </w:r>
      <w:r w:rsidR="008E21BC">
        <w:rPr>
          <w:rFonts w:ascii="Arial Narrow" w:hAnsi="Arial Narrow" w:cs="Arial"/>
          <w:sz w:val="20"/>
          <w:szCs w:val="20"/>
        </w:rPr>
        <w:t>2017</w:t>
      </w:r>
      <w:r w:rsidRPr="008E21BC">
        <w:rPr>
          <w:rFonts w:ascii="Arial Narrow" w:hAnsi="Arial Narrow" w:cs="Arial"/>
          <w:sz w:val="20"/>
          <w:szCs w:val="20"/>
        </w:rPr>
        <w:t xml:space="preserve"> it was 0.35% of operating income. Following approval of the awards, 20% of the award is payable to the executive officers in cash, and the remaining 80% is converted into an SA for shares of </w:t>
      </w:r>
      <w:r w:rsidR="008E21BC">
        <w:rPr>
          <w:rFonts w:ascii="Arial Narrow" w:hAnsi="Arial Narrow" w:cs="Arial"/>
          <w:sz w:val="20"/>
          <w:szCs w:val="20"/>
        </w:rPr>
        <w:t>Espresso</w:t>
      </w:r>
      <w:r w:rsidRPr="008E21BC">
        <w:rPr>
          <w:rFonts w:ascii="Arial Narrow" w:hAnsi="Arial Narrow" w:cs="Arial"/>
          <w:sz w:val="20"/>
          <w:szCs w:val="20"/>
        </w:rPr>
        <w:t xml:space="preserve"> common stock. The SA portion of the award vests one-quarter immediately after the award is approved following fiscal year-end, and one-quarter on August 31 of each of the following three years. </w:t>
      </w:r>
    </w:p>
    <w:p w:rsidR="00F94E14" w:rsidRPr="008E21BC" w:rsidRDefault="00F94E14" w:rsidP="00E20399">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grant awards from the incentive pool to the executive officers in September following the end of the fiscal year based on the officer’s performance during the prior fiscal year period. Each executive officer receives a fixed percentage of the pool ranging between 0% and 150% of a target based on an assessment of the executive officer’s performance during the fiscal year. The number of shares subject to the SA portion of the award is determined by dividing the value of the award by the closing price of </w:t>
      </w:r>
      <w:r w:rsidR="008E21BC">
        <w:rPr>
          <w:rFonts w:ascii="Arial Narrow" w:hAnsi="Arial Narrow" w:cs="Arial"/>
          <w:sz w:val="20"/>
          <w:szCs w:val="20"/>
        </w:rPr>
        <w:t>Espresso</w:t>
      </w:r>
      <w:r w:rsidRPr="008E21BC">
        <w:rPr>
          <w:rFonts w:ascii="Arial Narrow" w:hAnsi="Arial Narrow" w:cs="Arial"/>
          <w:sz w:val="20"/>
          <w:szCs w:val="20"/>
        </w:rPr>
        <w:t xml:space="preserve"> common stock on August 31 of each year.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i/>
          <w:iCs/>
          <w:sz w:val="20"/>
          <w:szCs w:val="20"/>
        </w:rPr>
        <w:t xml:space="preserve">Activity for All Stock Plans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The fair value of each award is estimated on the date of grant using the following assumptions: </w:t>
      </w:r>
    </w:p>
    <w:p w:rsidR="00F94E14" w:rsidRPr="008E21BC" w:rsidRDefault="00F94E14">
      <w:pPr>
        <w:pStyle w:val="rrdsinglerule"/>
        <w:pBdr>
          <w:top w:val="single" w:sz="4" w:space="0" w:color="000000"/>
        </w:pBdr>
        <w:spacing w:before="180"/>
        <w:rPr>
          <w:rFonts w:ascii="Arial Narrow" w:hAnsi="Arial Narrow"/>
        </w:rPr>
      </w:pPr>
      <w:r w:rsidRPr="008E21BC">
        <w:rPr>
          <w:rFonts w:ascii="Arial Narrow" w:hAnsi="Arial Narrow"/>
        </w:rPr>
        <w:t> </w:t>
      </w:r>
    </w:p>
    <w:tbl>
      <w:tblPr>
        <w:tblW w:w="5000" w:type="pct"/>
        <w:jc w:val="center"/>
        <w:tblCellMar>
          <w:top w:w="14" w:type="dxa"/>
          <w:left w:w="0" w:type="dxa"/>
          <w:right w:w="14" w:type="dxa"/>
        </w:tblCellMar>
        <w:tblLook w:val="0000" w:firstRow="0" w:lastRow="0" w:firstColumn="0" w:lastColumn="0" w:noHBand="0" w:noVBand="0"/>
      </w:tblPr>
      <w:tblGrid>
        <w:gridCol w:w="6523"/>
        <w:gridCol w:w="167"/>
        <w:gridCol w:w="908"/>
        <w:gridCol w:w="60"/>
        <w:gridCol w:w="168"/>
        <w:gridCol w:w="1164"/>
        <w:gridCol w:w="60"/>
        <w:gridCol w:w="168"/>
        <w:gridCol w:w="1164"/>
      </w:tblGrid>
      <w:tr w:rsidR="00F94E14" w:rsidRPr="008E21BC">
        <w:trPr>
          <w:tblHeader/>
          <w:jc w:val="center"/>
        </w:trPr>
        <w:tc>
          <w:tcPr>
            <w:tcW w:w="3900" w:type="pct"/>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rHeight w:val="75"/>
          <w:tblHeader/>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2"/>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Dividends per share (quarterly amounts)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noWrap/>
            <w:vAlign w:val="bottom"/>
          </w:tcPr>
          <w:p w:rsidR="00F94E14" w:rsidRPr="008E21BC" w:rsidRDefault="00F94E14">
            <w:pPr>
              <w:jc w:val="right"/>
              <w:rPr>
                <w:rFonts w:ascii="Arial Narrow" w:hAnsi="Arial Narrow"/>
              </w:rPr>
            </w:pPr>
            <w:r w:rsidRPr="008E21BC">
              <w:rPr>
                <w:rFonts w:ascii="Arial Narrow" w:hAnsi="Arial Narrow" w:cs="Arial"/>
                <w:b/>
                <w:bCs/>
              </w:rPr>
              <w:t>$  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noWrap/>
            <w:vAlign w:val="bottom"/>
          </w:tcPr>
          <w:p w:rsidR="00F94E14" w:rsidRPr="008E21BC" w:rsidRDefault="00F94E14">
            <w:pPr>
              <w:jc w:val="right"/>
              <w:rPr>
                <w:rFonts w:ascii="Arial Narrow" w:hAnsi="Arial Narrow"/>
              </w:rPr>
            </w:pPr>
            <w:r w:rsidRPr="008E21BC">
              <w:rPr>
                <w:rFonts w:ascii="Arial Narrow" w:hAnsi="Arial Narrow" w:cs="Arial"/>
              </w:rPr>
              <w:t>$  0.11 - $  0.13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noWrap/>
            <w:vAlign w:val="bottom"/>
          </w:tcPr>
          <w:p w:rsidR="00F94E14" w:rsidRPr="008E21BC" w:rsidRDefault="00F94E14">
            <w:pPr>
              <w:jc w:val="right"/>
              <w:rPr>
                <w:rFonts w:ascii="Arial Narrow" w:hAnsi="Arial Narrow"/>
              </w:rPr>
            </w:pPr>
            <w:r w:rsidRPr="008E21BC">
              <w:rPr>
                <w:rFonts w:ascii="Arial Narrow" w:hAnsi="Arial Narrow" w:cs="Arial"/>
              </w:rPr>
              <w:t>$  0.10 - $  0.11</w:t>
            </w:r>
          </w:p>
        </w:tc>
      </w:tr>
      <w:tr w:rsidR="00F94E14" w:rsidRPr="008E21BC">
        <w:trPr>
          <w:jc w:val="center"/>
        </w:trPr>
        <w:tc>
          <w:tcPr>
            <w:tcW w:w="0" w:type="auto"/>
          </w:tcPr>
          <w:p w:rsidR="00F94E14" w:rsidRPr="008E21BC" w:rsidRDefault="00F94E14">
            <w:pPr>
              <w:pStyle w:val="NormalWeb"/>
              <w:keepNext/>
              <w:ind w:left="240" w:hanging="240"/>
              <w:rPr>
                <w:rFonts w:ascii="Arial Narrow" w:hAnsi="Arial Narrow"/>
              </w:rPr>
            </w:pPr>
            <w:r w:rsidRPr="008E21BC">
              <w:rPr>
                <w:rFonts w:ascii="Arial Narrow" w:hAnsi="Arial Narrow" w:cs="Arial"/>
                <w:sz w:val="20"/>
                <w:szCs w:val="20"/>
              </w:rPr>
              <w:t>Interest rates range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noWrap/>
            <w:vAlign w:val="bottom"/>
          </w:tcPr>
          <w:p w:rsidR="00F94E14" w:rsidRPr="008E21BC" w:rsidRDefault="00F94E14">
            <w:pPr>
              <w:jc w:val="right"/>
              <w:rPr>
                <w:rFonts w:ascii="Arial Narrow" w:hAnsi="Arial Narrow"/>
              </w:rPr>
            </w:pPr>
            <w:r w:rsidRPr="008E21BC">
              <w:rPr>
                <w:rFonts w:ascii="Arial Narrow" w:hAnsi="Arial Narrow" w:cs="Arial"/>
                <w:b/>
                <w:bCs/>
              </w:rPr>
              <w:t>2.1% - 2.9%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noWrap/>
            <w:vAlign w:val="bottom"/>
          </w:tcPr>
          <w:p w:rsidR="00F94E14" w:rsidRPr="008E21BC" w:rsidRDefault="00F94E14">
            <w:pPr>
              <w:jc w:val="right"/>
              <w:rPr>
                <w:rFonts w:ascii="Arial Narrow" w:hAnsi="Arial Narrow"/>
              </w:rPr>
            </w:pPr>
            <w:r w:rsidRPr="008E21BC">
              <w:rPr>
                <w:rFonts w:ascii="Arial Narrow" w:hAnsi="Arial Narrow" w:cs="Arial"/>
              </w:rPr>
              <w:t>1.4% - 3.6%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noWrap/>
            <w:vAlign w:val="bottom"/>
          </w:tcPr>
          <w:p w:rsidR="00F94E14" w:rsidRPr="008E21BC" w:rsidRDefault="00F94E14">
            <w:pPr>
              <w:jc w:val="right"/>
              <w:rPr>
                <w:rFonts w:ascii="Arial Narrow" w:hAnsi="Arial Narrow"/>
              </w:rPr>
            </w:pPr>
            <w:r w:rsidRPr="008E21BC">
              <w:rPr>
                <w:rFonts w:ascii="Arial Narrow" w:hAnsi="Arial Narrow" w:cs="Arial"/>
              </w:rPr>
              <w:t>2.5% - 4.9%</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During fiscal year </w:t>
      </w:r>
      <w:r w:rsidR="008E21BC">
        <w:rPr>
          <w:rFonts w:ascii="Arial Narrow" w:hAnsi="Arial Narrow" w:cs="Arial"/>
          <w:sz w:val="20"/>
          <w:szCs w:val="20"/>
        </w:rPr>
        <w:t>2018</w:t>
      </w:r>
      <w:r w:rsidRPr="008E21BC">
        <w:rPr>
          <w:rFonts w:ascii="Arial Narrow" w:hAnsi="Arial Narrow" w:cs="Arial"/>
          <w:sz w:val="20"/>
          <w:szCs w:val="20"/>
        </w:rPr>
        <w:t xml:space="preserve">, the following activity occurred under our existing plans: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22"/>
        <w:gridCol w:w="374"/>
        <w:gridCol w:w="719"/>
        <w:gridCol w:w="69"/>
        <w:gridCol w:w="374"/>
        <w:gridCol w:w="113"/>
        <w:gridCol w:w="551"/>
        <w:gridCol w:w="60"/>
      </w:tblGrid>
      <w:tr w:rsidR="00F94E14" w:rsidRPr="008E21BC">
        <w:trPr>
          <w:tblHeader/>
          <w:jc w:val="center"/>
        </w:trPr>
        <w:tc>
          <w:tcPr>
            <w:tcW w:w="4350" w:type="pct"/>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Shares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noWrap/>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Weighted</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Average</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Grant-Date</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Fair 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7"/>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Stock Awards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Nonvested balance, beginning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25.69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Granted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23.43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Vested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25.50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Forfeited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25.19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3"/>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Nonvested balance, end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rsidP="00B5606B">
            <w:pPr>
              <w:pStyle w:val="rrddoublerule"/>
              <w:ind w:left="547"/>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Shared Performance Stock Awards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Nonvested balance, beginning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26.79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Granted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24.57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Vested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26.65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Forfeited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25.74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gridSpan w:val="3"/>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Nonvested balance, end of year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rsidP="00B5606B">
            <w:pPr>
              <w:pStyle w:val="rrddoublerule"/>
              <w:ind w:left="547"/>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bl>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As of June 30, </w:t>
      </w:r>
      <w:r w:rsidR="008E21BC">
        <w:rPr>
          <w:rFonts w:ascii="Arial Narrow" w:hAnsi="Arial Narrow" w:cs="Arial"/>
          <w:sz w:val="20"/>
          <w:szCs w:val="20"/>
        </w:rPr>
        <w:t>2018</w:t>
      </w:r>
      <w:r w:rsidRPr="008E21BC">
        <w:rPr>
          <w:rFonts w:ascii="Arial Narrow" w:hAnsi="Arial Narrow" w:cs="Arial"/>
          <w:sz w:val="20"/>
          <w:szCs w:val="20"/>
        </w:rPr>
        <w:t xml:space="preserve">, there was $4.2 billion and $482 million of total unrecognized compensation costs related to SAs and SPSAs, respectively. These costs are expected to be recognized over a weighted average period of 3.4 years and 2.4 years, respectively.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During fiscal year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the following activity occurred under our stock plans: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42"/>
        <w:gridCol w:w="288"/>
        <w:gridCol w:w="106"/>
        <w:gridCol w:w="516"/>
        <w:gridCol w:w="60"/>
        <w:gridCol w:w="288"/>
        <w:gridCol w:w="106"/>
        <w:gridCol w:w="516"/>
        <w:gridCol w:w="60"/>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 except fair values)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Stock Awards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Awards granted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Weighted average grant-date fair value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24.95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27.83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trHeight w:val="120"/>
          <w:jc w:val="center"/>
        </w:trPr>
        <w:tc>
          <w:tcPr>
            <w:tcW w:w="0" w:type="auto"/>
            <w:vAlign w:val="center"/>
          </w:tcPr>
          <w:p w:rsidR="00F94E14" w:rsidRPr="008E21BC" w:rsidRDefault="00F94E14">
            <w:pPr>
              <w:rPr>
                <w:rFonts w:ascii="Arial Narrow" w:hAnsi="Arial Narrow"/>
                <w:sz w:val="12"/>
              </w:rPr>
            </w:pPr>
          </w:p>
        </w:tc>
        <w:tc>
          <w:tcPr>
            <w:tcW w:w="0" w:type="auto"/>
            <w:gridSpan w:val="4"/>
            <w:vAlign w:val="center"/>
          </w:tcPr>
          <w:p w:rsidR="00F94E14" w:rsidRPr="008E21BC" w:rsidRDefault="00F94E14">
            <w:pPr>
              <w:rPr>
                <w:rFonts w:ascii="Arial Narrow" w:hAnsi="Arial Narrow"/>
                <w:sz w:val="12"/>
              </w:rPr>
            </w:pPr>
          </w:p>
        </w:tc>
        <w:tc>
          <w:tcPr>
            <w:tcW w:w="0" w:type="auto"/>
            <w:gridSpan w:val="4"/>
            <w:vAlign w:val="center"/>
          </w:tcPr>
          <w:p w:rsidR="00F94E14" w:rsidRPr="008E21BC" w:rsidRDefault="00F94E14">
            <w:pPr>
              <w:rPr>
                <w:rFonts w:ascii="Arial Narrow" w:hAnsi="Arial Narrow"/>
                <w:sz w:val="12"/>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Shared Performance Stock Awards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Awards granted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Weighted average grant-date fair value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25.93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rsidP="00E20399">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Stock Options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fiscal year 2004, we began granting employees and non-employee directors SAs rather than non-qualified and incentive stock options as part of our equity compensation plans. Since then, stock options issued to employees have been issued primarily in conjunction with business acquisitions. Options granted between 1995 and 2001 generally vest over four and one-half years and expire seven years from the date of grant, while certain options vest either over four and one-half years or over seven and one-half years and expire 10 years from the date of grant. Options granted after 2001 vest over four and one-half years and expire 10 years from the date of grant. We granted one million, one million, and 10 million stock options in conjunction with business acquisitions during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Employee stock options activity was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481"/>
        <w:gridCol w:w="158"/>
        <w:gridCol w:w="719"/>
        <w:gridCol w:w="69"/>
        <w:gridCol w:w="158"/>
        <w:gridCol w:w="148"/>
        <w:gridCol w:w="722"/>
        <w:gridCol w:w="60"/>
        <w:gridCol w:w="158"/>
        <w:gridCol w:w="712"/>
        <w:gridCol w:w="60"/>
        <w:gridCol w:w="158"/>
        <w:gridCol w:w="157"/>
        <w:gridCol w:w="562"/>
        <w:gridCol w:w="60"/>
      </w:tblGrid>
      <w:tr w:rsidR="00F94E14" w:rsidRPr="008E21BC">
        <w:trPr>
          <w:tblHeader/>
          <w:jc w:val="center"/>
        </w:trPr>
        <w:tc>
          <w:tcPr>
            <w:tcW w:w="4100" w:type="pct"/>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0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Shares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Weighted</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Average</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Exercise Price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Weighted</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Average</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Remaining</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Contractual</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Term</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Aggregate</w:t>
            </w:r>
          </w:p>
          <w:p w:rsidR="00F94E14" w:rsidRPr="008E21BC" w:rsidRDefault="00F94E14">
            <w:pPr>
              <w:pStyle w:val="NormalWeb"/>
              <w:spacing w:before="0" w:beforeAutospacing="0" w:after="0" w:afterAutospacing="0"/>
              <w:jc w:val="right"/>
              <w:rPr>
                <w:rFonts w:ascii="Arial Narrow" w:hAnsi="Arial Narrow"/>
              </w:rPr>
            </w:pPr>
            <w:r w:rsidRPr="008E21BC">
              <w:rPr>
                <w:rFonts w:ascii="Arial Narrow" w:hAnsi="Arial Narrow" w:cs="Arial"/>
                <w:b/>
                <w:bCs/>
                <w:sz w:val="15"/>
                <w:szCs w:val="15"/>
              </w:rPr>
              <w:t>Intrinsic</w:t>
            </w:r>
          </w:p>
          <w:p w:rsidR="00F94E14" w:rsidRPr="008E21BC" w:rsidRDefault="00F94E14">
            <w:pPr>
              <w:pStyle w:val="NormalWeb"/>
              <w:spacing w:before="0" w:beforeAutospacing="0" w:after="15" w:afterAutospacing="0"/>
              <w:jc w:val="right"/>
              <w:rPr>
                <w:rFonts w:ascii="Arial Narrow" w:hAnsi="Arial Narrow"/>
              </w:rPr>
            </w:pPr>
            <w:r w:rsidRPr="008E21BC">
              <w:rPr>
                <w:rFonts w:ascii="Arial Narrow" w:hAnsi="Arial Narrow" w:cs="Arial"/>
                <w:b/>
                <w:bCs/>
                <w:sz w:val="15"/>
                <w:szCs w:val="15"/>
              </w:rPr>
              <w:t>Value</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(Years)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3"/>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Balance, July 1, </w:t>
            </w:r>
            <w:r w:rsidR="008E21BC">
              <w:rPr>
                <w:rFonts w:ascii="Arial Narrow" w:hAnsi="Arial Narrow" w:cs="Arial"/>
                <w:sz w:val="20"/>
                <w:szCs w:val="20"/>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27.99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Granted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Exercised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(74</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Canceled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(69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39.00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Forfeited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12.94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gridSpan w:val="3"/>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Balance, June 30, </w:t>
            </w:r>
            <w:r w:rsidR="008E21BC">
              <w:rPr>
                <w:rFonts w:ascii="Arial Narrow" w:hAnsi="Arial Narrow" w:cs="Arial"/>
                <w:sz w:val="20"/>
                <w:szCs w:val="20"/>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24.68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Exercisable, June 30, </w:t>
            </w:r>
            <w:r w:rsidR="008E21BC">
              <w:rPr>
                <w:rFonts w:ascii="Arial Narrow" w:hAnsi="Arial Narrow" w:cs="Arial"/>
                <w:sz w:val="20"/>
                <w:szCs w:val="20"/>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24.68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Options outstanding as of June 30, </w:t>
      </w:r>
      <w:r w:rsidR="008E21BC">
        <w:rPr>
          <w:rFonts w:ascii="Arial Narrow" w:hAnsi="Arial Narrow" w:cs="Arial"/>
          <w:sz w:val="20"/>
          <w:szCs w:val="20"/>
        </w:rPr>
        <w:t>2018</w:t>
      </w:r>
      <w:r w:rsidRPr="008E21BC">
        <w:rPr>
          <w:rFonts w:ascii="Arial Narrow" w:hAnsi="Arial Narrow" w:cs="Arial"/>
          <w:sz w:val="20"/>
          <w:szCs w:val="20"/>
        </w:rPr>
        <w:t xml:space="preserve"> include approximately three million options that were granted in conjunction with business acquisitions. While these options are included in the options outstanding balance, they are excluded from the weighted average exercise price. These options have an exercise price range of $0.01 to $150.93 and a weighted average exercise price of $7.49.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During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the following activity occurred under our stock plans: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84"/>
        <w:gridCol w:w="284"/>
        <w:gridCol w:w="106"/>
        <w:gridCol w:w="516"/>
        <w:gridCol w:w="60"/>
        <w:gridCol w:w="284"/>
        <w:gridCol w:w="106"/>
        <w:gridCol w:w="516"/>
        <w:gridCol w:w="60"/>
        <w:gridCol w:w="284"/>
        <w:gridCol w:w="106"/>
        <w:gridCol w:w="516"/>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vAlign w:val="bottom"/>
          </w:tcPr>
          <w:p w:rsidR="00F94E14" w:rsidRPr="008E21BC" w:rsidRDefault="00F94E14">
            <w:pPr>
              <w:pStyle w:val="la2"/>
              <w:keepNext/>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Total intrinsic value of stock options exercised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365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1,042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Total vest-date fair value of stock awards vested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1,358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1,137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955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Total vest-date fair value of shared performance stock awards vested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485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401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bl>
    <w:p w:rsidR="00F94E14" w:rsidRPr="008E21BC" w:rsidRDefault="00F94E14">
      <w:pPr>
        <w:pStyle w:val="rrdsinglerule"/>
        <w:pBdr>
          <w:top w:val="single" w:sz="4" w:space="0" w:color="000000"/>
        </w:pBdr>
        <w:rPr>
          <w:rFonts w:ascii="Arial Narrow" w:hAnsi="Arial Narrow"/>
        </w:rPr>
      </w:pPr>
      <w:r w:rsidRPr="008E21BC">
        <w:rPr>
          <w:rFonts w:ascii="Arial Narrow" w:hAnsi="Arial Narrow"/>
        </w:rPr>
        <w:t>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Cash received from option exercises for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was $1.8 billion, $88 million, and $3.0 billion, respectively. The actual tax benefit realized for the tax deductions from option exercises totaled $126 million, $12 million, and $365 million for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w:t>
      </w:r>
    </w:p>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b/>
          <w:bCs/>
          <w:sz w:val="20"/>
          <w:szCs w:val="20"/>
        </w:rPr>
        <w:t xml:space="preserve">Savings Plan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We have a savings plan in the United States that qualifies under Section 401(k) of the Internal Revenue Code, and a number of savings plans in international locations. Participating U.S. employees may contribute up to 50% of their salary, but not more than statutory limits. We contribute fifty cents for each dollar a participant contributes in this plan, with a maximum contribution of 3% of a participant’s earnings. Matching contributions for all plans were $275 million, $262 million, and $238 million in fiscal years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and </w:t>
      </w:r>
      <w:r w:rsidR="008E21BC">
        <w:rPr>
          <w:rFonts w:ascii="Arial Narrow" w:hAnsi="Arial Narrow" w:cs="Arial"/>
          <w:sz w:val="20"/>
          <w:szCs w:val="20"/>
        </w:rPr>
        <w:t>2016</w:t>
      </w:r>
      <w:r w:rsidRPr="008E21BC">
        <w:rPr>
          <w:rFonts w:ascii="Arial Narrow" w:hAnsi="Arial Narrow" w:cs="Arial"/>
          <w:sz w:val="20"/>
          <w:szCs w:val="20"/>
        </w:rPr>
        <w:t xml:space="preserve">, respectively, and were expensed as contributed. Matching contributions are invested proportionate to each participant’s voluntary contributions in the investment options provided under the plan. Investment options in the U.S. plan include </w:t>
      </w:r>
      <w:r w:rsidR="008E21BC">
        <w:rPr>
          <w:rFonts w:ascii="Arial Narrow" w:hAnsi="Arial Narrow" w:cs="Arial"/>
          <w:sz w:val="20"/>
          <w:szCs w:val="20"/>
        </w:rPr>
        <w:t>Espresso</w:t>
      </w:r>
      <w:r w:rsidRPr="008E21BC">
        <w:rPr>
          <w:rFonts w:ascii="Arial Narrow" w:hAnsi="Arial Narrow" w:cs="Arial"/>
          <w:sz w:val="20"/>
          <w:szCs w:val="20"/>
        </w:rPr>
        <w:t xml:space="preserve"> common stock, but neither participant nor our matching contributions are required to be invested in </w:t>
      </w:r>
      <w:r w:rsidR="008E21BC">
        <w:rPr>
          <w:rFonts w:ascii="Arial Narrow" w:hAnsi="Arial Narrow" w:cs="Arial"/>
          <w:sz w:val="20"/>
          <w:szCs w:val="20"/>
        </w:rPr>
        <w:t>Espresso</w:t>
      </w:r>
      <w:r w:rsidRPr="008E21BC">
        <w:rPr>
          <w:rFonts w:ascii="Arial Narrow" w:hAnsi="Arial Narrow" w:cs="Arial"/>
          <w:sz w:val="20"/>
          <w:szCs w:val="20"/>
        </w:rPr>
        <w:t xml:space="preserve"> common stock. </w:t>
      </w:r>
    </w:p>
    <w:p w:rsidR="00F94E14" w:rsidRPr="008E21BC" w:rsidRDefault="00F94E14" w:rsidP="00E20399">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21 — EMPLOYEE SEVERANCE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January </w:t>
      </w:r>
      <w:r w:rsidR="008E21BC">
        <w:rPr>
          <w:rFonts w:ascii="Arial Narrow" w:hAnsi="Arial Narrow" w:cs="Arial"/>
          <w:sz w:val="20"/>
          <w:szCs w:val="20"/>
        </w:rPr>
        <w:t>2017</w:t>
      </w:r>
      <w:r w:rsidRPr="008E21BC">
        <w:rPr>
          <w:rFonts w:ascii="Arial Narrow" w:hAnsi="Arial Narrow" w:cs="Arial"/>
          <w:sz w:val="20"/>
          <w:szCs w:val="20"/>
        </w:rPr>
        <w:t xml:space="preserve">, we announced and implemented a resource management program to reduce discretionary operating expenses, employee headcount, and capital expenditures. As part of this program, we announced the elimination of 5,000 positions in research and development, marketing, sales, finance, legal, human resources, and information technology. As of September 30, </w:t>
      </w:r>
      <w:r w:rsidR="008E21BC">
        <w:rPr>
          <w:rFonts w:ascii="Arial Narrow" w:hAnsi="Arial Narrow" w:cs="Arial"/>
          <w:sz w:val="20"/>
          <w:szCs w:val="20"/>
        </w:rPr>
        <w:t>2017</w:t>
      </w:r>
      <w:r w:rsidRPr="008E21BC">
        <w:rPr>
          <w:rFonts w:ascii="Arial Narrow" w:hAnsi="Arial Narrow" w:cs="Arial"/>
          <w:sz w:val="20"/>
          <w:szCs w:val="20"/>
        </w:rPr>
        <w:t xml:space="preserve">, we had reduced our overall number of positions by approximately 5,000 and headcount by approximately 4,600.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November </w:t>
      </w:r>
      <w:r w:rsidR="008E21BC">
        <w:rPr>
          <w:rFonts w:ascii="Arial Narrow" w:hAnsi="Arial Narrow" w:cs="Arial"/>
          <w:sz w:val="20"/>
          <w:szCs w:val="20"/>
        </w:rPr>
        <w:t>2017</w:t>
      </w:r>
      <w:r w:rsidRPr="008E21BC">
        <w:rPr>
          <w:rFonts w:ascii="Arial Narrow" w:hAnsi="Arial Narrow" w:cs="Arial"/>
          <w:sz w:val="20"/>
          <w:szCs w:val="20"/>
        </w:rPr>
        <w:t xml:space="preserve">, we identified an additional 800 positions for elimination based on our efforts to manage our expenses. Severance expense of approximately $52 million associated with these additional eliminations was reflected in our financial statements. We have now completed this program and reduced our overall headcount by approximately 5,300. </w:t>
      </w:r>
    </w:p>
    <w:p w:rsidR="00F94E14" w:rsidRPr="008E21BC" w:rsidRDefault="00F94E14" w:rsidP="00E20399">
      <w:pPr>
        <w:pStyle w:val="NormalWeb"/>
        <w:keepNext/>
        <w:pageBreakBefore/>
        <w:spacing w:before="0" w:beforeAutospacing="0" w:after="0" w:afterAutospacing="0"/>
        <w:rPr>
          <w:rFonts w:ascii="Arial Narrow" w:hAnsi="Arial Narrow"/>
        </w:rPr>
      </w:pPr>
      <w:r w:rsidRPr="008E21BC">
        <w:rPr>
          <w:rFonts w:ascii="Arial Narrow" w:hAnsi="Arial Narrow" w:cs="Arial"/>
          <w:sz w:val="20"/>
          <w:szCs w:val="20"/>
        </w:rPr>
        <w:lastRenderedPageBreak/>
        <w:t xml:space="preserve">The changes in our employee severance liabilities related to our resource management efforts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596"/>
        <w:gridCol w:w="293"/>
        <w:gridCol w:w="106"/>
        <w:gridCol w:w="425"/>
        <w:gridCol w:w="69"/>
        <w:gridCol w:w="293"/>
        <w:gridCol w:w="106"/>
        <w:gridCol w:w="425"/>
        <w:gridCol w:w="69"/>
      </w:tblGrid>
      <w:tr w:rsidR="00F94E14" w:rsidRPr="008E21BC">
        <w:trPr>
          <w:tblHeader/>
          <w:jc w:val="center"/>
        </w:trPr>
        <w:tc>
          <w:tcPr>
            <w:tcW w:w="44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8"/>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beginning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127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Employee severance charges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Adjustments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Cash payments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(203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Balance, end of period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127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22 — SEGMENT INFORMATION AND GEOGRAPHIC DATA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In its operation of the business, management, including our chief operating decision maker, the Company’s Chief Executive Officer, reviews certain financial information, including segmented internal profit and loss statements prepared on a basis not consistent with accounting principles generally accepted in the U.S. (“U.S. GAAP”). Our five segments are Windows &amp; Windows Live Division; Server and Tools; Online Services Division; </w:t>
      </w:r>
      <w:r w:rsidR="008E21BC">
        <w:rPr>
          <w:rFonts w:ascii="Arial Narrow" w:hAnsi="Arial Narrow" w:cs="Arial"/>
          <w:sz w:val="20"/>
          <w:szCs w:val="20"/>
        </w:rPr>
        <w:t>Espresso</w:t>
      </w:r>
      <w:r w:rsidRPr="008E21BC">
        <w:rPr>
          <w:rFonts w:ascii="Arial Narrow" w:hAnsi="Arial Narrow" w:cs="Arial"/>
          <w:sz w:val="20"/>
          <w:szCs w:val="20"/>
        </w:rPr>
        <w:t xml:space="preserve"> Business Division; and Entertainment and Devices Division. We have recast certain prior period amounts within this note to conform to the way we internally managed and monitored segment performance during the current fiscal year, including moving Windows Live from Online Services Division to Windows &amp; Windows Live Division and Razorfish from Online Services Division to Corporate. Razorfish was sold during the second quarter of fiscal year </w:t>
      </w:r>
      <w:r w:rsidR="008E21BC">
        <w:rPr>
          <w:rFonts w:ascii="Arial Narrow" w:hAnsi="Arial Narrow" w:cs="Arial"/>
          <w:sz w:val="20"/>
          <w:szCs w:val="20"/>
        </w:rPr>
        <w:t>2018</w:t>
      </w:r>
      <w:r w:rsidRPr="008E21BC">
        <w:rPr>
          <w:rFonts w:ascii="Arial Narrow" w:hAnsi="Arial Narrow" w:cs="Arial"/>
          <w:sz w:val="20"/>
          <w:szCs w:val="20"/>
        </w:rPr>
        <w:t xml:space="preserve">.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Segment revenue and operating income (loss)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39"/>
        <w:gridCol w:w="275"/>
        <w:gridCol w:w="107"/>
        <w:gridCol w:w="607"/>
        <w:gridCol w:w="60"/>
        <w:gridCol w:w="274"/>
        <w:gridCol w:w="106"/>
        <w:gridCol w:w="607"/>
        <w:gridCol w:w="60"/>
        <w:gridCol w:w="274"/>
        <w:gridCol w:w="106"/>
        <w:gridCol w:w="607"/>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Windows &amp; Windows Live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17,788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14,690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16,815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Server and Tools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14,878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14,276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13,217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Online Services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2,198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2,110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2,164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8E21BC">
            <w:pPr>
              <w:pStyle w:val="NormalWeb"/>
              <w:ind w:left="240" w:hanging="240"/>
              <w:rPr>
                <w:rFonts w:ascii="Arial Narrow" w:hAnsi="Arial Narrow"/>
              </w:rPr>
            </w:pPr>
            <w:r>
              <w:rPr>
                <w:rFonts w:ascii="Arial Narrow" w:hAnsi="Arial Narrow" w:cs="Arial"/>
                <w:sz w:val="20"/>
                <w:szCs w:val="20"/>
              </w:rPr>
              <w:t>Espresso</w:t>
            </w:r>
            <w:r w:rsidR="00F94E14" w:rsidRPr="008E21BC">
              <w:rPr>
                <w:rFonts w:ascii="Arial Narrow" w:hAnsi="Arial Narrow" w:cs="Arial"/>
                <w:sz w:val="20"/>
                <w:szCs w:val="20"/>
              </w:rPr>
              <w:t xml:space="preserve"> Business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18,909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18,864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18,904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Entertainment and Devices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8,114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8,035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8,502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Unallocated and 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597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818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Consolidated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62,484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58,437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60,420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0" w:beforeAutospacing="0" w:after="0" w:afterAutospacing="0"/>
        <w:rPr>
          <w:rFonts w:ascii="Arial Narrow" w:hAnsi="Arial Narrow"/>
        </w:rPr>
      </w:pPr>
      <w:r w:rsidRPr="008E21BC">
        <w:rPr>
          <w:rFonts w:ascii="Arial Narrow" w:hAnsi="Arial Narrow"/>
          <w:sz w:val="15"/>
          <w:szCs w:val="15"/>
        </w:rPr>
        <w:t> </w:t>
      </w:r>
    </w:p>
    <w:tbl>
      <w:tblPr>
        <w:tblW w:w="5000" w:type="pct"/>
        <w:jc w:val="center"/>
        <w:tblCellMar>
          <w:top w:w="14" w:type="dxa"/>
          <w:left w:w="0" w:type="dxa"/>
          <w:right w:w="14" w:type="dxa"/>
        </w:tblCellMar>
        <w:tblLook w:val="0000" w:firstRow="0" w:lastRow="0" w:firstColumn="0" w:lastColumn="0" w:noHBand="0" w:noVBand="0"/>
      </w:tblPr>
      <w:tblGrid>
        <w:gridCol w:w="6778"/>
        <w:gridCol w:w="258"/>
        <w:gridCol w:w="128"/>
        <w:gridCol w:w="733"/>
        <w:gridCol w:w="83"/>
        <w:gridCol w:w="257"/>
        <w:gridCol w:w="128"/>
        <w:gridCol w:w="733"/>
        <w:gridCol w:w="83"/>
        <w:gridCol w:w="257"/>
        <w:gridCol w:w="128"/>
        <w:gridCol w:w="733"/>
        <w:gridCol w:w="83"/>
      </w:tblGrid>
      <w:tr w:rsidR="00F94E14" w:rsidRPr="008E21BC" w:rsidTr="00E20399">
        <w:trPr>
          <w:tblHeader/>
          <w:jc w:val="center"/>
        </w:trPr>
        <w:tc>
          <w:tcPr>
            <w:tcW w:w="3264" w:type="pct"/>
            <w:vAlign w:val="center"/>
          </w:tcPr>
          <w:p w:rsidR="00F94E14" w:rsidRPr="008E21BC" w:rsidRDefault="00F94E14">
            <w:pPr>
              <w:rPr>
                <w:rFonts w:ascii="Arial Narrow" w:hAnsi="Arial Narrow"/>
                <w:sz w:val="1"/>
              </w:rPr>
            </w:pPr>
          </w:p>
        </w:tc>
        <w:tc>
          <w:tcPr>
            <w:tcW w:w="124"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24"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24"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Operating Income (Loss)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Windows &amp; Windows Live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12,089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9,569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11,876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Server and Tools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4,990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4,638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3,845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Online Services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(2,436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(1,760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(619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8E21BC">
            <w:pPr>
              <w:pStyle w:val="NormalWeb"/>
              <w:ind w:left="240" w:hanging="240"/>
              <w:rPr>
                <w:rFonts w:ascii="Arial Narrow" w:hAnsi="Arial Narrow"/>
              </w:rPr>
            </w:pPr>
            <w:r>
              <w:rPr>
                <w:rFonts w:ascii="Arial Narrow" w:hAnsi="Arial Narrow" w:cs="Arial"/>
                <w:sz w:val="20"/>
                <w:szCs w:val="20"/>
              </w:rPr>
              <w:t>Espresso</w:t>
            </w:r>
            <w:r w:rsidR="00F94E14" w:rsidRPr="008E21BC">
              <w:rPr>
                <w:rFonts w:ascii="Arial Narrow" w:hAnsi="Arial Narrow" w:cs="Arial"/>
                <w:sz w:val="20"/>
                <w:szCs w:val="20"/>
              </w:rPr>
              <w:t xml:space="preserve"> Business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11,664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11,454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11,681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Entertainment and Devices Division</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589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Reconciling amounts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(2,798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(3,535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(4,826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Consolidated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24,098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20,363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22,271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270" w:beforeAutospacing="0" w:after="0" w:afterAutospacing="0"/>
        <w:rPr>
          <w:rFonts w:ascii="Arial Narrow" w:hAnsi="Arial Narrow"/>
        </w:rPr>
      </w:pPr>
      <w:r w:rsidRPr="008E21BC">
        <w:rPr>
          <w:rFonts w:ascii="Arial Narrow" w:hAnsi="Arial Narrow" w:cs="Arial"/>
          <w:sz w:val="20"/>
          <w:szCs w:val="20"/>
        </w:rPr>
        <w:t xml:space="preserve">The types of products and services provided by each segment are summarized below: </w:t>
      </w:r>
    </w:p>
    <w:p w:rsidR="00F94E14" w:rsidRPr="008E21BC" w:rsidRDefault="00F94E14">
      <w:pPr>
        <w:pStyle w:val="NormalWeb"/>
        <w:spacing w:before="90" w:beforeAutospacing="0" w:after="0" w:afterAutospacing="0"/>
        <w:rPr>
          <w:rFonts w:ascii="Arial Narrow" w:hAnsi="Arial Narrow"/>
        </w:rPr>
      </w:pPr>
      <w:r w:rsidRPr="008E21BC">
        <w:rPr>
          <w:rFonts w:ascii="Arial Narrow" w:hAnsi="Arial Narrow" w:cs="Arial"/>
          <w:b/>
          <w:bCs/>
          <w:sz w:val="20"/>
          <w:szCs w:val="20"/>
        </w:rPr>
        <w:t xml:space="preserve">Windows &amp; Windows Live Division </w:t>
      </w:r>
      <w:r w:rsidRPr="008E21BC">
        <w:rPr>
          <w:rFonts w:ascii="Arial Narrow" w:hAnsi="Arial Narrow" w:cs="Arial"/>
          <w:sz w:val="20"/>
          <w:szCs w:val="20"/>
        </w:rPr>
        <w:t xml:space="preserve">– Windows &amp; Windows Live Division offerings consist of Windows operating systems, including Windows 7, and online software and services through Windows Live. Windows Live primarily generates revenue from online advertising.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b/>
          <w:bCs/>
          <w:sz w:val="20"/>
          <w:szCs w:val="20"/>
        </w:rPr>
        <w:t>Server and Tools</w:t>
      </w:r>
      <w:r w:rsidRPr="008E21BC">
        <w:rPr>
          <w:rFonts w:ascii="Arial Narrow" w:hAnsi="Arial Narrow" w:cs="Arial"/>
          <w:sz w:val="20"/>
          <w:szCs w:val="20"/>
        </w:rPr>
        <w:t xml:space="preserve"> – Server and Tools product and service offerings consist of Windows Server, </w:t>
      </w:r>
      <w:r w:rsidR="008E21BC">
        <w:rPr>
          <w:rFonts w:ascii="Arial Narrow" w:hAnsi="Arial Narrow" w:cs="Arial"/>
          <w:sz w:val="20"/>
          <w:szCs w:val="20"/>
        </w:rPr>
        <w:t>Espresso</w:t>
      </w:r>
      <w:r w:rsidRPr="008E21BC">
        <w:rPr>
          <w:rFonts w:ascii="Arial Narrow" w:hAnsi="Arial Narrow" w:cs="Arial"/>
          <w:sz w:val="20"/>
          <w:szCs w:val="20"/>
        </w:rPr>
        <w:t xml:space="preserve"> SQL Server, Windows Azure and other cloud and server offerings. Server and Tools also offers Enterprise Services, which comprise Premier product support services and </w:t>
      </w:r>
      <w:r w:rsidR="008E21BC">
        <w:rPr>
          <w:rFonts w:ascii="Arial Narrow" w:hAnsi="Arial Narrow" w:cs="Arial"/>
          <w:sz w:val="20"/>
          <w:szCs w:val="20"/>
        </w:rPr>
        <w:t>Espresso</w:t>
      </w:r>
      <w:r w:rsidRPr="008E21BC">
        <w:rPr>
          <w:rFonts w:ascii="Arial Narrow" w:hAnsi="Arial Narrow" w:cs="Arial"/>
          <w:sz w:val="20"/>
          <w:szCs w:val="20"/>
        </w:rPr>
        <w:t xml:space="preserve"> Consulting Services.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b/>
          <w:bCs/>
          <w:sz w:val="20"/>
          <w:szCs w:val="20"/>
        </w:rPr>
        <w:lastRenderedPageBreak/>
        <w:t xml:space="preserve">Online Services Division </w:t>
      </w:r>
      <w:r w:rsidRPr="008E21BC">
        <w:rPr>
          <w:rFonts w:ascii="Arial Narrow" w:hAnsi="Arial Narrow" w:cs="Arial"/>
          <w:sz w:val="20"/>
          <w:szCs w:val="20"/>
        </w:rPr>
        <w:t xml:space="preserve">– Online Services Division consists of an online advertising platform with offerings for both publishers and advertisers, online information offerings, such as Bing, and the MSN portals and channels around the world. </w:t>
      </w:r>
    </w:p>
    <w:p w:rsidR="00F94E14" w:rsidRPr="008E21BC" w:rsidRDefault="008E21BC">
      <w:pPr>
        <w:pStyle w:val="NormalWeb"/>
        <w:spacing w:before="180" w:beforeAutospacing="0" w:after="0" w:afterAutospacing="0"/>
        <w:rPr>
          <w:rFonts w:ascii="Arial Narrow" w:hAnsi="Arial Narrow"/>
        </w:rPr>
      </w:pPr>
      <w:r>
        <w:rPr>
          <w:rFonts w:ascii="Arial Narrow" w:hAnsi="Arial Narrow" w:cs="Arial"/>
          <w:b/>
          <w:bCs/>
          <w:sz w:val="20"/>
          <w:szCs w:val="20"/>
        </w:rPr>
        <w:t>Espresso</w:t>
      </w:r>
      <w:r w:rsidR="00F94E14" w:rsidRPr="008E21BC">
        <w:rPr>
          <w:rFonts w:ascii="Arial Narrow" w:hAnsi="Arial Narrow" w:cs="Arial"/>
          <w:b/>
          <w:bCs/>
          <w:sz w:val="20"/>
          <w:szCs w:val="20"/>
        </w:rPr>
        <w:t xml:space="preserve"> Business Division</w:t>
      </w:r>
      <w:r w:rsidR="00F94E14" w:rsidRPr="008E21BC">
        <w:rPr>
          <w:rFonts w:ascii="Arial Narrow" w:hAnsi="Arial Narrow" w:cs="Arial"/>
          <w:sz w:val="20"/>
          <w:szCs w:val="20"/>
        </w:rPr>
        <w:t xml:space="preserve"> – </w:t>
      </w:r>
      <w:r>
        <w:rPr>
          <w:rFonts w:ascii="Arial Narrow" w:hAnsi="Arial Narrow" w:cs="Arial"/>
          <w:sz w:val="20"/>
          <w:szCs w:val="20"/>
        </w:rPr>
        <w:t>Espresso</w:t>
      </w:r>
      <w:r w:rsidR="00F94E14" w:rsidRPr="008E21BC">
        <w:rPr>
          <w:rFonts w:ascii="Arial Narrow" w:hAnsi="Arial Narrow" w:cs="Arial"/>
          <w:sz w:val="20"/>
          <w:szCs w:val="20"/>
        </w:rPr>
        <w:t xml:space="preserve"> Business Division offerings include </w:t>
      </w:r>
      <w:r>
        <w:rPr>
          <w:rFonts w:ascii="Arial Narrow" w:hAnsi="Arial Narrow" w:cs="Arial"/>
          <w:sz w:val="20"/>
          <w:szCs w:val="20"/>
        </w:rPr>
        <w:t>Espresso</w:t>
      </w:r>
      <w:r w:rsidR="00F94E14" w:rsidRPr="008E21BC">
        <w:rPr>
          <w:rFonts w:ascii="Arial Narrow" w:hAnsi="Arial Narrow" w:cs="Arial"/>
          <w:sz w:val="20"/>
          <w:szCs w:val="20"/>
        </w:rPr>
        <w:t xml:space="preserve"> Office, SharePoint, and </w:t>
      </w:r>
      <w:r>
        <w:rPr>
          <w:rFonts w:ascii="Arial Narrow" w:hAnsi="Arial Narrow" w:cs="Arial"/>
          <w:sz w:val="20"/>
          <w:szCs w:val="20"/>
        </w:rPr>
        <w:t>Espresso</w:t>
      </w:r>
      <w:r w:rsidR="00F94E14" w:rsidRPr="008E21BC">
        <w:rPr>
          <w:rFonts w:ascii="Arial Narrow" w:hAnsi="Arial Narrow" w:cs="Arial"/>
          <w:sz w:val="20"/>
          <w:szCs w:val="20"/>
        </w:rPr>
        <w:t xml:space="preserve"> Dynamics business solutions.</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b/>
          <w:bCs/>
          <w:sz w:val="20"/>
          <w:szCs w:val="20"/>
        </w:rPr>
        <w:t>Entertainment and Devices Division</w:t>
      </w:r>
      <w:r w:rsidRPr="008E21BC">
        <w:rPr>
          <w:rFonts w:ascii="Arial Narrow" w:hAnsi="Arial Narrow" w:cs="Arial"/>
          <w:sz w:val="20"/>
          <w:szCs w:val="20"/>
        </w:rPr>
        <w:t xml:space="preserve"> – Entertainment and Devices Division offerings include the Xbox 360 platform, the Zune digital music and entertainment platform, PC software games, online games and services, Mediaroom (our Internet protocol television software), Windows Phone, Windows Embedded device platforms, application software for Apple’s Macintosh computers, and </w:t>
      </w:r>
      <w:r w:rsidR="008E21BC">
        <w:rPr>
          <w:rFonts w:ascii="Arial Narrow" w:hAnsi="Arial Narrow" w:cs="Arial"/>
          <w:sz w:val="20"/>
          <w:szCs w:val="20"/>
        </w:rPr>
        <w:t>Espresso</w:t>
      </w:r>
      <w:r w:rsidRPr="008E21BC">
        <w:rPr>
          <w:rFonts w:ascii="Arial Narrow" w:hAnsi="Arial Narrow" w:cs="Arial"/>
          <w:sz w:val="20"/>
          <w:szCs w:val="20"/>
        </w:rPr>
        <w:t xml:space="preserve"> PC hardware products.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Due to the integrated structure of our business, certain costs incurred by one segment may benefit other segments. The costs that are identifiable are allocated to the segments that benefit to incent cross-collaboration among our segments so that one segment is not solely burdened by the cost of a mutually beneficial activity. Each allocation is measured differently based on the specific facts and circumstances of the costs being allocated. These cost allocations were not material in any period presented.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In addition, certain costs incurred at a corporate level that are identifiable and that benefit our segments are allocated to them. These allocated costs include costs of: field selling; employee benefits; shared facilities services; and customer service and support. Each allocation is measured differently based on the specific facts and circumstances of the costs being allocated. Certain other corporate-level activity is not allocated to our segments, including costs of: broad-based sales and marketing; product support services; human resources; legal; finance; information technology; corporate development and procurement activities; research and development; legal settlements and contingencies; and employee severance.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Assets are not allocated to segments for internal reporting presentations. A portion of amortization and depreciation is included with various other costs in an overhead allocation to each segment and it is impracticable for us to separately identify the amount of amortization and depreciation by segment that is included in the measure of segment profit or loss. </w:t>
      </w:r>
    </w:p>
    <w:p w:rsidR="00F94E14" w:rsidRPr="008E21BC" w:rsidRDefault="00F94E14">
      <w:pPr>
        <w:pStyle w:val="NormalWeb"/>
        <w:spacing w:before="180" w:beforeAutospacing="0" w:after="0" w:afterAutospacing="0"/>
        <w:rPr>
          <w:rFonts w:ascii="Arial Narrow" w:hAnsi="Arial Narrow"/>
        </w:rPr>
      </w:pPr>
      <w:r w:rsidRPr="008E21BC">
        <w:rPr>
          <w:rFonts w:ascii="Arial Narrow" w:hAnsi="Arial Narrow" w:cs="Arial"/>
          <w:sz w:val="20"/>
          <w:szCs w:val="20"/>
        </w:rPr>
        <w:t xml:space="preserve">Reconciling amounts in the tables above and below include adjustments to conform our internal accounting policies to U.S. GAAP and corporate-level activity not specifically attributed to a segment. Significant internal accounting policies that differ from U.S. GAAP relate to revenue recognition, income statement classification, depreciation, and amortization of stock-based awards.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Significant reconciling items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57"/>
        <w:gridCol w:w="271"/>
        <w:gridCol w:w="106"/>
        <w:gridCol w:w="662"/>
        <w:gridCol w:w="69"/>
        <w:gridCol w:w="271"/>
        <w:gridCol w:w="106"/>
        <w:gridCol w:w="662"/>
        <w:gridCol w:w="69"/>
        <w:gridCol w:w="272"/>
        <w:gridCol w:w="106"/>
        <w:gridCol w:w="662"/>
        <w:gridCol w:w="69"/>
      </w:tblGrid>
      <w:tr w:rsidR="00F94E14" w:rsidRPr="008E21BC">
        <w:trPr>
          <w:tblHeader/>
          <w:jc w:val="center"/>
        </w:trPr>
        <w:tc>
          <w:tcPr>
            <w:tcW w:w="39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Corporate-level activity  </w:t>
            </w:r>
            <w:r w:rsidRPr="008E21BC">
              <w:rPr>
                <w:rFonts w:ascii="Arial Narrow" w:hAnsi="Arial Narrow" w:cs="Arial"/>
                <w:sz w:val="15"/>
                <w:szCs w:val="15"/>
                <w:vertAlign w:val="superscript"/>
              </w:rPr>
              <w:t>(a)</w:t>
            </w:r>
            <w:r w:rsidRPr="008E21BC">
              <w:rPr>
                <w:rFonts w:ascii="Arial Narrow" w:hAnsi="Arial Narrow" w:cs="Arial"/>
                <w:sz w:val="20"/>
                <w:szCs w:val="20"/>
              </w:rPr>
              <w:t xml:space="preserve">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(4,470</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(4,542</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(6,026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Stock-based compensation expense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571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770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790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Revenue reconciling amounts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369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396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732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(2,798</w:t>
            </w:r>
          </w:p>
        </w:tc>
        <w:tc>
          <w:tcPr>
            <w:tcW w:w="0" w:type="auto"/>
            <w:noWrap/>
            <w:vAlign w:val="bottom"/>
          </w:tcPr>
          <w:p w:rsidR="00F94E14" w:rsidRPr="008E21BC" w:rsidRDefault="00E718AB">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(3,535</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(4,826</w:t>
            </w:r>
          </w:p>
        </w:tc>
        <w:tc>
          <w:tcPr>
            <w:tcW w:w="0" w:type="auto"/>
            <w:noWrap/>
            <w:vAlign w:val="bottom"/>
          </w:tcPr>
          <w:p w:rsidR="00F94E14" w:rsidRPr="008E21BC" w:rsidRDefault="00E718AB">
            <w:pPr>
              <w:rPr>
                <w:rFonts w:ascii="Arial Narrow" w:hAnsi="Arial Narrow"/>
              </w:rPr>
            </w:pPr>
            <w:r w:rsidRPr="008E21BC">
              <w:rPr>
                <w:rFonts w:ascii="Arial Narrow" w:hAnsi="Arial Narrow" w:cs="Arial"/>
              </w:rPr>
              <w:t>)</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90" w:beforeAutospacing="0" w:after="0" w:afterAutospacing="0"/>
        <w:ind w:left="489" w:hanging="490"/>
        <w:rPr>
          <w:rFonts w:ascii="Arial Narrow" w:hAnsi="Arial Narrow"/>
        </w:rPr>
      </w:pPr>
      <w:r w:rsidRPr="008E21BC">
        <w:rPr>
          <w:rFonts w:ascii="Arial Narrow" w:hAnsi="Arial Narrow" w:cs="Arial"/>
          <w:sz w:val="20"/>
          <w:szCs w:val="20"/>
        </w:rPr>
        <w:t>(a)</w:t>
      </w:r>
      <w:r w:rsidRPr="008E21BC">
        <w:rPr>
          <w:rFonts w:ascii="Arial Narrow" w:hAnsi="Arial Narrow" w:cs="Arial"/>
          <w:sz w:val="20"/>
          <w:szCs w:val="20"/>
        </w:rPr>
        <w:tab/>
      </w:r>
      <w:r w:rsidRPr="008E21BC">
        <w:rPr>
          <w:rFonts w:ascii="Arial Narrow" w:hAnsi="Arial Narrow" w:cs="Arial"/>
          <w:i/>
          <w:iCs/>
          <w:sz w:val="20"/>
          <w:szCs w:val="20"/>
        </w:rPr>
        <w:t xml:space="preserve">Corporate-level activity excludes stock-based compensation expense and revenue reconciling amounts presented separately in those line items.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No sales to an individual customer accounted for more than 10% of fiscal year </w:t>
      </w:r>
      <w:r w:rsidR="008E21BC">
        <w:rPr>
          <w:rFonts w:ascii="Arial Narrow" w:hAnsi="Arial Narrow" w:cs="Arial"/>
          <w:sz w:val="20"/>
          <w:szCs w:val="20"/>
        </w:rPr>
        <w:t>2018</w:t>
      </w:r>
      <w:r w:rsidRPr="008E21BC">
        <w:rPr>
          <w:rFonts w:ascii="Arial Narrow" w:hAnsi="Arial Narrow" w:cs="Arial"/>
          <w:sz w:val="20"/>
          <w:szCs w:val="20"/>
        </w:rPr>
        <w:t xml:space="preserve">, </w:t>
      </w:r>
      <w:r w:rsidR="008E21BC">
        <w:rPr>
          <w:rFonts w:ascii="Arial Narrow" w:hAnsi="Arial Narrow" w:cs="Arial"/>
          <w:sz w:val="20"/>
          <w:szCs w:val="20"/>
        </w:rPr>
        <w:t>2017</w:t>
      </w:r>
      <w:r w:rsidRPr="008E21BC">
        <w:rPr>
          <w:rFonts w:ascii="Arial Narrow" w:hAnsi="Arial Narrow" w:cs="Arial"/>
          <w:sz w:val="20"/>
          <w:szCs w:val="20"/>
        </w:rPr>
        <w:t xml:space="preserve">, or </w:t>
      </w:r>
      <w:r w:rsidR="008E21BC">
        <w:rPr>
          <w:rFonts w:ascii="Arial Narrow" w:hAnsi="Arial Narrow" w:cs="Arial"/>
          <w:sz w:val="20"/>
          <w:szCs w:val="20"/>
        </w:rPr>
        <w:t>2016</w:t>
      </w:r>
      <w:r w:rsidRPr="008E21BC">
        <w:rPr>
          <w:rFonts w:ascii="Arial Narrow" w:hAnsi="Arial Narrow" w:cs="Arial"/>
          <w:sz w:val="20"/>
          <w:szCs w:val="20"/>
        </w:rPr>
        <w:t xml:space="preserve"> revenue. Revenue, classified by the major geographic areas in which our customers are located, was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104"/>
        <w:gridCol w:w="273"/>
        <w:gridCol w:w="106"/>
        <w:gridCol w:w="653"/>
        <w:gridCol w:w="60"/>
        <w:gridCol w:w="274"/>
        <w:gridCol w:w="106"/>
        <w:gridCol w:w="653"/>
        <w:gridCol w:w="60"/>
        <w:gridCol w:w="274"/>
        <w:gridCol w:w="106"/>
        <w:gridCol w:w="653"/>
        <w:gridCol w:w="60"/>
      </w:tblGrid>
      <w:tr w:rsidR="00F94E14" w:rsidRPr="008E21BC">
        <w:trPr>
          <w:tblHeader/>
          <w:jc w:val="center"/>
        </w:trPr>
        <w:tc>
          <w:tcPr>
            <w:tcW w:w="390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 xml:space="preserve">United States  </w:t>
            </w:r>
            <w:r w:rsidRPr="008E21BC">
              <w:rPr>
                <w:rFonts w:ascii="Arial Narrow" w:hAnsi="Arial Narrow" w:cs="Arial"/>
                <w:sz w:val="15"/>
                <w:szCs w:val="15"/>
                <w:vertAlign w:val="superscript"/>
              </w:rPr>
              <w:t>(a)</w:t>
            </w:r>
            <w:r w:rsidRPr="008E21BC">
              <w:rPr>
                <w:rFonts w:ascii="Arial Narrow" w:hAnsi="Arial Narrow" w:cs="Arial"/>
                <w:sz w:val="20"/>
                <w:szCs w:val="20"/>
              </w:rPr>
              <w:t xml:space="preserve">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36,173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33,052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35,928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 countries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26,311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25,385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24,492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62,484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58,437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60,420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spacing w:before="90" w:beforeAutospacing="0" w:after="0" w:afterAutospacing="0"/>
        <w:ind w:left="489" w:hanging="490"/>
        <w:rPr>
          <w:rFonts w:ascii="Arial Narrow" w:hAnsi="Arial Narrow"/>
        </w:rPr>
      </w:pPr>
      <w:r w:rsidRPr="008E21BC">
        <w:rPr>
          <w:rFonts w:ascii="Arial Narrow" w:hAnsi="Arial Narrow" w:cs="Arial"/>
          <w:sz w:val="20"/>
          <w:szCs w:val="20"/>
        </w:rPr>
        <w:t>(a)</w:t>
      </w:r>
      <w:r w:rsidRPr="008E21BC">
        <w:rPr>
          <w:rFonts w:ascii="Arial Narrow" w:hAnsi="Arial Narrow" w:cs="Arial"/>
          <w:sz w:val="20"/>
          <w:szCs w:val="20"/>
        </w:rPr>
        <w:tab/>
      </w:r>
      <w:r w:rsidRPr="008E21BC">
        <w:rPr>
          <w:rFonts w:ascii="Arial Narrow" w:hAnsi="Arial Narrow" w:cs="Arial"/>
          <w:i/>
          <w:iCs/>
          <w:sz w:val="20"/>
          <w:szCs w:val="20"/>
        </w:rPr>
        <w:t xml:space="preserve">Includes shipments to customers in the United States and licensing to certain OEMs and multinational organizations. </w:t>
      </w:r>
    </w:p>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Revenues from external customers, classified by significant product and service offerings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39"/>
        <w:gridCol w:w="275"/>
        <w:gridCol w:w="107"/>
        <w:gridCol w:w="607"/>
        <w:gridCol w:w="60"/>
        <w:gridCol w:w="274"/>
        <w:gridCol w:w="106"/>
        <w:gridCol w:w="607"/>
        <w:gridCol w:w="60"/>
        <w:gridCol w:w="274"/>
        <w:gridCol w:w="106"/>
        <w:gridCol w:w="607"/>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Year Ended 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8E21BC">
            <w:pPr>
              <w:pStyle w:val="NormalWeb"/>
              <w:ind w:left="240" w:hanging="240"/>
              <w:rPr>
                <w:rFonts w:ascii="Arial Narrow" w:hAnsi="Arial Narrow"/>
              </w:rPr>
            </w:pPr>
            <w:r>
              <w:rPr>
                <w:rFonts w:ascii="Arial Narrow" w:hAnsi="Arial Narrow" w:cs="Arial"/>
                <w:sz w:val="20"/>
                <w:szCs w:val="20"/>
              </w:rPr>
              <w:lastRenderedPageBreak/>
              <w:t>Espresso</w:t>
            </w:r>
            <w:r w:rsidR="00F94E14" w:rsidRPr="008E21BC">
              <w:rPr>
                <w:rFonts w:ascii="Arial Narrow" w:hAnsi="Arial Narrow" w:cs="Arial"/>
                <w:sz w:val="20"/>
                <w:szCs w:val="20"/>
              </w:rPr>
              <w:t xml:space="preserve"> Office system</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17,754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17,998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18,083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Windows PC operating systems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18,225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14,653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16,838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Server products and tools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12,007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11,344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10,611</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Xbox 360 platform</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5,456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5,475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5,598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Consulting and product support services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3,036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3,024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2,743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Advertising</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2,528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2,345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2,425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3,478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3,598</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4,122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62,484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58,437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60,420</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pPr>
        <w:pStyle w:val="NormalWeb"/>
        <w:keepNext/>
        <w:spacing w:before="180" w:beforeAutospacing="0" w:after="0" w:afterAutospacing="0"/>
        <w:rPr>
          <w:rFonts w:ascii="Arial Narrow" w:hAnsi="Arial Narrow"/>
        </w:rPr>
      </w:pPr>
      <w:r w:rsidRPr="008E21BC">
        <w:rPr>
          <w:rFonts w:ascii="Arial Narrow" w:hAnsi="Arial Narrow" w:cs="Arial"/>
          <w:sz w:val="20"/>
          <w:szCs w:val="20"/>
        </w:rPr>
        <w:t xml:space="preserve">Long-lived assets, excluding financial instruments and deferred taxes, classified by the location of the controlling statutory company, were as follows: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39"/>
        <w:gridCol w:w="275"/>
        <w:gridCol w:w="107"/>
        <w:gridCol w:w="607"/>
        <w:gridCol w:w="60"/>
        <w:gridCol w:w="274"/>
        <w:gridCol w:w="106"/>
        <w:gridCol w:w="607"/>
        <w:gridCol w:w="60"/>
        <w:gridCol w:w="274"/>
        <w:gridCol w:w="106"/>
        <w:gridCol w:w="607"/>
        <w:gridCol w:w="60"/>
      </w:tblGrid>
      <w:tr w:rsidR="00F94E14" w:rsidRPr="008E21BC">
        <w:trPr>
          <w:tblHeader/>
          <w:jc w:val="center"/>
        </w:trPr>
        <w:tc>
          <w:tcPr>
            <w:tcW w:w="3950" w:type="pct"/>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1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12"/>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2018</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2017</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8E21BC">
            <w:pPr>
              <w:jc w:val="right"/>
              <w:rPr>
                <w:rFonts w:ascii="Arial Narrow" w:hAnsi="Arial Narrow"/>
              </w:rPr>
            </w:pPr>
            <w:r>
              <w:rPr>
                <w:rFonts w:ascii="Arial Narrow" w:hAnsi="Arial Narrow" w:cs="Arial"/>
                <w:b/>
                <w:bCs/>
                <w:sz w:val="15"/>
                <w:szCs w:val="15"/>
              </w:rPr>
              <w:t>2016</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United States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18,716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19,362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19,129</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Other countries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2,466</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2,435</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1,194</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jc w:val="center"/>
        </w:trPr>
        <w:tc>
          <w:tcPr>
            <w:tcW w:w="0" w:type="auto"/>
          </w:tcPr>
          <w:p w:rsidR="00F94E14" w:rsidRPr="008E21BC" w:rsidRDefault="00F94E14">
            <w:pPr>
              <w:pStyle w:val="NormalWeb"/>
              <w:ind w:left="480" w:hanging="240"/>
              <w:rPr>
                <w:rFonts w:ascii="Arial Narrow" w:hAnsi="Arial Narrow"/>
              </w:rPr>
            </w:pPr>
            <w:r w:rsidRPr="008E21BC">
              <w:rPr>
                <w:rFonts w:ascii="Arial Narrow" w:hAnsi="Arial Narrow" w:cs="Arial"/>
                <w:sz w:val="20"/>
                <w:szCs w:val="20"/>
              </w:rPr>
              <w:t>Total</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b/>
                <w:bCs/>
              </w:rPr>
              <w:t>  21,182</w:t>
            </w:r>
          </w:p>
        </w:tc>
        <w:tc>
          <w:tcPr>
            <w:tcW w:w="0" w:type="auto"/>
            <w:noWrap/>
            <w:vAlign w:val="bottom"/>
          </w:tcPr>
          <w:p w:rsidR="00F94E14" w:rsidRPr="008E21BC" w:rsidRDefault="001430D4">
            <w:pPr>
              <w:rPr>
                <w:rFonts w:ascii="Arial Narrow" w:hAnsi="Arial Narrow"/>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21,797</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rPr>
            </w:pPr>
            <w:r w:rsidRPr="008E21BC">
              <w:rPr>
                <w:rFonts w:ascii="Arial Narrow" w:hAnsi="Arial Narrow" w:cs="Arial"/>
              </w:rPr>
              <w:t>  20,323</w:t>
            </w:r>
          </w:p>
        </w:tc>
        <w:tc>
          <w:tcPr>
            <w:tcW w:w="0" w:type="auto"/>
            <w:noWrap/>
            <w:vAlign w:val="bottom"/>
          </w:tcPr>
          <w:p w:rsidR="00F94E14" w:rsidRPr="008E21BC" w:rsidRDefault="001430D4">
            <w:pPr>
              <w:rPr>
                <w:rFonts w:ascii="Arial Narrow" w:hAnsi="Arial Narrow"/>
              </w:rPr>
            </w:pPr>
            <w:r w:rsidRPr="008E21BC">
              <w:rPr>
                <w:rFonts w:ascii="Arial Narrow" w:hAnsi="Arial Narrow" w:cs="Arial"/>
              </w:rPr>
              <w:t> </w:t>
            </w:r>
          </w:p>
        </w:tc>
      </w:tr>
      <w:tr w:rsidR="00F94E14" w:rsidRPr="008E21BC">
        <w:trPr>
          <w:jc w:val="center"/>
        </w:trPr>
        <w:tc>
          <w:tcPr>
            <w:tcW w:w="0" w:type="auto"/>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doub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bl>
    <w:p w:rsidR="00F94E14" w:rsidRPr="008E21BC" w:rsidRDefault="00F94E14" w:rsidP="00E53AEB">
      <w:pPr>
        <w:pStyle w:val="NormalWeb"/>
        <w:spacing w:before="270" w:beforeAutospacing="0" w:after="0" w:afterAutospacing="0"/>
        <w:jc w:val="center"/>
        <w:rPr>
          <w:rFonts w:ascii="Arial Narrow" w:hAnsi="Arial Narrow"/>
        </w:rPr>
      </w:pPr>
      <w:r w:rsidRPr="008E21BC">
        <w:rPr>
          <w:rFonts w:ascii="Arial Narrow" w:hAnsi="Arial Narrow" w:cs="Arial"/>
          <w:sz w:val="20"/>
          <w:szCs w:val="20"/>
          <w:u w:val="single"/>
        </w:rPr>
        <w:t xml:space="preserve">NOTE 23 — QUARTERLY INFORMATION (Unaudited) </w:t>
      </w:r>
    </w:p>
    <w:p w:rsidR="00F94E14" w:rsidRPr="008E21BC" w:rsidRDefault="00F94E14">
      <w:pPr>
        <w:pStyle w:val="NormalWeb"/>
        <w:keepNext/>
        <w:spacing w:before="0" w:beforeAutospacing="0" w:after="0" w:afterAutospacing="0"/>
        <w:rPr>
          <w:rFonts w:ascii="Arial Narrow" w:hAnsi="Arial Narrow"/>
          <w:sz w:val="18"/>
          <w:szCs w:val="18"/>
        </w:rPr>
      </w:pPr>
      <w:r w:rsidRPr="008E21BC">
        <w:rPr>
          <w:rFonts w:ascii="Arial Narrow" w:hAnsi="Arial Narrow"/>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817"/>
        <w:gridCol w:w="381"/>
        <w:gridCol w:w="128"/>
        <w:gridCol w:w="707"/>
        <w:gridCol w:w="210"/>
        <w:gridCol w:w="382"/>
        <w:gridCol w:w="122"/>
        <w:gridCol w:w="672"/>
        <w:gridCol w:w="206"/>
        <w:gridCol w:w="382"/>
        <w:gridCol w:w="106"/>
        <w:gridCol w:w="607"/>
        <w:gridCol w:w="206"/>
        <w:gridCol w:w="382"/>
        <w:gridCol w:w="106"/>
        <w:gridCol w:w="607"/>
        <w:gridCol w:w="206"/>
        <w:gridCol w:w="382"/>
        <w:gridCol w:w="106"/>
        <w:gridCol w:w="607"/>
        <w:gridCol w:w="60"/>
      </w:tblGrid>
      <w:tr w:rsidR="00F94E14" w:rsidRPr="008E21BC">
        <w:trPr>
          <w:tblHeader/>
          <w:jc w:val="center"/>
        </w:trPr>
        <w:tc>
          <w:tcPr>
            <w:tcW w:w="2500" w:type="pct"/>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250" w:type="pct"/>
            <w:vAlign w:val="bottom"/>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c>
          <w:tcPr>
            <w:tcW w:w="0" w:type="auto"/>
            <w:vAlign w:val="center"/>
          </w:tcPr>
          <w:p w:rsidR="00F94E14" w:rsidRPr="008E21BC" w:rsidRDefault="00F94E14">
            <w:pPr>
              <w:rPr>
                <w:rFonts w:ascii="Arial Narrow" w:hAnsi="Arial Narrow"/>
                <w:sz w:val="1"/>
              </w:rPr>
            </w:pPr>
          </w:p>
        </w:tc>
      </w:tr>
      <w:tr w:rsidR="00F94E14" w:rsidRPr="008E21BC">
        <w:trPr>
          <w:tblHeade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(In millions, except per share amounts)</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jc w:val="center"/>
        </w:trPr>
        <w:tc>
          <w:tcPr>
            <w:tcW w:w="0" w:type="auto"/>
            <w:gridSpan w:val="20"/>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Quarter Ended</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September 30</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December 31</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March 31</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June 30</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tcMar>
              <w:top w:w="0" w:type="dxa"/>
              <w:left w:w="14" w:type="dxa"/>
              <w:bottom w:w="0" w:type="dxa"/>
              <w:right w:w="14" w:type="dxa"/>
            </w:tcMar>
            <w:vAlign w:val="bottom"/>
          </w:tcPr>
          <w:p w:rsidR="00F94E14" w:rsidRPr="008E21BC" w:rsidRDefault="00F94E14">
            <w:pPr>
              <w:jc w:val="right"/>
              <w:rPr>
                <w:rFonts w:ascii="Arial Narrow" w:hAnsi="Arial Narrow"/>
              </w:rPr>
            </w:pPr>
            <w:r w:rsidRPr="008E21BC">
              <w:rPr>
                <w:rFonts w:ascii="Arial Narrow" w:hAnsi="Arial Narrow" w:cs="Arial"/>
                <w:b/>
                <w:bCs/>
                <w:sz w:val="15"/>
                <w:szCs w:val="15"/>
              </w:rPr>
              <w:t>Total</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c>
          <w:tcPr>
            <w:tcW w:w="0" w:type="auto"/>
            <w:gridSpan w:val="4"/>
            <w:vAlign w:val="center"/>
          </w:tcPr>
          <w:p w:rsidR="00F94E14" w:rsidRPr="008E21BC" w:rsidRDefault="00F94E14">
            <w:pPr>
              <w:rPr>
                <w:rFonts w:ascii="Arial Narrow" w:hAnsi="Arial Narrow"/>
                <w:sz w:val="8"/>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Fiscal Year </w:t>
            </w:r>
            <w:r w:rsidR="008E21BC">
              <w:rPr>
                <w:rFonts w:ascii="Arial Narrow" w:hAnsi="Arial Narrow" w:cs="Arial"/>
                <w:b/>
                <w:bCs/>
                <w:sz w:val="15"/>
                <w:szCs w:val="15"/>
              </w:rPr>
              <w:t>2018</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xml:space="preserve">$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 xml:space="preserve">   12,920 </w:t>
            </w:r>
          </w:p>
        </w:tc>
        <w:tc>
          <w:tcPr>
            <w:tcW w:w="0" w:type="auto"/>
            <w:noWrap/>
            <w:vAlign w:val="bottom"/>
          </w:tcPr>
          <w:p w:rsidR="00F94E14" w:rsidRPr="008E21BC" w:rsidRDefault="00F94E14">
            <w:pPr>
              <w:rPr>
                <w:rFonts w:ascii="Arial Narrow" w:hAnsi="Arial Narrow"/>
                <w:szCs w:val="24"/>
              </w:rPr>
            </w:pPr>
            <w:r w:rsidRPr="008E21BC">
              <w:rPr>
                <w:rFonts w:ascii="Arial Narrow" w:hAnsi="Arial Narrow" w:cs="Arial"/>
                <w:b/>
                <w:bCs/>
              </w:rPr>
              <w:t xml:space="preserve">  </w:t>
            </w:r>
            <w:r w:rsidRPr="008E21BC">
              <w:rPr>
                <w:rFonts w:ascii="Arial Narrow" w:hAnsi="Arial Narrow" w:cs="Arial"/>
                <w:b/>
                <w:bCs/>
                <w:sz w:val="15"/>
                <w:szCs w:val="15"/>
                <w:vertAlign w:val="superscript"/>
              </w:rPr>
              <w:t>(b</w:t>
            </w:r>
            <w:r w:rsidR="005B6D7A" w:rsidRPr="008E21BC">
              <w:rPr>
                <w:rFonts w:ascii="Arial Narrow" w:hAnsi="Arial Narrow" w:cs="Arial"/>
                <w:b/>
                <w:bCs/>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xml:space="preserve">$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 xml:space="preserve">   19,022 </w:t>
            </w:r>
          </w:p>
        </w:tc>
        <w:tc>
          <w:tcPr>
            <w:tcW w:w="0" w:type="auto"/>
            <w:noWrap/>
            <w:vAlign w:val="bottom"/>
          </w:tcPr>
          <w:p w:rsidR="00F94E14" w:rsidRPr="008E21BC" w:rsidRDefault="00F94E14">
            <w:pPr>
              <w:rPr>
                <w:rFonts w:ascii="Arial Narrow" w:hAnsi="Arial Narrow"/>
                <w:szCs w:val="24"/>
              </w:rPr>
            </w:pPr>
            <w:r w:rsidRPr="008E21BC">
              <w:rPr>
                <w:rFonts w:ascii="Arial Narrow" w:hAnsi="Arial Narrow" w:cs="Arial"/>
                <w:b/>
                <w:bCs/>
              </w:rPr>
              <w:t xml:space="preserve">  </w:t>
            </w:r>
            <w:r w:rsidRPr="008E21BC">
              <w:rPr>
                <w:rFonts w:ascii="Arial Narrow" w:hAnsi="Arial Narrow" w:cs="Arial"/>
                <w:b/>
                <w:bCs/>
                <w:sz w:val="15"/>
                <w:szCs w:val="15"/>
                <w:vertAlign w:val="superscript"/>
              </w:rPr>
              <w:t>(a</w:t>
            </w:r>
            <w:r w:rsidR="005B6D7A" w:rsidRPr="008E21BC">
              <w:rPr>
                <w:rFonts w:ascii="Arial Narrow" w:hAnsi="Arial Narrow" w:cs="Arial"/>
                <w:b/>
                <w:bCs/>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  14,503</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  16,039</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  62,484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Gross profit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10,078</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15,394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11,748</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12,869</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50,089</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3,574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 xml:space="preserve">6,662 </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4,006</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4,518</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18,760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Basic 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0.40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0.75</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0.46</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0.52</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2.13</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Diluted 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0.40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0.74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0.45</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0.51</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b/>
                <w:bCs/>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b/>
                <w:bCs/>
              </w:rPr>
              <w:t>2.10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b/>
                <w:bCs/>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Fiscal Year </w:t>
            </w:r>
            <w:r w:rsidR="008E21BC">
              <w:rPr>
                <w:rFonts w:ascii="Arial Narrow" w:hAnsi="Arial Narrow" w:cs="Arial"/>
                <w:b/>
                <w:bCs/>
                <w:sz w:val="15"/>
                <w:szCs w:val="15"/>
              </w:rPr>
              <w:t>2017</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15,061</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rsidP="00A30CFF">
            <w:pPr>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16,629</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13,648</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r w:rsidRPr="008E21BC">
              <w:rPr>
                <w:rFonts w:ascii="Arial Narrow" w:hAnsi="Arial Narrow"/>
              </w:rPr>
              <w:t xml:space="preserve">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13,099</w:t>
            </w:r>
            <w:r w:rsidRPr="008E21BC">
              <w:rPr>
                <w:rFonts w:ascii="Arial Narrow" w:hAnsi="Arial Narrow" w:cs="Arial"/>
                <w:sz w:val="15"/>
                <w:szCs w:val="15"/>
                <w:vertAlign w:val="superscript"/>
              </w:rPr>
              <w:t xml:space="preserve"> </w:t>
            </w:r>
          </w:p>
        </w:tc>
        <w:tc>
          <w:tcPr>
            <w:tcW w:w="0" w:type="auto"/>
            <w:noWrap/>
            <w:vAlign w:val="bottom"/>
          </w:tcPr>
          <w:p w:rsidR="00F94E14" w:rsidRPr="008E21BC" w:rsidRDefault="00F94E14">
            <w:pPr>
              <w:rPr>
                <w:rFonts w:ascii="Arial Narrow" w:hAnsi="Arial Narrow"/>
                <w:szCs w:val="24"/>
              </w:rPr>
            </w:pPr>
            <w:r w:rsidRPr="008E21BC">
              <w:rPr>
                <w:rFonts w:ascii="Arial Narrow" w:hAnsi="Arial Narrow" w:cs="Arial"/>
              </w:rPr>
              <w:t xml:space="preserve">  </w:t>
            </w:r>
            <w:r w:rsidRPr="008E21BC">
              <w:rPr>
                <w:rFonts w:ascii="Arial Narrow" w:hAnsi="Arial Narrow" w:cs="Arial"/>
                <w:sz w:val="15"/>
                <w:szCs w:val="15"/>
                <w:vertAlign w:val="superscript"/>
              </w:rPr>
              <w:t>(c</w:t>
            </w:r>
            <w:r w:rsidR="005B6D7A" w:rsidRPr="008E21BC">
              <w:rPr>
                <w:rFonts w:ascii="Arial Narrow" w:hAnsi="Arial Narrow" w:cs="Arial"/>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58,437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Gross profit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12,213</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12,722</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10,834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10,513</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46,282</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4,373</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4,174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2,977</w:t>
            </w:r>
            <w:r w:rsidRPr="008E21BC">
              <w:rPr>
                <w:rFonts w:ascii="Arial Narrow" w:hAnsi="Arial Narrow" w:cs="Arial"/>
                <w:sz w:val="15"/>
                <w:szCs w:val="15"/>
                <w:vertAlign w:val="superscript"/>
              </w:rPr>
              <w:t xml:space="preserve"> </w:t>
            </w:r>
          </w:p>
        </w:tc>
        <w:tc>
          <w:tcPr>
            <w:tcW w:w="0" w:type="auto"/>
            <w:noWrap/>
            <w:vAlign w:val="bottom"/>
          </w:tcPr>
          <w:p w:rsidR="00F94E14" w:rsidRPr="008E21BC" w:rsidRDefault="00F94E14">
            <w:pPr>
              <w:rPr>
                <w:rFonts w:ascii="Arial Narrow" w:hAnsi="Arial Narrow"/>
                <w:szCs w:val="24"/>
              </w:rPr>
            </w:pPr>
            <w:r w:rsidRPr="008E21BC">
              <w:rPr>
                <w:rFonts w:ascii="Arial Narrow" w:hAnsi="Arial Narrow" w:cs="Arial"/>
              </w:rPr>
              <w:t xml:space="preserve">  </w:t>
            </w:r>
            <w:r w:rsidRPr="008E21BC">
              <w:rPr>
                <w:rFonts w:ascii="Arial Narrow" w:hAnsi="Arial Narrow" w:cs="Arial"/>
                <w:sz w:val="15"/>
                <w:szCs w:val="15"/>
                <w:vertAlign w:val="superscript"/>
              </w:rPr>
              <w:t>(d</w:t>
            </w:r>
            <w:r w:rsidR="005B6D7A" w:rsidRPr="008E21BC">
              <w:rPr>
                <w:rFonts w:ascii="Arial Narrow" w:hAnsi="Arial Narrow" w:cs="Arial"/>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3,045</w:t>
            </w:r>
            <w:r w:rsidRPr="008E21BC">
              <w:rPr>
                <w:rFonts w:ascii="Arial Narrow" w:hAnsi="Arial Narrow" w:cs="Arial"/>
                <w:sz w:val="15"/>
                <w:szCs w:val="15"/>
                <w:vertAlign w:val="superscript"/>
              </w:rPr>
              <w:t xml:space="preserve"> </w:t>
            </w:r>
          </w:p>
        </w:tc>
        <w:tc>
          <w:tcPr>
            <w:tcW w:w="0" w:type="auto"/>
            <w:noWrap/>
            <w:vAlign w:val="bottom"/>
          </w:tcPr>
          <w:p w:rsidR="00F94E14" w:rsidRPr="008E21BC" w:rsidRDefault="00F94E14">
            <w:pPr>
              <w:rPr>
                <w:rFonts w:ascii="Arial Narrow" w:hAnsi="Arial Narrow"/>
                <w:szCs w:val="24"/>
              </w:rPr>
            </w:pPr>
            <w:r w:rsidRPr="008E21BC">
              <w:rPr>
                <w:rFonts w:ascii="Arial Narrow" w:hAnsi="Arial Narrow" w:cs="Arial"/>
              </w:rPr>
              <w:t xml:space="preserve">  </w:t>
            </w:r>
            <w:r w:rsidRPr="008E21BC">
              <w:rPr>
                <w:rFonts w:ascii="Arial Narrow" w:hAnsi="Arial Narrow" w:cs="Arial"/>
                <w:sz w:val="15"/>
                <w:szCs w:val="15"/>
                <w:vertAlign w:val="superscript"/>
              </w:rPr>
              <w:t>(d</w:t>
            </w:r>
            <w:r w:rsidR="005B6D7A" w:rsidRPr="008E21BC">
              <w:rPr>
                <w:rFonts w:ascii="Arial Narrow" w:hAnsi="Arial Narrow" w:cs="Arial"/>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14,569</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Basic 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0.48</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0.33</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0.34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1.63</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Diluted 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0.48</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0.33</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0.34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1.62</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gridSpan w:val="4"/>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rrdsinglerule"/>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r>
      <w:tr w:rsidR="00F94E14" w:rsidRPr="008E21BC">
        <w:trPr>
          <w:jc w:val="center"/>
        </w:trPr>
        <w:tc>
          <w:tcPr>
            <w:tcW w:w="0" w:type="auto"/>
            <w:vAlign w:val="bottom"/>
          </w:tcPr>
          <w:p w:rsidR="00F94E14" w:rsidRPr="008E21BC" w:rsidRDefault="00F94E14">
            <w:pPr>
              <w:pStyle w:val="NormalWeb"/>
              <w:keepNext/>
              <w:spacing w:before="0" w:beforeAutospacing="0" w:after="15" w:afterAutospacing="0"/>
              <w:rPr>
                <w:rFonts w:ascii="Arial Narrow" w:hAnsi="Arial Narrow"/>
              </w:rPr>
            </w:pPr>
            <w:r w:rsidRPr="008E21BC">
              <w:rPr>
                <w:rFonts w:ascii="Arial Narrow" w:hAnsi="Arial Narrow" w:cs="Arial"/>
                <w:b/>
                <w:bCs/>
                <w:sz w:val="15"/>
                <w:szCs w:val="15"/>
              </w:rPr>
              <w:t xml:space="preserve">Fiscal Year </w:t>
            </w:r>
            <w:r w:rsidR="008E21BC">
              <w:rPr>
                <w:rFonts w:ascii="Arial Narrow" w:hAnsi="Arial Narrow" w:cs="Arial"/>
                <w:b/>
                <w:bCs/>
                <w:sz w:val="15"/>
                <w:szCs w:val="15"/>
              </w:rPr>
              <w:t>2016</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gridSpan w:val="2"/>
            <w:vAlign w:val="bottom"/>
          </w:tcPr>
          <w:p w:rsidR="00F94E14" w:rsidRPr="008E21BC" w:rsidRDefault="00F94E14">
            <w:pPr>
              <w:pStyle w:val="la2"/>
              <w:rPr>
                <w:rFonts w:ascii="Arial Narrow" w:hAnsi="Arial Narrow"/>
              </w:rPr>
            </w:pPr>
            <w:r w:rsidRPr="008E21BC">
              <w:rPr>
                <w:rFonts w:ascii="Arial Narrow" w:hAnsi="Arial Narrow"/>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sz w:val="15"/>
                <w:szCs w:val="15"/>
              </w:rPr>
              <w:t> </w:t>
            </w:r>
          </w:p>
        </w:tc>
      </w:tr>
      <w:tr w:rsidR="00F94E14" w:rsidRPr="008E21BC">
        <w:trPr>
          <w:trHeight w:val="75"/>
          <w:jc w:val="center"/>
        </w:trPr>
        <w:tc>
          <w:tcPr>
            <w:tcW w:w="0" w:type="auto"/>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c>
          <w:tcPr>
            <w:tcW w:w="0" w:type="auto"/>
            <w:gridSpan w:val="4"/>
            <w:vAlign w:val="center"/>
          </w:tcPr>
          <w:p w:rsidR="00F94E14" w:rsidRPr="008E21BC" w:rsidRDefault="00F94E14">
            <w:pPr>
              <w:rPr>
                <w:rFonts w:ascii="Arial Narrow" w:hAnsi="Arial Narrow"/>
                <w:sz w:val="8"/>
                <w:szCs w:val="24"/>
              </w:rPr>
            </w:pP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Revenue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13,762</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16,367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14,454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15,837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60,420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Gross profit</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11,087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12,824</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11,940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12,971</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48,822</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Net income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4,289</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 xml:space="preserve">4,707 </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4,388</w:t>
            </w:r>
            <w:r w:rsidRPr="008E21BC">
              <w:rPr>
                <w:rFonts w:ascii="Arial Narrow" w:hAnsi="Arial Narrow" w:cs="Arial"/>
                <w:sz w:val="15"/>
                <w:szCs w:val="15"/>
                <w:vertAlign w:val="superscript"/>
              </w:rPr>
              <w:t xml:space="preserve"> </w:t>
            </w:r>
          </w:p>
        </w:tc>
        <w:tc>
          <w:tcPr>
            <w:tcW w:w="0" w:type="auto"/>
            <w:noWrap/>
            <w:vAlign w:val="bottom"/>
          </w:tcPr>
          <w:p w:rsidR="00F94E14" w:rsidRPr="008E21BC" w:rsidRDefault="00F94E14">
            <w:pPr>
              <w:rPr>
                <w:rFonts w:ascii="Arial Narrow" w:hAnsi="Arial Narrow"/>
                <w:szCs w:val="24"/>
              </w:rPr>
            </w:pPr>
            <w:r w:rsidRPr="008E21BC">
              <w:rPr>
                <w:rFonts w:ascii="Arial Narrow" w:hAnsi="Arial Narrow" w:cs="Arial"/>
              </w:rPr>
              <w:t xml:space="preserve">  </w:t>
            </w:r>
            <w:r w:rsidRPr="008E21BC">
              <w:rPr>
                <w:rFonts w:ascii="Arial Narrow" w:hAnsi="Arial Narrow" w:cs="Arial"/>
                <w:sz w:val="15"/>
                <w:szCs w:val="15"/>
                <w:vertAlign w:val="superscript"/>
              </w:rPr>
              <w:t>(e</w:t>
            </w:r>
            <w:r w:rsidR="005B6D7A" w:rsidRPr="008E21BC">
              <w:rPr>
                <w:rFonts w:ascii="Arial Narrow" w:hAnsi="Arial Narrow" w:cs="Arial"/>
                <w:sz w:val="15"/>
                <w:szCs w:val="15"/>
                <w:vertAlign w:val="superscript"/>
              </w:rPr>
              <w:t>)</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4,297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17,681</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Basic 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0.46</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0.50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0.46</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1.90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r w:rsidR="00F94E14" w:rsidRPr="008E21BC">
        <w:trPr>
          <w:jc w:val="center"/>
        </w:trPr>
        <w:tc>
          <w:tcPr>
            <w:tcW w:w="0" w:type="auto"/>
          </w:tcPr>
          <w:p w:rsidR="00F94E14" w:rsidRPr="008E21BC" w:rsidRDefault="00F94E14">
            <w:pPr>
              <w:pStyle w:val="NormalWeb"/>
              <w:ind w:left="240" w:hanging="240"/>
              <w:rPr>
                <w:rFonts w:ascii="Arial Narrow" w:hAnsi="Arial Narrow"/>
              </w:rPr>
            </w:pPr>
            <w:r w:rsidRPr="008E21BC">
              <w:rPr>
                <w:rFonts w:ascii="Arial Narrow" w:hAnsi="Arial Narrow" w:cs="Arial"/>
                <w:sz w:val="20"/>
                <w:szCs w:val="20"/>
              </w:rPr>
              <w:t>Diluted earnings per share</w:t>
            </w:r>
          </w:p>
        </w:tc>
        <w:tc>
          <w:tcPr>
            <w:tcW w:w="0" w:type="auto"/>
            <w:vAlign w:val="bottom"/>
          </w:tcPr>
          <w:p w:rsidR="00F94E14" w:rsidRPr="008E21BC" w:rsidRDefault="001430D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0.45</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0.50</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0.46</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pStyle w:val="la2"/>
              <w:rPr>
                <w:rFonts w:ascii="Arial Narrow" w:hAnsi="Arial Narrow"/>
              </w:rPr>
            </w:pPr>
            <w:r w:rsidRPr="008E21BC">
              <w:rPr>
                <w:rFonts w:ascii="Arial Narrow" w:hAnsi="Arial Narrow"/>
                <w:sz w:val="15"/>
                <w:szCs w:val="15"/>
              </w:rPr>
              <w:t> </w:t>
            </w:r>
          </w:p>
        </w:tc>
        <w:tc>
          <w:tcPr>
            <w:tcW w:w="0" w:type="auto"/>
            <w:vAlign w:val="bottom"/>
          </w:tcPr>
          <w:p w:rsidR="00F94E14" w:rsidRPr="008E21BC" w:rsidRDefault="00F94E14">
            <w:pPr>
              <w:rPr>
                <w:rFonts w:ascii="Arial Narrow" w:hAnsi="Arial Narrow"/>
                <w:szCs w:val="24"/>
              </w:rPr>
            </w:pPr>
            <w:r w:rsidRPr="008E21BC">
              <w:rPr>
                <w:rFonts w:ascii="Arial Narrow" w:hAnsi="Arial Narrow" w:cs="Arial"/>
              </w:rPr>
              <w:t> </w:t>
            </w:r>
          </w:p>
        </w:tc>
        <w:tc>
          <w:tcPr>
            <w:tcW w:w="0" w:type="auto"/>
            <w:vAlign w:val="bottom"/>
          </w:tcPr>
          <w:p w:rsidR="00F94E14" w:rsidRPr="008E21BC" w:rsidRDefault="00F94E14">
            <w:pPr>
              <w:jc w:val="right"/>
              <w:rPr>
                <w:rFonts w:ascii="Arial Narrow" w:hAnsi="Arial Narrow"/>
                <w:szCs w:val="24"/>
              </w:rPr>
            </w:pPr>
            <w:r w:rsidRPr="008E21BC">
              <w:rPr>
                <w:rFonts w:ascii="Arial Narrow" w:hAnsi="Arial Narrow" w:cs="Arial"/>
              </w:rPr>
              <w:t>1.87</w:t>
            </w:r>
          </w:p>
        </w:tc>
        <w:tc>
          <w:tcPr>
            <w:tcW w:w="0" w:type="auto"/>
            <w:noWrap/>
            <w:vAlign w:val="bottom"/>
          </w:tcPr>
          <w:p w:rsidR="00F94E14" w:rsidRPr="008E21BC" w:rsidRDefault="001430D4">
            <w:pPr>
              <w:rPr>
                <w:rFonts w:ascii="Arial Narrow" w:hAnsi="Arial Narrow"/>
                <w:szCs w:val="24"/>
              </w:rPr>
            </w:pPr>
            <w:r w:rsidRPr="008E21BC">
              <w:rPr>
                <w:rFonts w:ascii="Arial Narrow" w:hAnsi="Arial Narrow" w:cs="Arial"/>
              </w:rPr>
              <w:t> </w:t>
            </w:r>
          </w:p>
        </w:tc>
      </w:tr>
    </w:tbl>
    <w:p w:rsidR="00F94E14" w:rsidRPr="008E21BC" w:rsidRDefault="00F94E14">
      <w:pPr>
        <w:pStyle w:val="rrdsinglerule"/>
        <w:pBdr>
          <w:top w:val="single" w:sz="4" w:space="0" w:color="000000"/>
        </w:pBdr>
        <w:rPr>
          <w:rFonts w:ascii="Arial Narrow" w:hAnsi="Arial Narrow"/>
          <w:sz w:val="24"/>
          <w:szCs w:val="24"/>
        </w:rPr>
      </w:pPr>
      <w:r w:rsidRPr="008E21BC">
        <w:rPr>
          <w:rFonts w:ascii="Arial Narrow" w:hAnsi="Arial Narrow"/>
        </w:rPr>
        <w:t> </w:t>
      </w:r>
    </w:p>
    <w:p w:rsidR="00F94E14" w:rsidRPr="008E21BC" w:rsidRDefault="00F94E14">
      <w:pPr>
        <w:pStyle w:val="NormalWeb"/>
        <w:spacing w:before="90" w:beforeAutospacing="0" w:after="0" w:afterAutospacing="0"/>
        <w:ind w:left="489" w:hanging="490"/>
        <w:rPr>
          <w:rFonts w:ascii="Arial Narrow" w:hAnsi="Arial Narrow"/>
        </w:rPr>
      </w:pPr>
      <w:r w:rsidRPr="008E21BC">
        <w:rPr>
          <w:rFonts w:ascii="Arial Narrow" w:hAnsi="Arial Narrow" w:cs="Arial"/>
          <w:sz w:val="20"/>
          <w:szCs w:val="20"/>
        </w:rPr>
        <w:t>(a)</w:t>
      </w:r>
      <w:r w:rsidRPr="008E21BC">
        <w:rPr>
          <w:rFonts w:ascii="Arial Narrow" w:hAnsi="Arial Narrow" w:cs="Arial"/>
          <w:sz w:val="20"/>
          <w:szCs w:val="20"/>
        </w:rPr>
        <w:tab/>
      </w:r>
      <w:r w:rsidRPr="008E21BC">
        <w:rPr>
          <w:rFonts w:ascii="Arial Narrow" w:hAnsi="Arial Narrow" w:cs="Arial"/>
          <w:i/>
          <w:iCs/>
          <w:sz w:val="20"/>
          <w:szCs w:val="20"/>
        </w:rPr>
        <w:t xml:space="preserve">Reflects $1.7 billion of revenue recognized for sales of Windows Vista with a guarantee to be upgraded to Windows 7 at minimal or no cost and of Windows 7 to original equipment manufacturers and retailers before general availability (the “Windows 7 Deferral”). </w:t>
      </w:r>
    </w:p>
    <w:p w:rsidR="00F94E14" w:rsidRPr="008E21BC" w:rsidRDefault="00F94E14">
      <w:pPr>
        <w:pStyle w:val="NormalWeb"/>
        <w:spacing w:before="0" w:beforeAutospacing="0" w:after="0" w:afterAutospacing="0"/>
        <w:ind w:left="489" w:hanging="490"/>
        <w:rPr>
          <w:rFonts w:ascii="Arial Narrow" w:hAnsi="Arial Narrow"/>
        </w:rPr>
      </w:pPr>
      <w:r w:rsidRPr="008E21BC">
        <w:rPr>
          <w:rFonts w:ascii="Arial Narrow" w:hAnsi="Arial Narrow" w:cs="Arial"/>
          <w:sz w:val="20"/>
          <w:szCs w:val="20"/>
        </w:rPr>
        <w:t>(b)</w:t>
      </w:r>
      <w:r w:rsidRPr="008E21BC">
        <w:rPr>
          <w:rFonts w:ascii="Arial Narrow" w:hAnsi="Arial Narrow" w:cs="Arial"/>
          <w:sz w:val="20"/>
          <w:szCs w:val="20"/>
        </w:rPr>
        <w:tab/>
      </w:r>
      <w:r w:rsidRPr="008E21BC">
        <w:rPr>
          <w:rFonts w:ascii="Arial Narrow" w:hAnsi="Arial Narrow" w:cs="Arial"/>
          <w:i/>
          <w:iCs/>
          <w:sz w:val="20"/>
          <w:szCs w:val="20"/>
        </w:rPr>
        <w:t xml:space="preserve">Reflects $1.5 billion of revenue deferred to future periods relating to the Windows 7 Deferral. </w:t>
      </w:r>
    </w:p>
    <w:p w:rsidR="00F94E14" w:rsidRPr="008E21BC" w:rsidRDefault="00F94E14">
      <w:pPr>
        <w:pStyle w:val="NormalWeb"/>
        <w:spacing w:before="0" w:beforeAutospacing="0" w:after="0" w:afterAutospacing="0"/>
        <w:ind w:left="489" w:hanging="490"/>
        <w:rPr>
          <w:rFonts w:ascii="Arial Narrow" w:hAnsi="Arial Narrow"/>
        </w:rPr>
      </w:pPr>
      <w:r w:rsidRPr="008E21BC">
        <w:rPr>
          <w:rFonts w:ascii="Arial Narrow" w:hAnsi="Arial Narrow" w:cs="Arial"/>
          <w:sz w:val="20"/>
          <w:szCs w:val="20"/>
        </w:rPr>
        <w:t>(c)</w:t>
      </w:r>
      <w:r w:rsidRPr="008E21BC">
        <w:rPr>
          <w:rFonts w:ascii="Arial Narrow" w:hAnsi="Arial Narrow" w:cs="Arial"/>
          <w:sz w:val="20"/>
          <w:szCs w:val="20"/>
        </w:rPr>
        <w:tab/>
      </w:r>
      <w:r w:rsidRPr="008E21BC">
        <w:rPr>
          <w:rFonts w:ascii="Arial Narrow" w:hAnsi="Arial Narrow" w:cs="Arial"/>
          <w:i/>
          <w:iCs/>
          <w:sz w:val="20"/>
          <w:szCs w:val="20"/>
        </w:rPr>
        <w:t xml:space="preserve">Reflects $276 million of revenue deferred to future periods relating to the Windows 7 Deferral. </w:t>
      </w:r>
    </w:p>
    <w:p w:rsidR="00F94E14" w:rsidRPr="008E21BC" w:rsidRDefault="00F94E14">
      <w:pPr>
        <w:pStyle w:val="NormalWeb"/>
        <w:spacing w:before="0" w:beforeAutospacing="0" w:after="0" w:afterAutospacing="0"/>
        <w:ind w:left="489" w:hanging="490"/>
        <w:rPr>
          <w:rFonts w:ascii="Arial Narrow" w:hAnsi="Arial Narrow"/>
        </w:rPr>
      </w:pPr>
      <w:r w:rsidRPr="008E21BC">
        <w:rPr>
          <w:rFonts w:ascii="Arial Narrow" w:hAnsi="Arial Narrow" w:cs="Arial"/>
          <w:sz w:val="20"/>
          <w:szCs w:val="20"/>
        </w:rPr>
        <w:t>(d)</w:t>
      </w:r>
      <w:r w:rsidRPr="008E21BC">
        <w:rPr>
          <w:rFonts w:ascii="Arial Narrow" w:hAnsi="Arial Narrow" w:cs="Arial"/>
          <w:sz w:val="20"/>
          <w:szCs w:val="20"/>
        </w:rPr>
        <w:tab/>
      </w:r>
      <w:r w:rsidRPr="008E21BC">
        <w:rPr>
          <w:rFonts w:ascii="Arial Narrow" w:hAnsi="Arial Narrow" w:cs="Arial"/>
          <w:i/>
          <w:iCs/>
          <w:sz w:val="20"/>
          <w:szCs w:val="20"/>
        </w:rPr>
        <w:t xml:space="preserve">Includes employee severance of $290 million and $40 million (pre-tax) in the third and fourth quarters of the year ended June 30, </w:t>
      </w:r>
      <w:r w:rsidR="008E21BC">
        <w:rPr>
          <w:rFonts w:ascii="Arial Narrow" w:hAnsi="Arial Narrow" w:cs="Arial"/>
          <w:i/>
          <w:iCs/>
          <w:sz w:val="20"/>
          <w:szCs w:val="20"/>
        </w:rPr>
        <w:t>2017</w:t>
      </w:r>
      <w:r w:rsidRPr="008E21BC">
        <w:rPr>
          <w:rFonts w:ascii="Arial Narrow" w:hAnsi="Arial Narrow" w:cs="Arial"/>
          <w:i/>
          <w:iCs/>
          <w:sz w:val="20"/>
          <w:szCs w:val="20"/>
        </w:rPr>
        <w:t xml:space="preserve">, respectively. </w:t>
      </w:r>
    </w:p>
    <w:p w:rsidR="00F94E14" w:rsidRPr="008E21BC" w:rsidRDefault="00F94E14">
      <w:pPr>
        <w:pStyle w:val="NormalWeb"/>
        <w:spacing w:before="0" w:beforeAutospacing="0" w:after="0" w:afterAutospacing="0"/>
        <w:ind w:left="489" w:hanging="490"/>
        <w:rPr>
          <w:rFonts w:ascii="Arial Narrow" w:hAnsi="Arial Narrow"/>
        </w:rPr>
      </w:pPr>
      <w:r w:rsidRPr="008E21BC">
        <w:rPr>
          <w:rFonts w:ascii="Arial Narrow" w:hAnsi="Arial Narrow" w:cs="Arial"/>
          <w:sz w:val="20"/>
          <w:szCs w:val="20"/>
        </w:rPr>
        <w:t>(e)</w:t>
      </w:r>
      <w:r w:rsidRPr="008E21BC">
        <w:rPr>
          <w:rFonts w:ascii="Arial Narrow" w:hAnsi="Arial Narrow" w:cs="Arial"/>
          <w:sz w:val="20"/>
          <w:szCs w:val="20"/>
        </w:rPr>
        <w:tab/>
      </w:r>
      <w:r w:rsidRPr="008E21BC">
        <w:rPr>
          <w:rFonts w:ascii="Arial Narrow" w:hAnsi="Arial Narrow" w:cs="Arial"/>
          <w:i/>
          <w:iCs/>
          <w:sz w:val="20"/>
          <w:szCs w:val="20"/>
        </w:rPr>
        <w:t>Includes charge of $1.4 billion (</w:t>
      </w:r>
      <w:r w:rsidRPr="008E21BC">
        <w:rPr>
          <w:rFonts w:ascii="Arial Narrow" w:hAnsi="Arial Narrow"/>
          <w:i/>
          <w:iCs/>
          <w:sz w:val="20"/>
          <w:szCs w:val="20"/>
        </w:rPr>
        <w:t>€</w:t>
      </w:r>
      <w:r w:rsidRPr="008E21BC">
        <w:rPr>
          <w:rFonts w:ascii="Arial Narrow" w:hAnsi="Arial Narrow" w:cs="Arial"/>
          <w:i/>
          <w:iCs/>
          <w:sz w:val="20"/>
          <w:szCs w:val="20"/>
        </w:rPr>
        <w:t xml:space="preserve">899 million) related to the fine imposed by the European Commission in February </w:t>
      </w:r>
      <w:r w:rsidR="008E21BC">
        <w:rPr>
          <w:rFonts w:ascii="Arial Narrow" w:hAnsi="Arial Narrow" w:cs="Arial"/>
          <w:i/>
          <w:iCs/>
          <w:sz w:val="20"/>
          <w:szCs w:val="20"/>
        </w:rPr>
        <w:t>2016</w:t>
      </w:r>
      <w:r w:rsidRPr="008E21BC">
        <w:rPr>
          <w:rFonts w:ascii="Arial Narrow" w:hAnsi="Arial Narrow" w:cs="Arial"/>
          <w:i/>
          <w:iCs/>
          <w:sz w:val="20"/>
          <w:szCs w:val="20"/>
        </w:rPr>
        <w:t xml:space="preserve">. </w:t>
      </w:r>
    </w:p>
    <w:p w:rsidR="00B74795" w:rsidRPr="008E21BC" w:rsidRDefault="00F94E14" w:rsidP="00885992">
      <w:pPr>
        <w:pStyle w:val="NormalWeb"/>
        <w:spacing w:before="0" w:beforeAutospacing="0" w:after="0" w:afterAutospacing="0"/>
        <w:rPr>
          <w:rFonts w:ascii="Arial Narrow" w:hAnsi="Arial Narrow"/>
        </w:rPr>
      </w:pPr>
      <w:r w:rsidRPr="008E21BC">
        <w:rPr>
          <w:rFonts w:ascii="Arial Narrow" w:hAnsi="Arial Narrow"/>
          <w:sz w:val="15"/>
          <w:szCs w:val="15"/>
        </w:rPr>
        <w:t> </w:t>
      </w:r>
    </w:p>
    <w:sectPr w:rsidR="00B74795" w:rsidRPr="008E21BC" w:rsidSect="000C4FD4">
      <w:headerReference w:type="even" r:id="rId7"/>
      <w:headerReference w:type="default" r:id="rId8"/>
      <w:footerReference w:type="even" r:id="rId9"/>
      <w:footerReference w:type="default" r:id="rId10"/>
      <w:headerReference w:type="first" r:id="rId11"/>
      <w:footerReference w:type="first" r:id="rId12"/>
      <w:pgSz w:w="12240" w:h="15840" w:code="1"/>
      <w:pgMar w:top="864" w:right="936" w:bottom="864" w:left="93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9D5" w:rsidRDefault="001339D5">
      <w:r>
        <w:separator/>
      </w:r>
    </w:p>
  </w:endnote>
  <w:endnote w:type="continuationSeparator" w:id="0">
    <w:p w:rsidR="001339D5" w:rsidRDefault="0013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1BC" w:rsidRDefault="008E2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7108"/>
      <w:docPartObj>
        <w:docPartGallery w:val="Page Numbers (Bottom of Page)"/>
        <w:docPartUnique/>
      </w:docPartObj>
    </w:sdtPr>
    <w:sdtEndPr/>
    <w:sdtContent>
      <w:p w:rsidR="008E21BC" w:rsidRDefault="008E21BC">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8E21BC" w:rsidRPr="00AA5C31" w:rsidRDefault="008E21BC">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1BC" w:rsidRDefault="008E2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9D5" w:rsidRDefault="001339D5">
      <w:r>
        <w:separator/>
      </w:r>
    </w:p>
  </w:footnote>
  <w:footnote w:type="continuationSeparator" w:id="0">
    <w:p w:rsidR="001339D5" w:rsidRDefault="00133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1BC" w:rsidRDefault="008E2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1BC" w:rsidRPr="00AA5C31" w:rsidRDefault="008E21BC" w:rsidP="00AA5C31">
    <w:pPr>
      <w:pStyle w:val="Header"/>
      <w:rPr>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1BC" w:rsidRDefault="008E21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2D30"/>
    <w:rsid w:val="00016108"/>
    <w:rsid w:val="00056ECD"/>
    <w:rsid w:val="00064E46"/>
    <w:rsid w:val="00074D4A"/>
    <w:rsid w:val="000C4FD4"/>
    <w:rsid w:val="000D6C95"/>
    <w:rsid w:val="000D77E8"/>
    <w:rsid w:val="001339D5"/>
    <w:rsid w:val="001430D4"/>
    <w:rsid w:val="00174A7F"/>
    <w:rsid w:val="00190417"/>
    <w:rsid w:val="001C112E"/>
    <w:rsid w:val="001F55C4"/>
    <w:rsid w:val="002410EA"/>
    <w:rsid w:val="002563C1"/>
    <w:rsid w:val="002B130B"/>
    <w:rsid w:val="002D7B54"/>
    <w:rsid w:val="002E11B9"/>
    <w:rsid w:val="002E51FA"/>
    <w:rsid w:val="00314E5F"/>
    <w:rsid w:val="00340273"/>
    <w:rsid w:val="0037495E"/>
    <w:rsid w:val="003C367D"/>
    <w:rsid w:val="003F01EE"/>
    <w:rsid w:val="00404DFC"/>
    <w:rsid w:val="00421A8F"/>
    <w:rsid w:val="00434324"/>
    <w:rsid w:val="00440422"/>
    <w:rsid w:val="004C578F"/>
    <w:rsid w:val="004D47E5"/>
    <w:rsid w:val="004E7775"/>
    <w:rsid w:val="004F1CAB"/>
    <w:rsid w:val="00505585"/>
    <w:rsid w:val="00525AA0"/>
    <w:rsid w:val="005902A6"/>
    <w:rsid w:val="005B4F3E"/>
    <w:rsid w:val="005B6D7A"/>
    <w:rsid w:val="00605548"/>
    <w:rsid w:val="0064007A"/>
    <w:rsid w:val="00690FC7"/>
    <w:rsid w:val="006950DD"/>
    <w:rsid w:val="0069762A"/>
    <w:rsid w:val="006E4C6C"/>
    <w:rsid w:val="006F70FE"/>
    <w:rsid w:val="00710E42"/>
    <w:rsid w:val="00762D30"/>
    <w:rsid w:val="007836E3"/>
    <w:rsid w:val="007B14C0"/>
    <w:rsid w:val="00835C38"/>
    <w:rsid w:val="00841455"/>
    <w:rsid w:val="00885992"/>
    <w:rsid w:val="00887DA6"/>
    <w:rsid w:val="008C585B"/>
    <w:rsid w:val="008E21BC"/>
    <w:rsid w:val="008E22D0"/>
    <w:rsid w:val="008F798A"/>
    <w:rsid w:val="00930C5B"/>
    <w:rsid w:val="00941592"/>
    <w:rsid w:val="009905DF"/>
    <w:rsid w:val="009A674D"/>
    <w:rsid w:val="00A30CFF"/>
    <w:rsid w:val="00A34EA9"/>
    <w:rsid w:val="00A35BD2"/>
    <w:rsid w:val="00AA3E4B"/>
    <w:rsid w:val="00AA5C31"/>
    <w:rsid w:val="00AC3991"/>
    <w:rsid w:val="00AD6DDE"/>
    <w:rsid w:val="00AF0281"/>
    <w:rsid w:val="00AF318A"/>
    <w:rsid w:val="00B131AF"/>
    <w:rsid w:val="00B1539F"/>
    <w:rsid w:val="00B5606B"/>
    <w:rsid w:val="00B56985"/>
    <w:rsid w:val="00B74795"/>
    <w:rsid w:val="00B93527"/>
    <w:rsid w:val="00C12BD8"/>
    <w:rsid w:val="00C372EB"/>
    <w:rsid w:val="00CA7E6F"/>
    <w:rsid w:val="00CB2626"/>
    <w:rsid w:val="00CB7E7E"/>
    <w:rsid w:val="00CD04F9"/>
    <w:rsid w:val="00CD551E"/>
    <w:rsid w:val="00CE772B"/>
    <w:rsid w:val="00CF219F"/>
    <w:rsid w:val="00CF26B1"/>
    <w:rsid w:val="00D11256"/>
    <w:rsid w:val="00D50EE9"/>
    <w:rsid w:val="00D644DB"/>
    <w:rsid w:val="00D73B2D"/>
    <w:rsid w:val="00D822C7"/>
    <w:rsid w:val="00D87D94"/>
    <w:rsid w:val="00DA0F9B"/>
    <w:rsid w:val="00DA55BE"/>
    <w:rsid w:val="00DB4064"/>
    <w:rsid w:val="00DC1CCA"/>
    <w:rsid w:val="00DC3EAD"/>
    <w:rsid w:val="00DF454D"/>
    <w:rsid w:val="00E20399"/>
    <w:rsid w:val="00E27B1F"/>
    <w:rsid w:val="00E53AEB"/>
    <w:rsid w:val="00E718AB"/>
    <w:rsid w:val="00EA07C1"/>
    <w:rsid w:val="00EA4455"/>
    <w:rsid w:val="00EB479A"/>
    <w:rsid w:val="00ED3E96"/>
    <w:rsid w:val="00EE0595"/>
    <w:rsid w:val="00F06086"/>
    <w:rsid w:val="00F20E9B"/>
    <w:rsid w:val="00F4253B"/>
    <w:rsid w:val="00F479C8"/>
    <w:rsid w:val="00F55AC1"/>
    <w:rsid w:val="00F94E14"/>
    <w:rsid w:val="00FA6C49"/>
    <w:rsid w:val="00FB693A"/>
    <w:rsid w:val="00FC06CB"/>
    <w:rsid w:val="00FF7BB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023764"/>
  <w15:docId w15:val="{E431DB91-DE23-486E-89DD-C84AC6DA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7775"/>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rsid w:val="00DB4064"/>
    <w:pPr>
      <w:spacing w:line="240" w:lineRule="exact"/>
      <w:jc w:val="center"/>
    </w:pPr>
    <w:rPr>
      <w:b/>
      <w:noProof/>
      <w:sz w:val="20"/>
      <w:szCs w:val="20"/>
    </w:rPr>
  </w:style>
  <w:style w:type="paragraph" w:customStyle="1" w:styleId="H2">
    <w:name w:val="H2"/>
    <w:rsid w:val="00DB4064"/>
    <w:pPr>
      <w:spacing w:line="240" w:lineRule="exact"/>
    </w:pPr>
    <w:rPr>
      <w:b/>
      <w:noProof/>
      <w:sz w:val="20"/>
      <w:szCs w:val="20"/>
    </w:rPr>
  </w:style>
  <w:style w:type="paragraph" w:customStyle="1" w:styleId="H3">
    <w:name w:val="H3"/>
    <w:rsid w:val="00DB4064"/>
    <w:pPr>
      <w:spacing w:line="240" w:lineRule="exact"/>
      <w:jc w:val="right"/>
    </w:pPr>
    <w:rPr>
      <w:b/>
      <w:noProof/>
      <w:sz w:val="20"/>
      <w:szCs w:val="20"/>
    </w:rPr>
  </w:style>
  <w:style w:type="paragraph" w:customStyle="1" w:styleId="H4">
    <w:name w:val="H4"/>
    <w:rsid w:val="00DB4064"/>
    <w:pPr>
      <w:spacing w:line="240" w:lineRule="exact"/>
      <w:jc w:val="center"/>
    </w:pPr>
    <w:rPr>
      <w:i/>
      <w:noProof/>
      <w:sz w:val="20"/>
      <w:szCs w:val="20"/>
    </w:rPr>
  </w:style>
  <w:style w:type="paragraph" w:customStyle="1" w:styleId="H4X">
    <w:name w:val="H4X"/>
    <w:rsid w:val="00DB4064"/>
    <w:pPr>
      <w:spacing w:line="240" w:lineRule="exact"/>
      <w:jc w:val="center"/>
    </w:pPr>
    <w:rPr>
      <w:b/>
      <w:i/>
      <w:noProof/>
      <w:sz w:val="20"/>
      <w:szCs w:val="20"/>
    </w:rPr>
  </w:style>
  <w:style w:type="paragraph" w:customStyle="1" w:styleId="H5">
    <w:name w:val="H5"/>
    <w:rsid w:val="00DB4064"/>
    <w:pPr>
      <w:spacing w:line="240" w:lineRule="exact"/>
    </w:pPr>
    <w:rPr>
      <w:i/>
      <w:noProof/>
      <w:sz w:val="20"/>
      <w:szCs w:val="20"/>
    </w:rPr>
  </w:style>
  <w:style w:type="paragraph" w:customStyle="1" w:styleId="H5X">
    <w:name w:val="H5X"/>
    <w:rsid w:val="00DB4064"/>
    <w:pPr>
      <w:spacing w:line="240" w:lineRule="exact"/>
    </w:pPr>
    <w:rPr>
      <w:b/>
      <w:i/>
      <w:noProof/>
      <w:sz w:val="20"/>
      <w:szCs w:val="20"/>
    </w:rPr>
  </w:style>
  <w:style w:type="paragraph" w:customStyle="1" w:styleId="H6">
    <w:name w:val="H6"/>
    <w:rsid w:val="00DB4064"/>
    <w:pPr>
      <w:spacing w:line="240" w:lineRule="exact"/>
      <w:jc w:val="right"/>
    </w:pPr>
    <w:rPr>
      <w:i/>
      <w:noProof/>
      <w:sz w:val="20"/>
      <w:szCs w:val="20"/>
    </w:rPr>
  </w:style>
  <w:style w:type="paragraph" w:customStyle="1" w:styleId="H6X">
    <w:name w:val="H6X"/>
    <w:rsid w:val="00DB4064"/>
    <w:pPr>
      <w:spacing w:line="240" w:lineRule="exact"/>
      <w:jc w:val="right"/>
    </w:pPr>
    <w:rPr>
      <w:b/>
      <w:i/>
      <w:noProof/>
      <w:sz w:val="20"/>
      <w:szCs w:val="20"/>
    </w:rPr>
  </w:style>
  <w:style w:type="paragraph" w:customStyle="1" w:styleId="H7">
    <w:name w:val="H7"/>
    <w:rsid w:val="00DB4064"/>
    <w:pPr>
      <w:spacing w:line="240" w:lineRule="exact"/>
      <w:jc w:val="center"/>
    </w:pPr>
    <w:rPr>
      <w:noProof/>
      <w:sz w:val="20"/>
      <w:szCs w:val="20"/>
    </w:rPr>
  </w:style>
  <w:style w:type="paragraph" w:customStyle="1" w:styleId="H8">
    <w:name w:val="H8"/>
    <w:rsid w:val="00DB4064"/>
    <w:pPr>
      <w:spacing w:line="240" w:lineRule="exact"/>
    </w:pPr>
    <w:rPr>
      <w:noProof/>
      <w:sz w:val="20"/>
      <w:szCs w:val="20"/>
    </w:rPr>
  </w:style>
  <w:style w:type="paragraph" w:customStyle="1" w:styleId="H9">
    <w:name w:val="H9"/>
    <w:rsid w:val="00DB4064"/>
    <w:pPr>
      <w:spacing w:line="240" w:lineRule="exact"/>
      <w:jc w:val="right"/>
    </w:pPr>
    <w:rPr>
      <w:noProof/>
      <w:sz w:val="20"/>
      <w:szCs w:val="20"/>
    </w:rPr>
  </w:style>
  <w:style w:type="paragraph" w:customStyle="1" w:styleId="I1">
    <w:name w:val="I1"/>
    <w:rsid w:val="00DB4064"/>
    <w:pPr>
      <w:spacing w:line="240" w:lineRule="exact"/>
      <w:ind w:left="240"/>
    </w:pPr>
    <w:rPr>
      <w:noProof/>
      <w:sz w:val="20"/>
      <w:szCs w:val="20"/>
    </w:rPr>
  </w:style>
  <w:style w:type="paragraph" w:customStyle="1" w:styleId="I2">
    <w:name w:val="I2"/>
    <w:rsid w:val="00DB4064"/>
    <w:pPr>
      <w:spacing w:line="240" w:lineRule="exact"/>
      <w:ind w:left="480"/>
    </w:pPr>
    <w:rPr>
      <w:noProof/>
      <w:sz w:val="20"/>
      <w:szCs w:val="20"/>
    </w:rPr>
  </w:style>
  <w:style w:type="paragraph" w:customStyle="1" w:styleId="I3">
    <w:name w:val="I3"/>
    <w:rsid w:val="00DB4064"/>
    <w:pPr>
      <w:spacing w:line="240" w:lineRule="exact"/>
      <w:ind w:left="720"/>
    </w:pPr>
    <w:rPr>
      <w:noProof/>
      <w:sz w:val="20"/>
      <w:szCs w:val="20"/>
    </w:rPr>
  </w:style>
  <w:style w:type="paragraph" w:customStyle="1" w:styleId="I4">
    <w:name w:val="I4"/>
    <w:rsid w:val="00DB4064"/>
    <w:pPr>
      <w:spacing w:line="240" w:lineRule="exact"/>
      <w:ind w:left="960"/>
    </w:pPr>
    <w:rPr>
      <w:noProof/>
      <w:sz w:val="20"/>
      <w:szCs w:val="20"/>
    </w:rPr>
  </w:style>
  <w:style w:type="paragraph" w:customStyle="1" w:styleId="IH1">
    <w:name w:val="IH1"/>
    <w:rsid w:val="00DB4064"/>
    <w:pPr>
      <w:spacing w:line="240" w:lineRule="exact"/>
      <w:ind w:left="200" w:hanging="200"/>
    </w:pPr>
    <w:rPr>
      <w:noProof/>
      <w:sz w:val="20"/>
      <w:szCs w:val="20"/>
    </w:rPr>
  </w:style>
  <w:style w:type="paragraph" w:customStyle="1" w:styleId="IH2">
    <w:name w:val="IH2"/>
    <w:rsid w:val="00DB4064"/>
    <w:pPr>
      <w:ind w:left="400" w:hanging="400"/>
    </w:pPr>
    <w:rPr>
      <w:noProof/>
      <w:sz w:val="20"/>
      <w:szCs w:val="20"/>
    </w:rPr>
  </w:style>
  <w:style w:type="paragraph" w:customStyle="1" w:styleId="IH3">
    <w:name w:val="IH3"/>
    <w:rsid w:val="00DB4064"/>
    <w:pPr>
      <w:tabs>
        <w:tab w:val="left" w:pos="2"/>
      </w:tabs>
      <w:spacing w:line="240" w:lineRule="exact"/>
      <w:ind w:left="500" w:hanging="500"/>
    </w:pPr>
    <w:rPr>
      <w:noProof/>
      <w:sz w:val="20"/>
      <w:szCs w:val="20"/>
    </w:rPr>
  </w:style>
  <w:style w:type="paragraph" w:customStyle="1" w:styleId="P1">
    <w:name w:val="P1"/>
    <w:rsid w:val="00DB4064"/>
    <w:pPr>
      <w:spacing w:line="240" w:lineRule="exact"/>
    </w:pPr>
    <w:rPr>
      <w:noProof/>
      <w:sz w:val="20"/>
      <w:szCs w:val="20"/>
    </w:rPr>
  </w:style>
  <w:style w:type="paragraph" w:customStyle="1" w:styleId="P2">
    <w:name w:val="P2"/>
    <w:rsid w:val="00DB4064"/>
    <w:pPr>
      <w:spacing w:line="240" w:lineRule="exact"/>
    </w:pPr>
    <w:rPr>
      <w:b/>
      <w:noProof/>
      <w:sz w:val="20"/>
      <w:szCs w:val="20"/>
    </w:rPr>
  </w:style>
  <w:style w:type="paragraph" w:customStyle="1" w:styleId="P3">
    <w:name w:val="P3"/>
    <w:rsid w:val="00DB4064"/>
    <w:pPr>
      <w:spacing w:line="240" w:lineRule="exact"/>
    </w:pPr>
    <w:rPr>
      <w:i/>
      <w:noProof/>
      <w:sz w:val="20"/>
      <w:szCs w:val="20"/>
    </w:rPr>
  </w:style>
  <w:style w:type="paragraph" w:customStyle="1" w:styleId="P4">
    <w:name w:val="P4"/>
    <w:rsid w:val="00DB4064"/>
    <w:pPr>
      <w:spacing w:line="240" w:lineRule="exact"/>
    </w:pPr>
    <w:rPr>
      <w:b/>
      <w:i/>
      <w:noProof/>
      <w:sz w:val="20"/>
      <w:szCs w:val="20"/>
    </w:rPr>
  </w:style>
  <w:style w:type="paragraph" w:customStyle="1" w:styleId="LP10">
    <w:name w:val="LP10"/>
    <w:rsid w:val="00DB4064"/>
    <w:rPr>
      <w:noProof/>
      <w:sz w:val="20"/>
      <w:szCs w:val="20"/>
    </w:rPr>
  </w:style>
  <w:style w:type="paragraph" w:customStyle="1" w:styleId="LP4">
    <w:name w:val="LP4"/>
    <w:rsid w:val="00DB4064"/>
    <w:rPr>
      <w:noProof/>
      <w:sz w:val="8"/>
      <w:szCs w:val="20"/>
    </w:rPr>
  </w:style>
  <w:style w:type="paragraph" w:customStyle="1" w:styleId="LP6">
    <w:name w:val="LP6"/>
    <w:rsid w:val="00DB4064"/>
    <w:pPr>
      <w:spacing w:line="120" w:lineRule="exact"/>
      <w:jc w:val="both"/>
    </w:pPr>
    <w:rPr>
      <w:noProof/>
      <w:sz w:val="12"/>
      <w:szCs w:val="20"/>
    </w:rPr>
  </w:style>
  <w:style w:type="paragraph" w:customStyle="1" w:styleId="LP8">
    <w:name w:val="LP8"/>
    <w:rsid w:val="00DB4064"/>
    <w:rPr>
      <w:noProof/>
      <w:sz w:val="16"/>
      <w:szCs w:val="20"/>
    </w:rPr>
  </w:style>
  <w:style w:type="paragraph" w:customStyle="1" w:styleId="LP12">
    <w:name w:val="LP12"/>
    <w:rsid w:val="00DB4064"/>
    <w:pPr>
      <w:spacing w:line="240" w:lineRule="exact"/>
      <w:jc w:val="both"/>
    </w:pPr>
    <w:rPr>
      <w:noProof/>
      <w:sz w:val="24"/>
      <w:szCs w:val="20"/>
    </w:rPr>
  </w:style>
  <w:style w:type="paragraph" w:customStyle="1" w:styleId="LP24">
    <w:name w:val="LP24"/>
    <w:rsid w:val="00DB4064"/>
    <w:pPr>
      <w:spacing w:line="480" w:lineRule="exact"/>
      <w:jc w:val="both"/>
    </w:pPr>
    <w:rPr>
      <w:noProof/>
      <w:sz w:val="48"/>
      <w:szCs w:val="20"/>
    </w:rPr>
  </w:style>
  <w:style w:type="paragraph" w:customStyle="1" w:styleId="LP18">
    <w:name w:val="LP18"/>
    <w:rsid w:val="00DB4064"/>
    <w:pPr>
      <w:spacing w:line="360" w:lineRule="exact"/>
      <w:jc w:val="both"/>
    </w:pPr>
    <w:rPr>
      <w:noProof/>
      <w:sz w:val="36"/>
      <w:szCs w:val="20"/>
    </w:rPr>
  </w:style>
  <w:style w:type="paragraph" w:customStyle="1" w:styleId="C8H">
    <w:name w:val="C8H"/>
    <w:rsid w:val="00DB4064"/>
    <w:pPr>
      <w:spacing w:line="160" w:lineRule="exact"/>
      <w:jc w:val="center"/>
    </w:pPr>
    <w:rPr>
      <w:b/>
      <w:noProof/>
      <w:sz w:val="16"/>
      <w:szCs w:val="20"/>
    </w:rPr>
  </w:style>
  <w:style w:type="paragraph" w:customStyle="1" w:styleId="ST10">
    <w:name w:val="ST10"/>
    <w:rsid w:val="00DB4064"/>
    <w:pPr>
      <w:spacing w:line="240" w:lineRule="exact"/>
    </w:pPr>
    <w:rPr>
      <w:noProof/>
      <w:sz w:val="20"/>
      <w:szCs w:val="20"/>
    </w:rPr>
  </w:style>
  <w:style w:type="paragraph" w:customStyle="1" w:styleId="C10">
    <w:name w:val="C10"/>
    <w:rsid w:val="00DB4064"/>
    <w:pPr>
      <w:spacing w:line="240" w:lineRule="exact"/>
      <w:jc w:val="right"/>
    </w:pPr>
    <w:rPr>
      <w:noProof/>
      <w:sz w:val="20"/>
      <w:szCs w:val="20"/>
    </w:rPr>
  </w:style>
  <w:style w:type="paragraph" w:customStyle="1" w:styleId="TABLE">
    <w:name w:val="TABLE"/>
    <w:basedOn w:val="Normal"/>
    <w:rsid w:val="00DB4064"/>
    <w:pPr>
      <w:spacing w:line="240" w:lineRule="exact"/>
    </w:pPr>
    <w:rPr>
      <w:noProof/>
    </w:rPr>
  </w:style>
  <w:style w:type="paragraph" w:customStyle="1" w:styleId="rrdColumnRuleStyle">
    <w:name w:val="rrdColumnRule_Style"/>
    <w:basedOn w:val="Normal"/>
    <w:rsid w:val="00DB4064"/>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DB4064"/>
    <w:pPr>
      <w:pBdr>
        <w:top w:val="single" w:sz="6" w:space="0" w:color="000000"/>
      </w:pBdr>
      <w:spacing w:before="20" w:line="20" w:lineRule="exact"/>
      <w:jc w:val="right"/>
    </w:pPr>
    <w:rPr>
      <w:sz w:val="8"/>
      <w:szCs w:val="8"/>
    </w:rPr>
  </w:style>
  <w:style w:type="paragraph" w:styleId="Header">
    <w:name w:val="header"/>
    <w:basedOn w:val="Normal"/>
    <w:link w:val="HeaderChar"/>
    <w:uiPriority w:val="99"/>
    <w:rsid w:val="00DB4064"/>
    <w:pPr>
      <w:tabs>
        <w:tab w:val="center" w:pos="4320"/>
        <w:tab w:val="right" w:pos="8640"/>
      </w:tabs>
    </w:pPr>
  </w:style>
  <w:style w:type="character" w:customStyle="1" w:styleId="HeaderChar">
    <w:name w:val="Header Char"/>
    <w:basedOn w:val="DefaultParagraphFont"/>
    <w:link w:val="Header"/>
    <w:uiPriority w:val="99"/>
    <w:locked/>
    <w:rsid w:val="00DB4064"/>
    <w:rPr>
      <w:rFonts w:ascii="Arial" w:hAnsi="Arial" w:cs="Times New Roman"/>
      <w:lang w:val="en-US" w:eastAsia="en-US" w:bidi="ar-SA"/>
    </w:rPr>
  </w:style>
  <w:style w:type="paragraph" w:styleId="Footer">
    <w:name w:val="footer"/>
    <w:basedOn w:val="Normal"/>
    <w:link w:val="FooterChar"/>
    <w:uiPriority w:val="99"/>
    <w:rsid w:val="00DB4064"/>
    <w:pPr>
      <w:tabs>
        <w:tab w:val="center" w:pos="4320"/>
        <w:tab w:val="right" w:pos="8640"/>
      </w:tabs>
    </w:pPr>
  </w:style>
  <w:style w:type="character" w:customStyle="1" w:styleId="FooterChar">
    <w:name w:val="Footer Char"/>
    <w:basedOn w:val="DefaultParagraphFont"/>
    <w:link w:val="Footer"/>
    <w:uiPriority w:val="99"/>
    <w:locked/>
    <w:rsid w:val="00DB4064"/>
    <w:rPr>
      <w:rFonts w:ascii="Arial" w:hAnsi="Arial" w:cs="Times New Roman"/>
      <w:lang w:val="en-US" w:eastAsia="en-US" w:bidi="ar-SA"/>
    </w:rPr>
  </w:style>
  <w:style w:type="character" w:styleId="PageNumber">
    <w:name w:val="page number"/>
    <w:basedOn w:val="DefaultParagraphFont"/>
    <w:rsid w:val="00DB4064"/>
    <w:rPr>
      <w:rFonts w:cs="Times New Roman"/>
    </w:rPr>
  </w:style>
  <w:style w:type="paragraph" w:customStyle="1" w:styleId="rrddoublerule">
    <w:name w:val="rrddoublerule"/>
    <w:basedOn w:val="rrdsinglerule"/>
    <w:rsid w:val="00DB4064"/>
    <w:pPr>
      <w:pBdr>
        <w:top w:val="single" w:sz="12" w:space="1" w:color="auto"/>
      </w:pBdr>
    </w:pPr>
  </w:style>
  <w:style w:type="paragraph" w:customStyle="1" w:styleId="LA4">
    <w:name w:val="LA4"/>
    <w:basedOn w:val="Normal"/>
    <w:rsid w:val="00DB4064"/>
    <w:pPr>
      <w:spacing w:line="80" w:lineRule="exact"/>
    </w:pPr>
    <w:rPr>
      <w:sz w:val="8"/>
      <w:szCs w:val="8"/>
    </w:rPr>
  </w:style>
  <w:style w:type="paragraph" w:customStyle="1" w:styleId="la2">
    <w:name w:val="la2"/>
    <w:basedOn w:val="LP4"/>
    <w:next w:val="P1"/>
    <w:rsid w:val="00DB4064"/>
    <w:pPr>
      <w:spacing w:line="40" w:lineRule="exact"/>
    </w:pPr>
    <w:rPr>
      <w:szCs w:val="8"/>
    </w:rPr>
  </w:style>
  <w:style w:type="paragraph" w:customStyle="1" w:styleId="rco">
    <w:name w:val="rco"/>
    <w:rsid w:val="00710E42"/>
    <w:pPr>
      <w:pBdr>
        <w:bottom w:val="single" w:sz="8" w:space="1" w:color="auto"/>
      </w:pBdr>
      <w:spacing w:line="20" w:lineRule="exact"/>
      <w:ind w:left="3600" w:right="3600"/>
      <w:jc w:val="center"/>
    </w:pPr>
    <w:rPr>
      <w:noProof/>
      <w:sz w:val="12"/>
      <w:szCs w:val="20"/>
    </w:rPr>
  </w:style>
  <w:style w:type="paragraph" w:customStyle="1" w:styleId="rfn">
    <w:name w:val="rfn"/>
    <w:autoRedefine/>
    <w:rsid w:val="00DB4064"/>
    <w:pPr>
      <w:pBdr>
        <w:top w:val="single" w:sz="6" w:space="1" w:color="auto"/>
      </w:pBdr>
      <w:spacing w:before="60" w:line="60" w:lineRule="exact"/>
      <w:ind w:right="120"/>
      <w:jc w:val="right"/>
    </w:pPr>
    <w:rPr>
      <w:rFonts w:ascii="Arial Narrow" w:hAnsi="Arial Narrow"/>
      <w:noProof/>
      <w:sz w:val="6"/>
      <w:szCs w:val="20"/>
    </w:rPr>
  </w:style>
  <w:style w:type="paragraph" w:styleId="FootnoteText">
    <w:name w:val="footnote text"/>
    <w:basedOn w:val="Normal"/>
    <w:link w:val="FootnoteTextChar"/>
    <w:uiPriority w:val="99"/>
    <w:rsid w:val="00DB4064"/>
  </w:style>
  <w:style w:type="character" w:customStyle="1" w:styleId="FootnoteTextChar">
    <w:name w:val="Footnote Text Char"/>
    <w:basedOn w:val="DefaultParagraphFont"/>
    <w:link w:val="FootnoteText"/>
    <w:uiPriority w:val="99"/>
    <w:locked/>
    <w:rsid w:val="00DB4064"/>
    <w:rPr>
      <w:rFonts w:ascii="Arial" w:hAnsi="Arial" w:cs="Times New Roman"/>
      <w:sz w:val="20"/>
      <w:szCs w:val="20"/>
    </w:rPr>
  </w:style>
  <w:style w:type="paragraph" w:customStyle="1" w:styleId="c8">
    <w:name w:val="c8"/>
    <w:basedOn w:val="Normal"/>
    <w:uiPriority w:val="99"/>
    <w:rsid w:val="005B4F3E"/>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DB4064"/>
    <w:pPr>
      <w:spacing w:before="150"/>
    </w:pPr>
    <w:rPr>
      <w:rFonts w:ascii="Arial" w:hAnsi="Arial" w:cs="Arial"/>
      <w:caps/>
      <w:sz w:val="24"/>
    </w:rPr>
  </w:style>
  <w:style w:type="paragraph" w:customStyle="1" w:styleId="StyleNormalWebArial10pt">
    <w:name w:val="Style Normal (Web) + Arial 10 pt"/>
    <w:basedOn w:val="Normal"/>
    <w:uiPriority w:val="99"/>
    <w:semiHidden/>
    <w:rsid w:val="005B4F3E"/>
  </w:style>
  <w:style w:type="table" w:styleId="TableGrid">
    <w:name w:val="Table Grid"/>
    <w:basedOn w:val="TableNormal"/>
    <w:uiPriority w:val="99"/>
    <w:rsid w:val="00DB406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ocked/>
    <w:rsid w:val="00505585"/>
    <w:pPr>
      <w:spacing w:before="100" w:beforeAutospacing="1" w:after="100" w:afterAutospacing="1"/>
      <w:jc w:val="both"/>
    </w:pPr>
    <w:rPr>
      <w:sz w:val="24"/>
      <w:szCs w:val="24"/>
    </w:rPr>
  </w:style>
  <w:style w:type="character" w:customStyle="1" w:styleId="doubleunderlines">
    <w:name w:val="doubleunderlines"/>
    <w:basedOn w:val="DefaultParagraphFont"/>
    <w:qFormat/>
    <w:rsid w:val="00F94E14"/>
    <w:rPr>
      <w:u w:val="double"/>
    </w:rPr>
  </w:style>
  <w:style w:type="paragraph" w:styleId="PlainText">
    <w:name w:val="Plain Text"/>
    <w:basedOn w:val="Normal"/>
    <w:link w:val="PlainTextChar"/>
    <w:uiPriority w:val="99"/>
    <w:unhideWhenUsed/>
    <w:rsid w:val="00AA5C3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A5C31"/>
    <w:rPr>
      <w:rFonts w:ascii="Consolas" w:eastAsiaTheme="minorHAnsi" w:hAnsi="Consolas" w:cstheme="minorBidi"/>
      <w:sz w:val="21"/>
      <w:szCs w:val="21"/>
    </w:rPr>
  </w:style>
  <w:style w:type="paragraph" w:styleId="BalloonText">
    <w:name w:val="Balloon Text"/>
    <w:basedOn w:val="Normal"/>
    <w:link w:val="BalloonTextChar"/>
    <w:uiPriority w:val="99"/>
    <w:semiHidden/>
    <w:unhideWhenUsed/>
    <w:rsid w:val="00AA5C31"/>
    <w:rPr>
      <w:rFonts w:ascii="Tahoma" w:hAnsi="Tahoma" w:cs="Tahoma"/>
      <w:sz w:val="16"/>
      <w:szCs w:val="16"/>
    </w:rPr>
  </w:style>
  <w:style w:type="character" w:customStyle="1" w:styleId="BalloonTextChar">
    <w:name w:val="Balloon Text Char"/>
    <w:basedOn w:val="DefaultParagraphFont"/>
    <w:link w:val="BalloonText"/>
    <w:uiPriority w:val="99"/>
    <w:semiHidden/>
    <w:rsid w:val="00AA5C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2470">
      <w:marLeft w:val="0"/>
      <w:marRight w:val="0"/>
      <w:marTop w:val="0"/>
      <w:marBottom w:val="0"/>
      <w:divBdr>
        <w:top w:val="none" w:sz="0" w:space="0" w:color="auto"/>
        <w:left w:val="none" w:sz="0" w:space="0" w:color="auto"/>
        <w:bottom w:val="none" w:sz="0" w:space="0" w:color="auto"/>
        <w:right w:val="none" w:sz="0" w:space="0" w:color="auto"/>
      </w:divBdr>
    </w:div>
    <w:div w:id="663242471">
      <w:marLeft w:val="0"/>
      <w:marRight w:val="0"/>
      <w:marTop w:val="0"/>
      <w:marBottom w:val="0"/>
      <w:divBdr>
        <w:top w:val="none" w:sz="0" w:space="0" w:color="auto"/>
        <w:left w:val="none" w:sz="0" w:space="0" w:color="auto"/>
        <w:bottom w:val="none" w:sz="0" w:space="0" w:color="auto"/>
        <w:right w:val="none" w:sz="0" w:space="0" w:color="auto"/>
      </w:divBdr>
    </w:div>
    <w:div w:id="663242472">
      <w:marLeft w:val="0"/>
      <w:marRight w:val="0"/>
      <w:marTop w:val="0"/>
      <w:marBottom w:val="0"/>
      <w:divBdr>
        <w:top w:val="none" w:sz="0" w:space="0" w:color="auto"/>
        <w:left w:val="none" w:sz="0" w:space="0" w:color="auto"/>
        <w:bottom w:val="none" w:sz="0" w:space="0" w:color="auto"/>
        <w:right w:val="none" w:sz="0" w:space="0" w:color="auto"/>
      </w:divBdr>
    </w:div>
    <w:div w:id="191759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10931_RRD_Seatle\SEA\94681011\Draft\Production\MS10Q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4F2F8-DA6D-417B-AA01-31AB6D54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MS10Qtemplate</Template>
  <TotalTime>143</TotalTime>
  <Pages>38</Pages>
  <Words>18483</Words>
  <Characters>105356</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PART I</vt:lpstr>
    </vt:vector>
  </TitlesOfParts>
  <Company>Microsoft Corporation</Company>
  <LinksUpToDate>false</LinksUpToDate>
  <CharactersWithSpaces>123592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Corporate Finance Insititute (CFI)</cp:lastModifiedBy>
  <cp:revision>9</cp:revision>
  <cp:lastPrinted>2010-09-03T03:55:00Z</cp:lastPrinted>
  <dcterms:created xsi:type="dcterms:W3CDTF">2011-07-14T05:27:00Z</dcterms:created>
  <dcterms:modified xsi:type="dcterms:W3CDTF">2019-09-11T18:12:00Z</dcterms:modified>
</cp:coreProperties>
</file>