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5F1C5" w14:textId="77777777" w:rsidR="00BF0140" w:rsidRPr="00CC5BEF" w:rsidRDefault="00BF0140" w:rsidP="00CC5BEF">
      <w:pPr>
        <w:widowControl w:val="0"/>
        <w:spacing w:afterLines="50" w:after="120" w:line="240" w:lineRule="atLeast"/>
        <w:ind w:firstLineChars="0" w:firstLine="0"/>
        <w:jc w:val="center"/>
        <w:rPr>
          <w:rFonts w:ascii="方正小标宋简体" w:eastAsia="方正小标宋简体" w:hAnsi="宋体" w:cs="Times New Roman"/>
          <w:bCs/>
          <w:sz w:val="48"/>
          <w:szCs w:val="32"/>
          <w:lang w:eastAsia="zh-CN"/>
        </w:rPr>
      </w:pPr>
    </w:p>
    <w:p w14:paraId="4F290295" w14:textId="77777777" w:rsidR="00BF0140" w:rsidRPr="001E0470" w:rsidRDefault="00BF0140" w:rsidP="00CC5BEF">
      <w:pPr>
        <w:widowControl w:val="0"/>
        <w:spacing w:afterLines="50" w:after="120" w:line="240" w:lineRule="atLeast"/>
        <w:ind w:firstLineChars="0" w:firstLine="0"/>
        <w:jc w:val="center"/>
        <w:rPr>
          <w:rFonts w:cs="Times New Roman"/>
          <w:b/>
          <w:sz w:val="48"/>
          <w:szCs w:val="28"/>
          <w:lang w:eastAsia="zh-CN"/>
        </w:rPr>
      </w:pPr>
    </w:p>
    <w:p w14:paraId="7354FD3F" w14:textId="77777777" w:rsidR="00BF0140" w:rsidRPr="00CC5BEF" w:rsidRDefault="00BF0140" w:rsidP="00CC5BEF">
      <w:pPr>
        <w:widowControl w:val="0"/>
        <w:spacing w:afterLines="50" w:after="120" w:line="240" w:lineRule="atLeast"/>
        <w:ind w:firstLineChars="0" w:firstLine="0"/>
        <w:jc w:val="center"/>
        <w:rPr>
          <w:rFonts w:ascii="方正小标宋简体" w:eastAsia="方正小标宋简体" w:hAnsi="宋体" w:cs="Times New Roman"/>
          <w:bCs/>
          <w:sz w:val="48"/>
          <w:szCs w:val="32"/>
          <w:lang w:eastAsia="zh-CN"/>
        </w:rPr>
      </w:pPr>
    </w:p>
    <w:p w14:paraId="52E63FB1" w14:textId="63CF730D" w:rsidR="00BF0140" w:rsidRPr="00CC5BEF" w:rsidRDefault="00BF0140" w:rsidP="00CC5BEF">
      <w:pPr>
        <w:widowControl w:val="0"/>
        <w:spacing w:afterLines="50" w:after="120" w:line="240" w:lineRule="atLeast"/>
        <w:ind w:firstLineChars="0" w:firstLine="0"/>
        <w:jc w:val="center"/>
        <w:rPr>
          <w:rFonts w:ascii="方正小标宋简体" w:eastAsia="方正小标宋简体" w:hAnsi="宋体" w:cs="Times New Roman"/>
          <w:bCs/>
          <w:sz w:val="48"/>
          <w:szCs w:val="32"/>
          <w:lang w:eastAsia="zh-CN"/>
        </w:rPr>
      </w:pPr>
      <w:r w:rsidRPr="00CC5BEF">
        <w:rPr>
          <w:rFonts w:ascii="方正小标宋简体" w:eastAsia="方正小标宋简体" w:hAnsi="宋体" w:cs="Times New Roman"/>
          <w:bCs/>
          <w:sz w:val="48"/>
          <w:szCs w:val="32"/>
          <w:lang w:eastAsia="zh-CN"/>
        </w:rPr>
        <w:t>药物相互作用研究技术指导原则</w:t>
      </w:r>
    </w:p>
    <w:p w14:paraId="63F638BE" w14:textId="29BFA827" w:rsidR="002C6AB2" w:rsidRPr="00CC5BEF" w:rsidRDefault="00CC5BEF" w:rsidP="00CC5BEF">
      <w:pPr>
        <w:widowControl w:val="0"/>
        <w:spacing w:afterLines="50" w:after="120" w:line="240" w:lineRule="atLeast"/>
        <w:ind w:firstLineChars="0" w:firstLine="0"/>
        <w:jc w:val="center"/>
        <w:rPr>
          <w:rFonts w:ascii="方正小标宋简体" w:eastAsia="方正小标宋简体" w:hAnsi="宋体" w:cs="Times New Roman"/>
          <w:bCs/>
          <w:sz w:val="48"/>
          <w:szCs w:val="32"/>
          <w:lang w:eastAsia="zh-CN"/>
        </w:rPr>
      </w:pPr>
      <w:r>
        <w:rPr>
          <w:rFonts w:ascii="方正小标宋简体" w:eastAsia="方正小标宋简体" w:hAnsi="宋体" w:cs="Times New Roman" w:hint="eastAsia"/>
          <w:bCs/>
          <w:sz w:val="48"/>
          <w:szCs w:val="32"/>
          <w:lang w:eastAsia="zh-CN"/>
        </w:rPr>
        <w:t>（</w:t>
      </w:r>
      <w:r w:rsidR="00A462BE" w:rsidRPr="00CC5BEF">
        <w:rPr>
          <w:rFonts w:ascii="方正小标宋简体" w:eastAsia="方正小标宋简体" w:hAnsi="宋体" w:cs="Times New Roman"/>
          <w:bCs/>
          <w:sz w:val="48"/>
          <w:szCs w:val="32"/>
          <w:lang w:eastAsia="zh-CN"/>
        </w:rPr>
        <w:t>征求意见稿</w:t>
      </w:r>
      <w:r>
        <w:rPr>
          <w:rFonts w:ascii="方正小标宋简体" w:eastAsia="方正小标宋简体" w:hAnsi="宋体" w:cs="Times New Roman" w:hint="eastAsia"/>
          <w:bCs/>
          <w:sz w:val="48"/>
          <w:szCs w:val="32"/>
          <w:lang w:eastAsia="zh-CN"/>
        </w:rPr>
        <w:t>）</w:t>
      </w:r>
    </w:p>
    <w:p w14:paraId="77EBAF6E" w14:textId="77777777" w:rsidR="00A462BE" w:rsidRPr="00CC5BEF" w:rsidRDefault="00A462BE" w:rsidP="00CC5BEF">
      <w:pPr>
        <w:widowControl w:val="0"/>
        <w:spacing w:afterLines="50" w:after="120" w:line="240" w:lineRule="atLeast"/>
        <w:ind w:firstLineChars="0" w:firstLine="0"/>
        <w:jc w:val="center"/>
        <w:rPr>
          <w:rFonts w:cs="Times New Roman"/>
          <w:b/>
          <w:sz w:val="48"/>
          <w:szCs w:val="28"/>
          <w:lang w:eastAsia="zh-CN"/>
        </w:rPr>
      </w:pPr>
    </w:p>
    <w:p w14:paraId="27B60A12" w14:textId="77777777" w:rsidR="00A462BE" w:rsidRPr="00CC5BEF" w:rsidRDefault="00A462BE" w:rsidP="00CC5BEF">
      <w:pPr>
        <w:widowControl w:val="0"/>
        <w:spacing w:afterLines="50" w:after="120" w:line="240" w:lineRule="atLeast"/>
        <w:ind w:firstLineChars="0" w:firstLine="0"/>
        <w:jc w:val="center"/>
        <w:rPr>
          <w:rFonts w:cs="Times New Roman"/>
          <w:b/>
          <w:sz w:val="48"/>
          <w:szCs w:val="28"/>
          <w:lang w:eastAsia="zh-CN"/>
        </w:rPr>
      </w:pPr>
    </w:p>
    <w:p w14:paraId="0DAD18CD" w14:textId="77777777" w:rsidR="00A462BE" w:rsidRPr="00CC5BEF" w:rsidRDefault="00A462BE" w:rsidP="00CC5BEF">
      <w:pPr>
        <w:widowControl w:val="0"/>
        <w:spacing w:afterLines="50" w:after="120" w:line="240" w:lineRule="atLeast"/>
        <w:ind w:firstLineChars="0" w:firstLine="0"/>
        <w:jc w:val="center"/>
        <w:rPr>
          <w:rFonts w:cs="Times New Roman"/>
          <w:b/>
          <w:sz w:val="48"/>
          <w:szCs w:val="28"/>
          <w:lang w:eastAsia="zh-CN"/>
        </w:rPr>
      </w:pPr>
    </w:p>
    <w:p w14:paraId="449D3628" w14:textId="77777777" w:rsidR="00DE65F1" w:rsidRPr="00CC5BEF" w:rsidRDefault="00DE65F1" w:rsidP="00CC5BEF">
      <w:pPr>
        <w:widowControl w:val="0"/>
        <w:spacing w:afterLines="50" w:after="120" w:line="240" w:lineRule="atLeast"/>
        <w:ind w:firstLineChars="0" w:firstLine="0"/>
        <w:jc w:val="center"/>
        <w:rPr>
          <w:rFonts w:cs="Times New Roman"/>
          <w:b/>
          <w:sz w:val="48"/>
          <w:szCs w:val="28"/>
          <w:lang w:eastAsia="zh-CN"/>
        </w:rPr>
      </w:pPr>
    </w:p>
    <w:p w14:paraId="5E337385" w14:textId="77777777" w:rsidR="00DE65F1" w:rsidRPr="00CC5BEF" w:rsidRDefault="00DE65F1" w:rsidP="00CC5BEF">
      <w:pPr>
        <w:widowControl w:val="0"/>
        <w:spacing w:afterLines="50" w:after="120" w:line="240" w:lineRule="atLeast"/>
        <w:ind w:firstLineChars="0" w:firstLine="0"/>
        <w:jc w:val="center"/>
        <w:rPr>
          <w:rFonts w:cs="Times New Roman"/>
          <w:b/>
          <w:sz w:val="48"/>
          <w:szCs w:val="28"/>
          <w:lang w:eastAsia="zh-CN"/>
        </w:rPr>
      </w:pPr>
    </w:p>
    <w:p w14:paraId="180DE89F" w14:textId="77777777" w:rsidR="00DE65F1" w:rsidRPr="00CC5BEF" w:rsidRDefault="00DE65F1" w:rsidP="00CC5BEF">
      <w:pPr>
        <w:widowControl w:val="0"/>
        <w:spacing w:afterLines="50" w:after="120" w:line="240" w:lineRule="atLeast"/>
        <w:ind w:firstLineChars="0" w:firstLine="0"/>
        <w:jc w:val="center"/>
        <w:rPr>
          <w:rFonts w:cs="Times New Roman"/>
          <w:b/>
          <w:sz w:val="48"/>
          <w:szCs w:val="28"/>
          <w:lang w:eastAsia="zh-CN"/>
        </w:rPr>
      </w:pPr>
    </w:p>
    <w:p w14:paraId="68A1DBD3" w14:textId="77777777" w:rsidR="00A462BE" w:rsidRPr="00CC5BEF" w:rsidRDefault="00A462BE" w:rsidP="00CC5BEF">
      <w:pPr>
        <w:widowControl w:val="0"/>
        <w:spacing w:afterLines="50" w:after="120" w:line="240" w:lineRule="atLeast"/>
        <w:ind w:firstLineChars="0" w:firstLine="0"/>
        <w:jc w:val="center"/>
        <w:rPr>
          <w:rFonts w:cs="Times New Roman"/>
          <w:b/>
          <w:sz w:val="48"/>
          <w:szCs w:val="28"/>
          <w:lang w:eastAsia="zh-CN"/>
        </w:rPr>
      </w:pPr>
    </w:p>
    <w:p w14:paraId="247B131B" w14:textId="2A520EA6" w:rsidR="00A462BE" w:rsidRDefault="00A462BE" w:rsidP="00CC5BEF">
      <w:pPr>
        <w:widowControl w:val="0"/>
        <w:spacing w:afterLines="50" w:after="120" w:line="240" w:lineRule="atLeast"/>
        <w:ind w:firstLineChars="0" w:firstLine="0"/>
        <w:jc w:val="center"/>
        <w:rPr>
          <w:rFonts w:cs="Times New Roman"/>
          <w:b/>
          <w:sz w:val="48"/>
          <w:szCs w:val="28"/>
          <w:lang w:eastAsia="zh-CN"/>
        </w:rPr>
      </w:pPr>
    </w:p>
    <w:p w14:paraId="2908BD57" w14:textId="77777777" w:rsidR="00CC5BEF" w:rsidRPr="00CC5BEF" w:rsidRDefault="00CC5BEF" w:rsidP="00CC5BEF">
      <w:pPr>
        <w:widowControl w:val="0"/>
        <w:spacing w:afterLines="50" w:after="120" w:line="240" w:lineRule="atLeast"/>
        <w:ind w:firstLineChars="0" w:firstLine="0"/>
        <w:jc w:val="center"/>
        <w:rPr>
          <w:rFonts w:cs="Times New Roman"/>
          <w:b/>
          <w:sz w:val="48"/>
          <w:szCs w:val="28"/>
          <w:lang w:eastAsia="zh-CN"/>
        </w:rPr>
      </w:pPr>
    </w:p>
    <w:p w14:paraId="209991DC" w14:textId="40414FD1" w:rsidR="00A462BE" w:rsidRPr="00CC5BEF" w:rsidRDefault="00CC5BEF" w:rsidP="0083505F">
      <w:pPr>
        <w:widowControl w:val="0"/>
        <w:autoSpaceDE w:val="0"/>
        <w:autoSpaceDN w:val="0"/>
        <w:adjustRightInd w:val="0"/>
        <w:spacing w:after="0" w:line="500" w:lineRule="exact"/>
        <w:ind w:firstLineChars="0" w:firstLine="0"/>
        <w:jc w:val="center"/>
        <w:rPr>
          <w:rFonts w:ascii="黑体" w:eastAsia="黑体" w:hAnsi="黑体" w:cs="Times New Roman"/>
          <w:bCs/>
          <w:sz w:val="36"/>
          <w:szCs w:val="36"/>
          <w:lang w:eastAsia="zh-CN"/>
        </w:rPr>
      </w:pPr>
      <w:r w:rsidRPr="00CC5BEF">
        <w:rPr>
          <w:rFonts w:ascii="黑体" w:eastAsia="黑体" w:hAnsi="黑体" w:cs="Times New Roman"/>
          <w:bCs/>
          <w:szCs w:val="32"/>
          <w:lang w:eastAsia="zh-CN"/>
        </w:rPr>
        <w:t>2020</w:t>
      </w:r>
      <w:r w:rsidRPr="00CC5BEF">
        <w:rPr>
          <w:rFonts w:ascii="黑体" w:eastAsia="黑体" w:hAnsi="黑体" w:cs="Times New Roman" w:hint="eastAsia"/>
          <w:bCs/>
          <w:szCs w:val="32"/>
          <w:lang w:eastAsia="zh-CN"/>
        </w:rPr>
        <w:t>年</w:t>
      </w:r>
      <w:r w:rsidR="003A0FB4">
        <w:rPr>
          <w:rFonts w:ascii="黑体" w:eastAsia="黑体" w:hAnsi="黑体" w:cs="Times New Roman"/>
          <w:bCs/>
          <w:szCs w:val="32"/>
          <w:lang w:eastAsia="zh-CN"/>
        </w:rPr>
        <w:t>9</w:t>
      </w:r>
      <w:r w:rsidRPr="00CC5BEF">
        <w:rPr>
          <w:rFonts w:ascii="黑体" w:eastAsia="黑体" w:hAnsi="黑体" w:cs="Times New Roman" w:hint="eastAsia"/>
          <w:bCs/>
          <w:szCs w:val="32"/>
          <w:lang w:eastAsia="zh-CN"/>
        </w:rPr>
        <w:t>月</w:t>
      </w:r>
    </w:p>
    <w:p w14:paraId="3E7D607E" w14:textId="77777777" w:rsidR="00BF0140" w:rsidRPr="009E464F" w:rsidRDefault="00BF0140" w:rsidP="0083505F">
      <w:pPr>
        <w:spacing w:line="500" w:lineRule="exact"/>
        <w:ind w:firstLineChars="0" w:firstLine="0"/>
        <w:jc w:val="left"/>
        <w:rPr>
          <w:rFonts w:cs="Times New Roman"/>
          <w:sz w:val="24"/>
          <w:szCs w:val="24"/>
          <w:lang w:eastAsia="zh-CN"/>
        </w:rPr>
      </w:pPr>
      <w:r w:rsidRPr="009E464F">
        <w:rPr>
          <w:rFonts w:cs="Times New Roman"/>
          <w:sz w:val="24"/>
          <w:szCs w:val="24"/>
          <w:lang w:eastAsia="zh-CN"/>
        </w:rPr>
        <w:br w:type="page"/>
      </w:r>
    </w:p>
    <w:p w14:paraId="6AEB84C2" w14:textId="6989755D" w:rsidR="00D7392F" w:rsidRPr="00CC5BEF" w:rsidRDefault="00D7392F" w:rsidP="0083505F">
      <w:pPr>
        <w:spacing w:line="500" w:lineRule="exact"/>
        <w:ind w:firstLineChars="0" w:firstLine="0"/>
        <w:jc w:val="center"/>
        <w:rPr>
          <w:rFonts w:ascii="方正小标宋简体" w:eastAsia="方正小标宋简体" w:hAnsi="等线 Light" w:cs="Times New Roman"/>
          <w:sz w:val="36"/>
          <w:szCs w:val="32"/>
          <w:lang w:val="zh-CN" w:eastAsia="zh-CN"/>
        </w:rPr>
      </w:pPr>
      <w:bookmarkStart w:id="0" w:name="_Toc49273307"/>
      <w:r w:rsidRPr="00CC5BEF">
        <w:rPr>
          <w:rFonts w:ascii="方正小标宋简体" w:eastAsia="方正小标宋简体" w:hAnsi="等线 Light" w:cs="Times New Roman"/>
          <w:sz w:val="36"/>
          <w:szCs w:val="32"/>
          <w:lang w:val="zh-CN" w:eastAsia="zh-CN"/>
        </w:rPr>
        <w:lastRenderedPageBreak/>
        <w:t>目</w:t>
      </w:r>
      <w:r w:rsidR="00CC5BEF">
        <w:rPr>
          <w:rFonts w:ascii="方正小标宋简体" w:eastAsia="方正小标宋简体" w:hAnsi="等线 Light" w:cs="Times New Roman" w:hint="eastAsia"/>
          <w:sz w:val="36"/>
          <w:szCs w:val="32"/>
          <w:lang w:val="zh-CN" w:eastAsia="zh-CN"/>
        </w:rPr>
        <w:t xml:space="preserve">  </w:t>
      </w:r>
      <w:r w:rsidRPr="00CC5BEF">
        <w:rPr>
          <w:rFonts w:ascii="方正小标宋简体" w:eastAsia="方正小标宋简体" w:hAnsi="等线 Light" w:cs="Times New Roman"/>
          <w:sz w:val="36"/>
          <w:szCs w:val="32"/>
          <w:lang w:val="zh-CN" w:eastAsia="zh-CN"/>
        </w:rPr>
        <w:t>录</w:t>
      </w:r>
      <w:bookmarkEnd w:id="0"/>
    </w:p>
    <w:sdt>
      <w:sdtPr>
        <w:rPr>
          <w:rFonts w:ascii="Times New Roman" w:eastAsia="仿宋_GB2312" w:hAnsi="Times New Roman" w:cstheme="minorBidi"/>
          <w:b/>
          <w:lang w:val="zh-CN" w:eastAsia="en-US"/>
        </w:rPr>
        <w:id w:val="605316337"/>
        <w:docPartObj>
          <w:docPartGallery w:val="Table of Contents"/>
          <w:docPartUnique/>
        </w:docPartObj>
      </w:sdtPr>
      <w:sdtEndPr>
        <w:rPr>
          <w:rFonts w:ascii="仿宋_GB2312" w:hint="eastAsia"/>
          <w:b w:val="0"/>
          <w:bCs/>
          <w:szCs w:val="32"/>
        </w:rPr>
      </w:sdtEndPr>
      <w:sdtContent>
        <w:p w14:paraId="5DE339EF" w14:textId="650D2A9F" w:rsidR="00B02C22" w:rsidRPr="00CC5BEF" w:rsidRDefault="002D4D37" w:rsidP="00CC5BEF">
          <w:pPr>
            <w:pStyle w:val="11"/>
            <w:spacing w:after="0" w:line="580" w:lineRule="exact"/>
            <w:rPr>
              <w:rFonts w:ascii="仿宋_GB2312" w:eastAsia="仿宋_GB2312" w:cstheme="minorBidi"/>
              <w:noProof/>
              <w:kern w:val="2"/>
              <w:szCs w:val="32"/>
            </w:rPr>
          </w:pPr>
          <w:r w:rsidRPr="00CC5BEF">
            <w:rPr>
              <w:rFonts w:ascii="仿宋_GB2312" w:eastAsia="仿宋_GB2312" w:hAnsi="Times New Roman" w:hint="eastAsia"/>
              <w:color w:val="2F5496" w:themeColor="accent1" w:themeShade="BF"/>
              <w:szCs w:val="32"/>
            </w:rPr>
            <w:fldChar w:fldCharType="begin"/>
          </w:r>
          <w:r w:rsidR="00D7392F" w:rsidRPr="00CC5BEF">
            <w:rPr>
              <w:rFonts w:ascii="仿宋_GB2312" w:eastAsia="仿宋_GB2312" w:hAnsi="Times New Roman" w:hint="eastAsia"/>
              <w:szCs w:val="32"/>
            </w:rPr>
            <w:instrText xml:space="preserve"> TOC \o "1-3" \h \z \u </w:instrText>
          </w:r>
          <w:r w:rsidRPr="00CC5BEF">
            <w:rPr>
              <w:rFonts w:ascii="仿宋_GB2312" w:eastAsia="仿宋_GB2312" w:hAnsi="Times New Roman" w:hint="eastAsia"/>
              <w:color w:val="2F5496" w:themeColor="accent1" w:themeShade="BF"/>
              <w:szCs w:val="32"/>
            </w:rPr>
            <w:fldChar w:fldCharType="separate"/>
          </w:r>
          <w:hyperlink w:anchor="_Toc50395964" w:history="1">
            <w:r w:rsidR="00B02C22" w:rsidRPr="00CC5BEF">
              <w:rPr>
                <w:rStyle w:val="af4"/>
                <w:rFonts w:ascii="仿宋_GB2312" w:eastAsia="仿宋_GB2312" w:hAnsi="Times New Roman" w:hint="eastAsia"/>
                <w:noProof/>
                <w:szCs w:val="32"/>
              </w:rPr>
              <w:t>一、概述</w:t>
            </w:r>
            <w:r w:rsidR="00B02C22" w:rsidRPr="00CC5BEF">
              <w:rPr>
                <w:rFonts w:ascii="仿宋_GB2312" w:eastAsia="仿宋_GB2312" w:hint="eastAsia"/>
                <w:noProof/>
                <w:webHidden/>
                <w:szCs w:val="32"/>
              </w:rPr>
              <w:tab/>
            </w:r>
            <w:r w:rsidR="00B02C22" w:rsidRPr="00CC5BEF">
              <w:rPr>
                <w:rFonts w:ascii="仿宋_GB2312" w:eastAsia="仿宋_GB2312" w:hint="eastAsia"/>
                <w:noProof/>
                <w:webHidden/>
                <w:szCs w:val="32"/>
              </w:rPr>
              <w:fldChar w:fldCharType="begin"/>
            </w:r>
            <w:r w:rsidR="00B02C22" w:rsidRPr="00CC5BEF">
              <w:rPr>
                <w:rFonts w:ascii="仿宋_GB2312" w:eastAsia="仿宋_GB2312" w:hint="eastAsia"/>
                <w:noProof/>
                <w:webHidden/>
                <w:szCs w:val="32"/>
              </w:rPr>
              <w:instrText xml:space="preserve"> PAGEREF _Toc50395964 \h </w:instrText>
            </w:r>
            <w:r w:rsidR="00B02C22" w:rsidRPr="00CC5BEF">
              <w:rPr>
                <w:rFonts w:ascii="仿宋_GB2312" w:eastAsia="仿宋_GB2312" w:hint="eastAsia"/>
                <w:noProof/>
                <w:webHidden/>
                <w:szCs w:val="32"/>
              </w:rPr>
            </w:r>
            <w:r w:rsidR="00B02C22" w:rsidRPr="00CC5BEF">
              <w:rPr>
                <w:rFonts w:ascii="仿宋_GB2312" w:eastAsia="仿宋_GB2312" w:hint="eastAsia"/>
                <w:noProof/>
                <w:webHidden/>
                <w:szCs w:val="32"/>
              </w:rPr>
              <w:fldChar w:fldCharType="separate"/>
            </w:r>
            <w:r w:rsidR="00C5183C">
              <w:rPr>
                <w:rFonts w:ascii="仿宋_GB2312" w:eastAsia="仿宋_GB2312"/>
                <w:noProof/>
                <w:webHidden/>
                <w:szCs w:val="32"/>
              </w:rPr>
              <w:t>1</w:t>
            </w:r>
            <w:r w:rsidR="00B02C22" w:rsidRPr="00CC5BEF">
              <w:rPr>
                <w:rFonts w:ascii="仿宋_GB2312" w:eastAsia="仿宋_GB2312" w:hint="eastAsia"/>
                <w:noProof/>
                <w:webHidden/>
                <w:szCs w:val="32"/>
              </w:rPr>
              <w:fldChar w:fldCharType="end"/>
            </w:r>
          </w:hyperlink>
        </w:p>
        <w:p w14:paraId="71328054" w14:textId="67CFEB7A" w:rsidR="00B02C22" w:rsidRPr="00CC5BEF" w:rsidRDefault="003275AF" w:rsidP="00CC5BEF">
          <w:pPr>
            <w:pStyle w:val="11"/>
            <w:spacing w:after="0" w:line="580" w:lineRule="exact"/>
            <w:rPr>
              <w:rFonts w:ascii="仿宋_GB2312" w:eastAsia="仿宋_GB2312" w:cstheme="minorBidi"/>
              <w:noProof/>
              <w:kern w:val="2"/>
              <w:szCs w:val="32"/>
            </w:rPr>
          </w:pPr>
          <w:hyperlink w:anchor="_Toc50395965" w:history="1">
            <w:r w:rsidR="00B02C22" w:rsidRPr="00CC5BEF">
              <w:rPr>
                <w:rStyle w:val="af4"/>
                <w:rFonts w:ascii="仿宋_GB2312" w:eastAsia="仿宋_GB2312" w:hAnsi="Times New Roman" w:hint="eastAsia"/>
                <w:noProof/>
                <w:szCs w:val="32"/>
              </w:rPr>
              <w:t>二、药物相互作用</w:t>
            </w:r>
            <w:r w:rsidR="0011218F" w:rsidRPr="00CC5BEF">
              <w:rPr>
                <w:rStyle w:val="af4"/>
                <w:rFonts w:ascii="仿宋_GB2312" w:eastAsia="仿宋_GB2312" w:hAnsi="Times New Roman" w:hint="eastAsia"/>
                <w:noProof/>
                <w:szCs w:val="32"/>
              </w:rPr>
              <w:t>体外</w:t>
            </w:r>
            <w:r w:rsidR="00B02C22" w:rsidRPr="00CC5BEF">
              <w:rPr>
                <w:rStyle w:val="af4"/>
                <w:rFonts w:ascii="仿宋_GB2312" w:eastAsia="仿宋_GB2312" w:hAnsi="Times New Roman" w:hint="eastAsia"/>
                <w:noProof/>
                <w:szCs w:val="32"/>
              </w:rPr>
              <w:t>评估</w:t>
            </w:r>
            <w:r w:rsidR="00B02C22" w:rsidRPr="00CC5BEF">
              <w:rPr>
                <w:rFonts w:ascii="仿宋_GB2312" w:eastAsia="仿宋_GB2312" w:hint="eastAsia"/>
                <w:noProof/>
                <w:webHidden/>
                <w:szCs w:val="32"/>
              </w:rPr>
              <w:tab/>
            </w:r>
            <w:r w:rsidR="00B02C22" w:rsidRPr="00CC5BEF">
              <w:rPr>
                <w:rFonts w:ascii="仿宋_GB2312" w:eastAsia="仿宋_GB2312" w:hint="eastAsia"/>
                <w:noProof/>
                <w:webHidden/>
                <w:szCs w:val="32"/>
              </w:rPr>
              <w:fldChar w:fldCharType="begin"/>
            </w:r>
            <w:r w:rsidR="00B02C22" w:rsidRPr="00CC5BEF">
              <w:rPr>
                <w:rFonts w:ascii="仿宋_GB2312" w:eastAsia="仿宋_GB2312" w:hint="eastAsia"/>
                <w:noProof/>
                <w:webHidden/>
                <w:szCs w:val="32"/>
              </w:rPr>
              <w:instrText xml:space="preserve"> PAGEREF _Toc50395965 \h </w:instrText>
            </w:r>
            <w:r w:rsidR="00B02C22" w:rsidRPr="00CC5BEF">
              <w:rPr>
                <w:rFonts w:ascii="仿宋_GB2312" w:eastAsia="仿宋_GB2312" w:hint="eastAsia"/>
                <w:noProof/>
                <w:webHidden/>
                <w:szCs w:val="32"/>
              </w:rPr>
            </w:r>
            <w:r w:rsidR="00B02C22" w:rsidRPr="00CC5BEF">
              <w:rPr>
                <w:rFonts w:ascii="仿宋_GB2312" w:eastAsia="仿宋_GB2312" w:hint="eastAsia"/>
                <w:noProof/>
                <w:webHidden/>
                <w:szCs w:val="32"/>
              </w:rPr>
              <w:fldChar w:fldCharType="separate"/>
            </w:r>
            <w:r w:rsidR="00C5183C">
              <w:rPr>
                <w:rFonts w:ascii="仿宋_GB2312" w:eastAsia="仿宋_GB2312"/>
                <w:noProof/>
                <w:webHidden/>
                <w:szCs w:val="32"/>
              </w:rPr>
              <w:t>3</w:t>
            </w:r>
            <w:r w:rsidR="00B02C22" w:rsidRPr="00CC5BEF">
              <w:rPr>
                <w:rFonts w:ascii="仿宋_GB2312" w:eastAsia="仿宋_GB2312" w:hint="eastAsia"/>
                <w:noProof/>
                <w:webHidden/>
                <w:szCs w:val="32"/>
              </w:rPr>
              <w:fldChar w:fldCharType="end"/>
            </w:r>
          </w:hyperlink>
        </w:p>
        <w:p w14:paraId="3972160B" w14:textId="750ABD60"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66" w:history="1">
            <w:r w:rsidR="00B02C22" w:rsidRPr="00CC5BEF">
              <w:rPr>
                <w:rStyle w:val="af4"/>
                <w:rFonts w:ascii="仿宋_GB2312" w:eastAsia="仿宋_GB2312" w:hAnsi="Times New Roman" w:hint="eastAsia"/>
                <w:noProof/>
                <w:szCs w:val="32"/>
              </w:rPr>
              <w:t>（一）研究的主要内容</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_Toc50395966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3</w:t>
            </w:r>
            <w:r w:rsidR="00B02C22" w:rsidRPr="00CC5BEF">
              <w:rPr>
                <w:rStyle w:val="af4"/>
                <w:rFonts w:ascii="仿宋_GB2312" w:eastAsia="仿宋_GB2312" w:hAnsi="Times New Roman" w:hint="eastAsia"/>
                <w:noProof/>
                <w:webHidden/>
                <w:szCs w:val="32"/>
              </w:rPr>
              <w:fldChar w:fldCharType="end"/>
            </w:r>
          </w:hyperlink>
        </w:p>
        <w:p w14:paraId="68C483D4" w14:textId="436F84DC"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67" w:history="1">
            <w:r w:rsidR="00B02C22" w:rsidRPr="00CC5BEF">
              <w:rPr>
                <w:rStyle w:val="af4"/>
                <w:rFonts w:ascii="仿宋_GB2312" w:eastAsia="仿宋_GB2312" w:hAnsi="Times New Roman" w:hint="eastAsia"/>
                <w:noProof/>
                <w:szCs w:val="32"/>
              </w:rPr>
              <w:t>（二）代谢酶介导的药物相互作用</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_Toc50395967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4</w:t>
            </w:r>
            <w:r w:rsidR="00B02C22" w:rsidRPr="00CC5BEF">
              <w:rPr>
                <w:rStyle w:val="af4"/>
                <w:rFonts w:ascii="仿宋_GB2312" w:eastAsia="仿宋_GB2312" w:hAnsi="Times New Roman" w:hint="eastAsia"/>
                <w:noProof/>
                <w:webHidden/>
                <w:szCs w:val="32"/>
              </w:rPr>
              <w:fldChar w:fldCharType="end"/>
            </w:r>
          </w:hyperlink>
        </w:p>
        <w:p w14:paraId="56024211" w14:textId="57A65EF9"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68" w:history="1">
            <w:r w:rsidR="00B02C22" w:rsidRPr="00CC5BEF">
              <w:rPr>
                <w:rStyle w:val="af4"/>
                <w:rFonts w:ascii="仿宋_GB2312" w:eastAsia="仿宋_GB2312" w:hAnsi="Times New Roman" w:hint="eastAsia"/>
                <w:noProof/>
                <w:szCs w:val="32"/>
              </w:rPr>
              <w:t>（三）转运体介导的药物相互作用</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_Toc50395968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10</w:t>
            </w:r>
            <w:r w:rsidR="00B02C22" w:rsidRPr="00CC5BEF">
              <w:rPr>
                <w:rStyle w:val="af4"/>
                <w:rFonts w:ascii="仿宋_GB2312" w:eastAsia="仿宋_GB2312" w:hAnsi="Times New Roman" w:hint="eastAsia"/>
                <w:noProof/>
                <w:webHidden/>
                <w:szCs w:val="32"/>
              </w:rPr>
              <w:fldChar w:fldCharType="end"/>
            </w:r>
          </w:hyperlink>
        </w:p>
        <w:p w14:paraId="2FAD6F27" w14:textId="3ACE107F"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69" w:history="1">
            <w:r w:rsidR="00B02C22" w:rsidRPr="00CC5BEF">
              <w:rPr>
                <w:rStyle w:val="af4"/>
                <w:rFonts w:ascii="仿宋_GB2312" w:eastAsia="仿宋_GB2312" w:hAnsi="Times New Roman" w:hint="eastAsia"/>
                <w:noProof/>
                <w:szCs w:val="32"/>
              </w:rPr>
              <w:t>（四）代谢产物相互作用的评估</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_Toc50395969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18</w:t>
            </w:r>
            <w:r w:rsidR="00B02C22" w:rsidRPr="00CC5BEF">
              <w:rPr>
                <w:rStyle w:val="af4"/>
                <w:rFonts w:ascii="仿宋_GB2312" w:eastAsia="仿宋_GB2312" w:hAnsi="Times New Roman" w:hint="eastAsia"/>
                <w:noProof/>
                <w:webHidden/>
                <w:szCs w:val="32"/>
              </w:rPr>
              <w:fldChar w:fldCharType="end"/>
            </w:r>
          </w:hyperlink>
        </w:p>
        <w:p w14:paraId="2B8DF101" w14:textId="42CA52E1" w:rsidR="00B02C22" w:rsidRPr="00CC5BEF" w:rsidRDefault="003275AF" w:rsidP="00CC5BEF">
          <w:pPr>
            <w:pStyle w:val="11"/>
            <w:spacing w:after="0" w:line="580" w:lineRule="exact"/>
            <w:rPr>
              <w:rStyle w:val="af4"/>
              <w:rFonts w:ascii="仿宋_GB2312" w:eastAsia="仿宋_GB2312" w:hAnsi="Times New Roman"/>
              <w:noProof/>
              <w:szCs w:val="32"/>
            </w:rPr>
          </w:pPr>
          <w:hyperlink w:anchor="_Toc50395970" w:history="1">
            <w:r w:rsidR="00B02C22" w:rsidRPr="00CC5BEF">
              <w:rPr>
                <w:rStyle w:val="af4"/>
                <w:rFonts w:ascii="仿宋_GB2312" w:eastAsia="仿宋_GB2312" w:hAnsi="Times New Roman" w:hint="eastAsia"/>
                <w:noProof/>
                <w:szCs w:val="32"/>
              </w:rPr>
              <w:t>三、药物相互作用临床研究</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_Toc50395970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20</w:t>
            </w:r>
            <w:r w:rsidR="00B02C22" w:rsidRPr="00CC5BEF">
              <w:rPr>
                <w:rStyle w:val="af4"/>
                <w:rFonts w:ascii="仿宋_GB2312" w:eastAsia="仿宋_GB2312" w:hAnsi="Times New Roman" w:hint="eastAsia"/>
                <w:noProof/>
                <w:webHidden/>
                <w:szCs w:val="32"/>
              </w:rPr>
              <w:fldChar w:fldCharType="end"/>
            </w:r>
          </w:hyperlink>
        </w:p>
        <w:p w14:paraId="7F6371ED" w14:textId="28001E83"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71" w:history="1">
            <w:r w:rsidR="00B02C22" w:rsidRPr="00CC5BEF">
              <w:rPr>
                <w:rStyle w:val="af4"/>
                <w:rFonts w:ascii="仿宋_GB2312" w:eastAsia="仿宋_GB2312" w:hAnsi="Times New Roman" w:hint="eastAsia"/>
                <w:noProof/>
                <w:szCs w:val="32"/>
              </w:rPr>
              <w:t>（一）药物相互作用临床研究类型</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_Toc50395971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20</w:t>
            </w:r>
            <w:r w:rsidR="00B02C22" w:rsidRPr="00CC5BEF">
              <w:rPr>
                <w:rStyle w:val="af4"/>
                <w:rFonts w:ascii="仿宋_GB2312" w:eastAsia="仿宋_GB2312" w:hAnsi="Times New Roman" w:hint="eastAsia"/>
                <w:noProof/>
                <w:webHidden/>
                <w:szCs w:val="32"/>
              </w:rPr>
              <w:fldChar w:fldCharType="end"/>
            </w:r>
          </w:hyperlink>
        </w:p>
        <w:p w14:paraId="251684A4" w14:textId="6EA0ED5E"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72" w:history="1">
            <w:r w:rsidR="00B02C22" w:rsidRPr="00CC5BEF">
              <w:rPr>
                <w:rStyle w:val="af4"/>
                <w:rFonts w:ascii="仿宋_GB2312" w:eastAsia="仿宋_GB2312" w:hAnsi="Times New Roman" w:hint="eastAsia"/>
                <w:noProof/>
                <w:szCs w:val="32"/>
              </w:rPr>
              <w:t>（二）前瞻性</w:t>
            </w:r>
            <w:r w:rsidR="00F44C0C" w:rsidRPr="00CC5BEF">
              <w:rPr>
                <w:rStyle w:val="af4"/>
                <w:rFonts w:ascii="仿宋_GB2312" w:eastAsia="仿宋_GB2312" w:hAnsi="Times New Roman" w:hint="eastAsia"/>
                <w:noProof/>
                <w:szCs w:val="32"/>
              </w:rPr>
              <w:t>临床</w:t>
            </w:r>
            <w:r w:rsidR="00B02C22" w:rsidRPr="00CC5BEF">
              <w:rPr>
                <w:rStyle w:val="af4"/>
                <w:rFonts w:ascii="仿宋_GB2312" w:eastAsia="仿宋_GB2312" w:hAnsi="Times New Roman" w:hint="eastAsia"/>
                <w:noProof/>
                <w:szCs w:val="32"/>
              </w:rPr>
              <w:t>药物相互作用研究</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_Toc50395972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22</w:t>
            </w:r>
            <w:r w:rsidR="00B02C22" w:rsidRPr="00CC5BEF">
              <w:rPr>
                <w:rStyle w:val="af4"/>
                <w:rFonts w:ascii="仿宋_GB2312" w:eastAsia="仿宋_GB2312" w:hAnsi="Times New Roman" w:hint="eastAsia"/>
                <w:noProof/>
                <w:webHidden/>
                <w:szCs w:val="32"/>
              </w:rPr>
              <w:fldChar w:fldCharType="end"/>
            </w:r>
          </w:hyperlink>
        </w:p>
        <w:p w14:paraId="6BEB3EA6" w14:textId="0D339F10"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73" w:history="1">
            <w:r w:rsidR="00B02C22" w:rsidRPr="00CC5BEF">
              <w:rPr>
                <w:rStyle w:val="af4"/>
                <w:rFonts w:ascii="仿宋_GB2312" w:eastAsia="仿宋_GB2312" w:hAnsi="Times New Roman" w:hint="eastAsia"/>
                <w:noProof/>
                <w:szCs w:val="32"/>
              </w:rPr>
              <w:t>（三）前瞻性嵌套临床相互作用试验考虑</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_Toc50395973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30</w:t>
            </w:r>
            <w:r w:rsidR="00B02C22" w:rsidRPr="00CC5BEF">
              <w:rPr>
                <w:rStyle w:val="af4"/>
                <w:rFonts w:ascii="仿宋_GB2312" w:eastAsia="仿宋_GB2312" w:hAnsi="Times New Roman" w:hint="eastAsia"/>
                <w:noProof/>
                <w:webHidden/>
                <w:szCs w:val="32"/>
              </w:rPr>
              <w:fldChar w:fldCharType="end"/>
            </w:r>
          </w:hyperlink>
        </w:p>
        <w:p w14:paraId="3ACF538D" w14:textId="3566B53B"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74" w:history="1">
            <w:r w:rsidR="00B02C22" w:rsidRPr="00CC5BEF">
              <w:rPr>
                <w:rStyle w:val="af4"/>
                <w:rFonts w:ascii="仿宋_GB2312" w:eastAsia="仿宋_GB2312" w:hAnsi="Times New Roman" w:hint="eastAsia"/>
                <w:noProof/>
                <w:szCs w:val="32"/>
              </w:rPr>
              <w:t>（四）数学模型临床试验特殊考虑</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_Toc50395974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30</w:t>
            </w:r>
            <w:r w:rsidR="00B02C22" w:rsidRPr="00CC5BEF">
              <w:rPr>
                <w:rStyle w:val="af4"/>
                <w:rFonts w:ascii="仿宋_GB2312" w:eastAsia="仿宋_GB2312" w:hAnsi="Times New Roman" w:hint="eastAsia"/>
                <w:noProof/>
                <w:webHidden/>
                <w:szCs w:val="32"/>
              </w:rPr>
              <w:fldChar w:fldCharType="end"/>
            </w:r>
          </w:hyperlink>
        </w:p>
        <w:p w14:paraId="3EC51BC5" w14:textId="0AF4E00B"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75" w:history="1">
            <w:r w:rsidR="00B02C22" w:rsidRPr="00CC5BEF">
              <w:rPr>
                <w:rStyle w:val="af4"/>
                <w:rFonts w:ascii="仿宋_GB2312" w:eastAsia="仿宋_GB2312" w:hAnsi="Times New Roman" w:hint="eastAsia"/>
                <w:noProof/>
                <w:szCs w:val="32"/>
              </w:rPr>
              <w:t>（五）其他临床研究设计考虑问题</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_Toc50395975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31</w:t>
            </w:r>
            <w:r w:rsidR="00B02C22" w:rsidRPr="00CC5BEF">
              <w:rPr>
                <w:rStyle w:val="af4"/>
                <w:rFonts w:ascii="仿宋_GB2312" w:eastAsia="仿宋_GB2312" w:hAnsi="Times New Roman" w:hint="eastAsia"/>
                <w:noProof/>
                <w:webHidden/>
                <w:szCs w:val="32"/>
              </w:rPr>
              <w:fldChar w:fldCharType="end"/>
            </w:r>
          </w:hyperlink>
        </w:p>
        <w:p w14:paraId="2AC71C59" w14:textId="2F04D5C9"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76" w:history="1">
            <w:r w:rsidR="00B02C22" w:rsidRPr="00CC5BEF">
              <w:rPr>
                <w:rStyle w:val="af4"/>
                <w:rFonts w:ascii="仿宋_GB2312" w:eastAsia="仿宋_GB2312" w:hAnsi="Times New Roman" w:hint="eastAsia"/>
                <w:noProof/>
                <w:szCs w:val="32"/>
              </w:rPr>
              <w:t>（六）DDI临床研究结果的报告和解释</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_Toc50395976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34</w:t>
            </w:r>
            <w:r w:rsidR="00B02C22" w:rsidRPr="00CC5BEF">
              <w:rPr>
                <w:rStyle w:val="af4"/>
                <w:rFonts w:ascii="仿宋_GB2312" w:eastAsia="仿宋_GB2312" w:hAnsi="Times New Roman" w:hint="eastAsia"/>
                <w:noProof/>
                <w:webHidden/>
                <w:szCs w:val="32"/>
              </w:rPr>
              <w:fldChar w:fldCharType="end"/>
            </w:r>
          </w:hyperlink>
        </w:p>
        <w:p w14:paraId="33975C9F" w14:textId="17D76BF4" w:rsidR="00B02C22" w:rsidRPr="00CC5BEF" w:rsidRDefault="003275AF" w:rsidP="00CC5BEF">
          <w:pPr>
            <w:pStyle w:val="11"/>
            <w:spacing w:after="0" w:line="580" w:lineRule="exact"/>
            <w:rPr>
              <w:rStyle w:val="af4"/>
              <w:rFonts w:ascii="仿宋_GB2312" w:eastAsia="仿宋_GB2312" w:hAnsi="Times New Roman"/>
              <w:noProof/>
              <w:szCs w:val="32"/>
            </w:rPr>
          </w:pPr>
          <w:hyperlink w:anchor="_Toc50395977" w:history="1">
            <w:r w:rsidR="00B02C22" w:rsidRPr="00CC5BEF">
              <w:rPr>
                <w:rStyle w:val="af4"/>
                <w:rFonts w:ascii="仿宋_GB2312" w:eastAsia="仿宋_GB2312" w:hAnsi="Times New Roman" w:hint="eastAsia"/>
                <w:noProof/>
                <w:szCs w:val="32"/>
              </w:rPr>
              <w:t>四、说明书起草建议</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_Toc50395977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41</w:t>
            </w:r>
            <w:r w:rsidR="00B02C22" w:rsidRPr="00CC5BEF">
              <w:rPr>
                <w:rStyle w:val="af4"/>
                <w:rFonts w:ascii="仿宋_GB2312" w:eastAsia="仿宋_GB2312" w:hAnsi="Times New Roman" w:hint="eastAsia"/>
                <w:noProof/>
                <w:webHidden/>
                <w:szCs w:val="32"/>
              </w:rPr>
              <w:fldChar w:fldCharType="end"/>
            </w:r>
          </w:hyperlink>
        </w:p>
        <w:p w14:paraId="50C914E1" w14:textId="4CFF8B30"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78" w:history="1">
            <w:r w:rsidR="00B02C22" w:rsidRPr="00CC5BEF">
              <w:rPr>
                <w:rStyle w:val="af4"/>
                <w:rFonts w:ascii="仿宋_GB2312" w:eastAsia="仿宋_GB2312" w:hAnsi="Times New Roman" w:hint="eastAsia"/>
                <w:noProof/>
                <w:szCs w:val="32"/>
              </w:rPr>
              <w:t>附录1. 代谢酶和转运体介导的DDI研究策略图</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_Toc50395978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42</w:t>
            </w:r>
            <w:r w:rsidR="00B02C22" w:rsidRPr="00CC5BEF">
              <w:rPr>
                <w:rStyle w:val="af4"/>
                <w:rFonts w:ascii="仿宋_GB2312" w:eastAsia="仿宋_GB2312" w:hAnsi="Times New Roman" w:hint="eastAsia"/>
                <w:noProof/>
                <w:webHidden/>
                <w:szCs w:val="32"/>
              </w:rPr>
              <w:fldChar w:fldCharType="end"/>
            </w:r>
          </w:hyperlink>
        </w:p>
        <w:p w14:paraId="343249AD" w14:textId="743A3953"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80" w:history="1">
            <w:r w:rsidR="00B02C22" w:rsidRPr="00CC5BEF">
              <w:rPr>
                <w:rStyle w:val="af4"/>
                <w:rFonts w:ascii="仿宋_GB2312" w:eastAsia="仿宋_GB2312" w:hAnsi="Times New Roman" w:hint="eastAsia"/>
                <w:noProof/>
                <w:szCs w:val="32"/>
              </w:rPr>
              <w:t>附录2. 基于模型预测药物间的相互作用</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_Toc50395980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44</w:t>
            </w:r>
            <w:r w:rsidR="00B02C22" w:rsidRPr="00CC5BEF">
              <w:rPr>
                <w:rStyle w:val="af4"/>
                <w:rFonts w:ascii="仿宋_GB2312" w:eastAsia="仿宋_GB2312" w:hAnsi="Times New Roman" w:hint="eastAsia"/>
                <w:noProof/>
                <w:webHidden/>
                <w:szCs w:val="32"/>
              </w:rPr>
              <w:fldChar w:fldCharType="end"/>
            </w:r>
          </w:hyperlink>
        </w:p>
        <w:p w14:paraId="08414ED6" w14:textId="642D9647"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81" w:history="1">
            <w:r w:rsidR="00B02C22" w:rsidRPr="00CC5BEF">
              <w:rPr>
                <w:rStyle w:val="af4"/>
                <w:rFonts w:ascii="仿宋_GB2312" w:eastAsia="仿宋_GB2312" w:hAnsi="Times New Roman" w:hint="eastAsia"/>
                <w:noProof/>
                <w:szCs w:val="32"/>
              </w:rPr>
              <w:t>附录3. 体外评估代谢酶介导的药物相互作用</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_Toc50395981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51</w:t>
            </w:r>
            <w:r w:rsidR="00B02C22" w:rsidRPr="00CC5BEF">
              <w:rPr>
                <w:rStyle w:val="af4"/>
                <w:rFonts w:ascii="仿宋_GB2312" w:eastAsia="仿宋_GB2312" w:hAnsi="Times New Roman" w:hint="eastAsia"/>
                <w:noProof/>
                <w:webHidden/>
                <w:szCs w:val="32"/>
              </w:rPr>
              <w:fldChar w:fldCharType="end"/>
            </w:r>
          </w:hyperlink>
        </w:p>
        <w:p w14:paraId="4C7A2B2D" w14:textId="33FB7334"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82" w:history="1">
            <w:r w:rsidR="00B02C22" w:rsidRPr="00CC5BEF">
              <w:rPr>
                <w:rStyle w:val="af4"/>
                <w:rFonts w:ascii="仿宋_GB2312" w:eastAsia="仿宋_GB2312" w:hAnsi="Times New Roman" w:hint="eastAsia"/>
                <w:noProof/>
                <w:szCs w:val="32"/>
              </w:rPr>
              <w:t>附录4. 体外评估转运体介导的药物相互作用</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_Toc50395982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58</w:t>
            </w:r>
            <w:r w:rsidR="00B02C22" w:rsidRPr="00CC5BEF">
              <w:rPr>
                <w:rStyle w:val="af4"/>
                <w:rFonts w:ascii="仿宋_GB2312" w:eastAsia="仿宋_GB2312" w:hAnsi="Times New Roman" w:hint="eastAsia"/>
                <w:noProof/>
                <w:webHidden/>
                <w:szCs w:val="32"/>
              </w:rPr>
              <w:fldChar w:fldCharType="end"/>
            </w:r>
          </w:hyperlink>
        </w:p>
        <w:p w14:paraId="05D74979" w14:textId="08B22746" w:rsidR="00B02C22" w:rsidRPr="00CC5BEF" w:rsidRDefault="003275AF" w:rsidP="00CC5BEF">
          <w:pPr>
            <w:pStyle w:val="21"/>
            <w:spacing w:after="0" w:line="580" w:lineRule="exact"/>
            <w:rPr>
              <w:rStyle w:val="af4"/>
              <w:rFonts w:ascii="仿宋_GB2312" w:eastAsia="仿宋_GB2312" w:hAnsi="Times New Roman"/>
              <w:noProof/>
              <w:szCs w:val="32"/>
            </w:rPr>
          </w:pPr>
          <w:hyperlink w:anchor="_Toc50395983" w:history="1">
            <w:r w:rsidR="00B02C22" w:rsidRPr="00CC5BEF">
              <w:rPr>
                <w:rStyle w:val="af4"/>
                <w:rFonts w:ascii="仿宋_GB2312" w:eastAsia="仿宋_GB2312" w:hAnsi="Times New Roman" w:hint="eastAsia"/>
                <w:noProof/>
                <w:szCs w:val="32"/>
              </w:rPr>
              <w:t>附录5. 用于评估药物相互作用的药物清单</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_Toc50395983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62</w:t>
            </w:r>
            <w:r w:rsidR="00B02C22" w:rsidRPr="00CC5BEF">
              <w:rPr>
                <w:rStyle w:val="af4"/>
                <w:rFonts w:ascii="仿宋_GB2312" w:eastAsia="仿宋_GB2312" w:hAnsi="Times New Roman" w:hint="eastAsia"/>
                <w:noProof/>
                <w:webHidden/>
                <w:szCs w:val="32"/>
              </w:rPr>
              <w:fldChar w:fldCharType="end"/>
            </w:r>
          </w:hyperlink>
        </w:p>
        <w:p w14:paraId="077A3EE3" w14:textId="0B093CE0" w:rsidR="00B02C22" w:rsidRPr="00CC5BEF" w:rsidRDefault="003275AF" w:rsidP="00CC5BEF">
          <w:pPr>
            <w:pStyle w:val="11"/>
            <w:spacing w:after="0" w:line="580" w:lineRule="exact"/>
            <w:rPr>
              <w:rStyle w:val="af4"/>
              <w:rFonts w:ascii="仿宋_GB2312" w:eastAsia="仿宋_GB2312" w:hAnsi="Times New Roman"/>
              <w:noProof/>
              <w:szCs w:val="32"/>
            </w:rPr>
          </w:pPr>
          <w:hyperlink w:anchor="_Toc50395985" w:history="1">
            <w:r w:rsidR="00B02C22" w:rsidRPr="00CC5BEF">
              <w:rPr>
                <w:rStyle w:val="af4"/>
                <w:rFonts w:ascii="仿宋_GB2312" w:eastAsia="仿宋_GB2312" w:hAnsi="Times New Roman" w:hint="eastAsia"/>
                <w:noProof/>
                <w:szCs w:val="32"/>
              </w:rPr>
              <w:t>参考文献</w:t>
            </w:r>
            <w:r w:rsidR="00B02C22" w:rsidRPr="00CC5BEF">
              <w:rPr>
                <w:rStyle w:val="af4"/>
                <w:rFonts w:ascii="仿宋_GB2312" w:eastAsia="仿宋_GB2312" w:hAnsi="Times New Roman" w:hint="eastAsia"/>
                <w:noProof/>
                <w:webHidden/>
                <w:szCs w:val="32"/>
              </w:rPr>
              <w:tab/>
            </w:r>
            <w:r w:rsidR="00B02C22" w:rsidRPr="00CC5BEF">
              <w:rPr>
                <w:rStyle w:val="af4"/>
                <w:rFonts w:ascii="仿宋_GB2312" w:eastAsia="仿宋_GB2312" w:hAnsi="Times New Roman" w:hint="eastAsia"/>
                <w:noProof/>
                <w:webHidden/>
                <w:szCs w:val="32"/>
              </w:rPr>
              <w:fldChar w:fldCharType="begin"/>
            </w:r>
            <w:r w:rsidR="00B02C22" w:rsidRPr="00CC5BEF">
              <w:rPr>
                <w:rStyle w:val="af4"/>
                <w:rFonts w:ascii="仿宋_GB2312" w:eastAsia="仿宋_GB2312" w:hAnsi="Times New Roman" w:hint="eastAsia"/>
                <w:noProof/>
                <w:webHidden/>
                <w:szCs w:val="32"/>
              </w:rPr>
              <w:instrText xml:space="preserve"> PAGEREF _Toc50395985 \h </w:instrText>
            </w:r>
            <w:r w:rsidR="00B02C22" w:rsidRPr="00CC5BEF">
              <w:rPr>
                <w:rStyle w:val="af4"/>
                <w:rFonts w:ascii="仿宋_GB2312" w:eastAsia="仿宋_GB2312" w:hAnsi="Times New Roman" w:hint="eastAsia"/>
                <w:noProof/>
                <w:webHidden/>
                <w:szCs w:val="32"/>
              </w:rPr>
            </w:r>
            <w:r w:rsidR="00B02C22" w:rsidRPr="00CC5BEF">
              <w:rPr>
                <w:rStyle w:val="af4"/>
                <w:rFonts w:ascii="仿宋_GB2312" w:eastAsia="仿宋_GB2312" w:hAnsi="Times New Roman" w:hint="eastAsia"/>
                <w:noProof/>
                <w:webHidden/>
                <w:szCs w:val="32"/>
              </w:rPr>
              <w:fldChar w:fldCharType="separate"/>
            </w:r>
            <w:r w:rsidR="00C5183C">
              <w:rPr>
                <w:rStyle w:val="af4"/>
                <w:rFonts w:ascii="仿宋_GB2312" w:eastAsia="仿宋_GB2312" w:hAnsi="Times New Roman"/>
                <w:noProof/>
                <w:webHidden/>
                <w:szCs w:val="32"/>
              </w:rPr>
              <w:t>68</w:t>
            </w:r>
            <w:r w:rsidR="00B02C22" w:rsidRPr="00CC5BEF">
              <w:rPr>
                <w:rStyle w:val="af4"/>
                <w:rFonts w:ascii="仿宋_GB2312" w:eastAsia="仿宋_GB2312" w:hAnsi="Times New Roman" w:hint="eastAsia"/>
                <w:noProof/>
                <w:webHidden/>
                <w:szCs w:val="32"/>
              </w:rPr>
              <w:fldChar w:fldCharType="end"/>
            </w:r>
          </w:hyperlink>
        </w:p>
        <w:p w14:paraId="4DA480D9" w14:textId="77CB4102" w:rsidR="00EF69DD" w:rsidRPr="00CC5BEF" w:rsidRDefault="002D4D37" w:rsidP="00CC5BEF">
          <w:pPr>
            <w:spacing w:after="0" w:line="580" w:lineRule="exact"/>
            <w:ind w:firstLineChars="0" w:firstLine="0"/>
            <w:rPr>
              <w:rFonts w:ascii="仿宋_GB2312" w:cs="Times New Roman"/>
              <w:szCs w:val="32"/>
            </w:rPr>
            <w:sectPr w:rsidR="00EF69DD" w:rsidRPr="00CC5BEF" w:rsidSect="00CC5BE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1"/>
              <w:cols w:space="720"/>
              <w:docGrid w:linePitch="435"/>
            </w:sectPr>
          </w:pPr>
          <w:r w:rsidRPr="00CC5BEF">
            <w:rPr>
              <w:rFonts w:ascii="仿宋_GB2312" w:cs="Times New Roman" w:hint="eastAsia"/>
              <w:b/>
              <w:bCs/>
              <w:szCs w:val="32"/>
              <w:lang w:val="zh-CN"/>
            </w:rPr>
            <w:fldChar w:fldCharType="end"/>
          </w:r>
        </w:p>
      </w:sdtContent>
    </w:sdt>
    <w:p w14:paraId="1EBFC3D9" w14:textId="4F5624B2" w:rsidR="00C268CB" w:rsidRPr="00921CF9" w:rsidRDefault="00C268CB" w:rsidP="00CB0133">
      <w:pPr>
        <w:spacing w:after="0"/>
        <w:ind w:firstLineChars="0" w:firstLine="0"/>
        <w:jc w:val="center"/>
        <w:rPr>
          <w:rFonts w:eastAsia="方正小标宋简体" w:cs="Times New Roman"/>
          <w:sz w:val="36"/>
          <w:szCs w:val="36"/>
          <w:lang w:eastAsia="zh-CN"/>
        </w:rPr>
      </w:pPr>
      <w:r w:rsidRPr="00921CF9">
        <w:rPr>
          <w:rFonts w:eastAsia="方正小标宋简体" w:cs="Times New Roman"/>
          <w:sz w:val="36"/>
          <w:szCs w:val="36"/>
          <w:lang w:eastAsia="zh-CN"/>
        </w:rPr>
        <w:lastRenderedPageBreak/>
        <w:t>药物相互作用研究技术指导原则</w:t>
      </w:r>
    </w:p>
    <w:p w14:paraId="3DC92ABB" w14:textId="77777777" w:rsidR="00C268CB" w:rsidRPr="00CB0133" w:rsidRDefault="00C268CB" w:rsidP="00CB0133">
      <w:pPr>
        <w:keepNext/>
        <w:keepLines/>
        <w:widowControl w:val="0"/>
        <w:autoSpaceDE w:val="0"/>
        <w:autoSpaceDN w:val="0"/>
        <w:adjustRightInd w:val="0"/>
        <w:spacing w:after="0"/>
        <w:ind w:firstLine="640"/>
        <w:outlineLvl w:val="0"/>
        <w:rPr>
          <w:rFonts w:eastAsia="黑体" w:cs="Times New Roman"/>
          <w:bCs/>
          <w:color w:val="000000"/>
          <w:kern w:val="44"/>
          <w:szCs w:val="32"/>
          <w:lang w:eastAsia="zh-CN"/>
        </w:rPr>
      </w:pPr>
      <w:bookmarkStart w:id="1" w:name="_Toc48799352"/>
      <w:bookmarkStart w:id="2" w:name="_Toc50395964"/>
      <w:r w:rsidRPr="00CB0133">
        <w:rPr>
          <w:rFonts w:eastAsia="黑体" w:cs="Times New Roman"/>
          <w:bCs/>
          <w:color w:val="000000"/>
          <w:kern w:val="44"/>
          <w:szCs w:val="32"/>
          <w:lang w:eastAsia="zh-CN"/>
        </w:rPr>
        <w:t>一、概述</w:t>
      </w:r>
      <w:bookmarkEnd w:id="1"/>
      <w:bookmarkEnd w:id="2"/>
    </w:p>
    <w:p w14:paraId="69792C09" w14:textId="03AD7124" w:rsidR="005B19C3" w:rsidRDefault="00C268CB" w:rsidP="00CB0133">
      <w:pPr>
        <w:spacing w:after="0"/>
        <w:ind w:firstLine="640"/>
        <w:rPr>
          <w:rFonts w:cs="Times New Roman"/>
          <w:szCs w:val="24"/>
          <w:lang w:eastAsia="zh-CN"/>
        </w:rPr>
      </w:pPr>
      <w:r w:rsidRPr="009E464F">
        <w:rPr>
          <w:rFonts w:cs="Times New Roman"/>
          <w:bCs/>
          <w:szCs w:val="24"/>
          <w:lang w:eastAsia="zh-CN"/>
        </w:rPr>
        <w:t>在临床</w:t>
      </w:r>
      <w:r w:rsidR="00D66C24" w:rsidRPr="009E464F">
        <w:rPr>
          <w:rFonts w:cs="Times New Roman"/>
          <w:bCs/>
          <w:szCs w:val="24"/>
          <w:lang w:eastAsia="zh-CN"/>
        </w:rPr>
        <w:t>应用</w:t>
      </w:r>
      <w:r w:rsidRPr="009E464F">
        <w:rPr>
          <w:rFonts w:cs="Times New Roman"/>
          <w:bCs/>
          <w:szCs w:val="24"/>
          <w:lang w:eastAsia="zh-CN"/>
        </w:rPr>
        <w:t>中患者经常会同时</w:t>
      </w:r>
      <w:r w:rsidR="00687489">
        <w:rPr>
          <w:rFonts w:cs="Times New Roman" w:hint="eastAsia"/>
          <w:bCs/>
          <w:szCs w:val="24"/>
          <w:lang w:eastAsia="zh-CN"/>
        </w:rPr>
        <w:t>使用</w:t>
      </w:r>
      <w:r w:rsidRPr="009E464F">
        <w:rPr>
          <w:rFonts w:cs="Times New Roman"/>
          <w:bCs/>
          <w:szCs w:val="24"/>
          <w:lang w:eastAsia="zh-CN"/>
        </w:rPr>
        <w:t>多种药物，这些药物可能会产生</w:t>
      </w:r>
      <w:r w:rsidRPr="009E464F">
        <w:rPr>
          <w:rFonts w:cs="Times New Roman"/>
          <w:szCs w:val="24"/>
          <w:lang w:eastAsia="zh-CN"/>
        </w:rPr>
        <w:t>药物</w:t>
      </w:r>
      <w:r w:rsidRPr="009E464F">
        <w:rPr>
          <w:rFonts w:cs="Times New Roman"/>
          <w:szCs w:val="24"/>
          <w:lang w:eastAsia="zh-CN"/>
        </w:rPr>
        <w:t>-</w:t>
      </w:r>
      <w:r w:rsidRPr="009E464F">
        <w:rPr>
          <w:rFonts w:cs="Times New Roman"/>
          <w:szCs w:val="24"/>
          <w:lang w:eastAsia="zh-CN"/>
        </w:rPr>
        <w:t>药物相互作用（</w:t>
      </w:r>
      <w:r w:rsidRPr="009E464F">
        <w:rPr>
          <w:rFonts w:cs="Times New Roman"/>
          <w:szCs w:val="24"/>
          <w:lang w:eastAsia="zh-CN"/>
        </w:rPr>
        <w:t>Drug-drug interaction</w:t>
      </w:r>
      <w:r w:rsidRPr="009E464F">
        <w:rPr>
          <w:rFonts w:cs="Times New Roman"/>
          <w:szCs w:val="24"/>
          <w:lang w:eastAsia="zh-CN"/>
        </w:rPr>
        <w:t>，</w:t>
      </w:r>
      <w:r w:rsidRPr="009E464F">
        <w:rPr>
          <w:rFonts w:cs="Times New Roman"/>
          <w:szCs w:val="24"/>
          <w:lang w:eastAsia="zh-CN"/>
        </w:rPr>
        <w:t>DDI</w:t>
      </w:r>
      <w:r w:rsidRPr="009E464F">
        <w:rPr>
          <w:rFonts w:cs="Times New Roman"/>
          <w:szCs w:val="24"/>
          <w:lang w:eastAsia="zh-CN"/>
        </w:rPr>
        <w:t>），最终导致严重不良反应或减弱治疗效果，因此，有必要对</w:t>
      </w:r>
      <w:r w:rsidRPr="009E464F">
        <w:rPr>
          <w:rFonts w:cs="Times New Roman"/>
          <w:szCs w:val="24"/>
          <w:lang w:eastAsia="zh-CN"/>
        </w:rPr>
        <w:t>DDI</w:t>
      </w:r>
      <w:r w:rsidR="00C95CA7" w:rsidRPr="009E464F">
        <w:rPr>
          <w:rFonts w:cs="Times New Roman"/>
          <w:szCs w:val="24"/>
          <w:lang w:eastAsia="zh-CN"/>
        </w:rPr>
        <w:t>发生的可能</w:t>
      </w:r>
      <w:r w:rsidRPr="009E464F">
        <w:rPr>
          <w:rFonts w:cs="Times New Roman"/>
          <w:szCs w:val="24"/>
          <w:lang w:eastAsia="zh-CN"/>
        </w:rPr>
        <w:t>及其影响程度和严重性进行科学评估，并依据评估结果对给药方案</w:t>
      </w:r>
      <w:proofErr w:type="gramStart"/>
      <w:r w:rsidR="00F44835">
        <w:rPr>
          <w:rFonts w:cs="Times New Roman" w:hint="eastAsia"/>
          <w:szCs w:val="24"/>
          <w:lang w:eastAsia="zh-CN"/>
        </w:rPr>
        <w:t>作</w:t>
      </w:r>
      <w:r w:rsidRPr="009E464F">
        <w:rPr>
          <w:rFonts w:cs="Times New Roman"/>
          <w:szCs w:val="24"/>
          <w:lang w:eastAsia="zh-CN"/>
        </w:rPr>
        <w:t>出</w:t>
      </w:r>
      <w:proofErr w:type="gramEnd"/>
      <w:r w:rsidRPr="009E464F">
        <w:rPr>
          <w:rFonts w:cs="Times New Roman"/>
          <w:szCs w:val="24"/>
          <w:lang w:eastAsia="zh-CN"/>
        </w:rPr>
        <w:t>调整建议</w:t>
      </w:r>
      <w:r w:rsidR="00A5507E" w:rsidRPr="009E464F">
        <w:rPr>
          <w:rFonts w:cs="Times New Roman"/>
          <w:szCs w:val="24"/>
          <w:lang w:eastAsia="zh-CN"/>
        </w:rPr>
        <w:t>，并在说明书中对临床用药给出建议</w:t>
      </w:r>
      <w:r w:rsidRPr="009E464F">
        <w:rPr>
          <w:rFonts w:cs="Times New Roman"/>
          <w:szCs w:val="24"/>
          <w:lang w:eastAsia="zh-CN"/>
        </w:rPr>
        <w:t>。药物相互作用按照发生机制可分为理化性质、代谢酶、转运体、靶点或疾病</w:t>
      </w:r>
      <w:proofErr w:type="gramStart"/>
      <w:r w:rsidRPr="009E464F">
        <w:rPr>
          <w:rFonts w:cs="Times New Roman"/>
          <w:szCs w:val="24"/>
          <w:lang w:eastAsia="zh-CN"/>
        </w:rPr>
        <w:t>介</w:t>
      </w:r>
      <w:proofErr w:type="gramEnd"/>
      <w:r w:rsidRPr="009E464F">
        <w:rPr>
          <w:rFonts w:cs="Times New Roman"/>
          <w:szCs w:val="24"/>
          <w:lang w:eastAsia="zh-CN"/>
        </w:rPr>
        <w:t>导的相互作用，按照作用影响指标可分为药代动力学相互作用和药效动力学相互作用，而药效动力学相互作用又分为加和、拮抗和协同作用。</w:t>
      </w:r>
    </w:p>
    <w:p w14:paraId="689B48E2" w14:textId="2ACE3A57" w:rsidR="00352EC2" w:rsidRPr="009E464F" w:rsidRDefault="00352EC2" w:rsidP="00CB0133">
      <w:pPr>
        <w:spacing w:after="0"/>
        <w:ind w:firstLine="640"/>
        <w:rPr>
          <w:rFonts w:cs="Times New Roman"/>
          <w:szCs w:val="24"/>
          <w:lang w:eastAsia="zh-CN"/>
        </w:rPr>
      </w:pPr>
      <w:r w:rsidRPr="009E464F">
        <w:rPr>
          <w:rFonts w:cs="Times New Roman"/>
          <w:szCs w:val="24"/>
          <w:lang w:eastAsia="zh-CN"/>
        </w:rPr>
        <w:t>在药物开发过程中，</w:t>
      </w:r>
      <w:r w:rsidR="000671AF">
        <w:rPr>
          <w:rFonts w:cs="Times New Roman" w:hint="eastAsia"/>
          <w:szCs w:val="24"/>
          <w:lang w:eastAsia="zh-CN"/>
        </w:rPr>
        <w:t>对药物相互作用的评价需要逐步积累基础研究数据，并根据情况进行综合评价。</w:t>
      </w:r>
      <w:r w:rsidR="000671AF" w:rsidRPr="009E464F">
        <w:rPr>
          <w:rFonts w:cs="Times New Roman"/>
          <w:szCs w:val="24"/>
          <w:lang w:eastAsia="zh-CN"/>
        </w:rPr>
        <w:t>DDI</w:t>
      </w:r>
      <w:r w:rsidR="000671AF">
        <w:rPr>
          <w:rFonts w:cs="Times New Roman"/>
          <w:szCs w:val="24"/>
          <w:lang w:eastAsia="zh-CN"/>
        </w:rPr>
        <w:t>整体研究</w:t>
      </w:r>
      <w:r w:rsidR="000671AF">
        <w:rPr>
          <w:rFonts w:cs="Times New Roman" w:hint="eastAsia"/>
          <w:szCs w:val="24"/>
          <w:lang w:eastAsia="zh-CN"/>
        </w:rPr>
        <w:t>应</w:t>
      </w:r>
      <w:r w:rsidR="000671AF" w:rsidRPr="009E464F">
        <w:rPr>
          <w:rFonts w:cs="Times New Roman"/>
          <w:szCs w:val="24"/>
          <w:lang w:eastAsia="zh-CN"/>
        </w:rPr>
        <w:t>兼具计划性和系统性</w:t>
      </w:r>
      <w:r w:rsidR="000671AF">
        <w:rPr>
          <w:rFonts w:cs="Times New Roman" w:hint="eastAsia"/>
          <w:szCs w:val="24"/>
          <w:lang w:eastAsia="zh-CN"/>
        </w:rPr>
        <w:t>，</w:t>
      </w:r>
      <w:r w:rsidRPr="009E464F">
        <w:rPr>
          <w:rFonts w:cs="Times New Roman"/>
          <w:szCs w:val="24"/>
          <w:lang w:eastAsia="zh-CN"/>
        </w:rPr>
        <w:t>一般包括体外试验和临床试验两部分</w:t>
      </w:r>
      <w:r w:rsidR="001F27E5">
        <w:rPr>
          <w:rFonts w:cs="Times New Roman" w:hint="eastAsia"/>
          <w:szCs w:val="24"/>
          <w:lang w:eastAsia="zh-CN"/>
        </w:rPr>
        <w:t>。</w:t>
      </w:r>
    </w:p>
    <w:p w14:paraId="2847EA5B" w14:textId="44A0D3E0" w:rsidR="00352EC2" w:rsidRPr="009E464F" w:rsidRDefault="00352EC2" w:rsidP="00CB0133">
      <w:pPr>
        <w:spacing w:after="0"/>
        <w:ind w:firstLine="640"/>
        <w:rPr>
          <w:rFonts w:cs="Times New Roman"/>
          <w:lang w:eastAsia="zh-CN"/>
        </w:rPr>
      </w:pPr>
      <w:r w:rsidRPr="009E464F">
        <w:rPr>
          <w:rFonts w:cs="Times New Roman"/>
          <w:lang w:eastAsia="zh-CN"/>
        </w:rPr>
        <w:t>最初开展体外试验是为了全面了解在</w:t>
      </w:r>
      <w:proofErr w:type="gramStart"/>
      <w:r w:rsidRPr="009E464F">
        <w:rPr>
          <w:rFonts w:cs="Times New Roman"/>
          <w:lang w:eastAsia="zh-CN"/>
        </w:rPr>
        <w:t>研</w:t>
      </w:r>
      <w:proofErr w:type="gramEnd"/>
      <w:r w:rsidRPr="009E464F">
        <w:rPr>
          <w:rFonts w:cs="Times New Roman"/>
          <w:lang w:eastAsia="zh-CN"/>
        </w:rPr>
        <w:t>药物</w:t>
      </w:r>
      <w:r w:rsidR="00687489" w:rsidRPr="009E464F">
        <w:rPr>
          <w:rFonts w:cs="Times New Roman"/>
          <w:lang w:eastAsia="zh-CN"/>
        </w:rPr>
        <w:t>（</w:t>
      </w:r>
      <w:r w:rsidR="00687489" w:rsidRPr="009E464F">
        <w:rPr>
          <w:rFonts w:cs="Times New Roman"/>
          <w:lang w:eastAsia="zh-CN"/>
        </w:rPr>
        <w:t>Investigational drug</w:t>
      </w:r>
      <w:r w:rsidR="00687489" w:rsidRPr="009E464F">
        <w:rPr>
          <w:rFonts w:cs="Times New Roman"/>
          <w:lang w:eastAsia="zh-CN"/>
        </w:rPr>
        <w:t>）</w:t>
      </w:r>
      <w:r w:rsidRPr="009E464F">
        <w:rPr>
          <w:rFonts w:cs="Times New Roman"/>
          <w:lang w:eastAsia="zh-CN"/>
        </w:rPr>
        <w:t>药</w:t>
      </w:r>
      <w:r w:rsidR="00EE55B8">
        <w:rPr>
          <w:rFonts w:cs="Times New Roman" w:hint="eastAsia"/>
          <w:lang w:eastAsia="zh-CN"/>
        </w:rPr>
        <w:t>代</w:t>
      </w:r>
      <w:r w:rsidRPr="009E464F">
        <w:rPr>
          <w:rFonts w:cs="Times New Roman"/>
          <w:lang w:eastAsia="zh-CN"/>
        </w:rPr>
        <w:t>动</w:t>
      </w:r>
      <w:r w:rsidR="00EE55B8">
        <w:rPr>
          <w:rFonts w:cs="Times New Roman" w:hint="eastAsia"/>
          <w:lang w:eastAsia="zh-CN"/>
        </w:rPr>
        <w:t>力</w:t>
      </w:r>
      <w:r w:rsidRPr="009E464F">
        <w:rPr>
          <w:rFonts w:cs="Times New Roman"/>
          <w:lang w:eastAsia="zh-CN"/>
        </w:rPr>
        <w:t>学（</w:t>
      </w:r>
      <w:r w:rsidRPr="009E464F">
        <w:rPr>
          <w:rFonts w:cs="Times New Roman"/>
          <w:lang w:eastAsia="zh-CN"/>
        </w:rPr>
        <w:t>Pharmacokinetics</w:t>
      </w:r>
      <w:r w:rsidRPr="009E464F">
        <w:rPr>
          <w:rFonts w:cs="Times New Roman"/>
          <w:lang w:eastAsia="zh-CN"/>
        </w:rPr>
        <w:t>，</w:t>
      </w:r>
      <w:r w:rsidRPr="009E464F">
        <w:rPr>
          <w:rFonts w:cs="Times New Roman"/>
          <w:lang w:eastAsia="zh-CN"/>
        </w:rPr>
        <w:t>PK</w:t>
      </w:r>
      <w:r w:rsidRPr="009E464F">
        <w:rPr>
          <w:rFonts w:cs="Times New Roman"/>
          <w:lang w:eastAsia="zh-CN"/>
        </w:rPr>
        <w:t>）特征，以初步估计药</w:t>
      </w:r>
      <w:r w:rsidR="00EE55B8">
        <w:rPr>
          <w:rFonts w:cs="Times New Roman" w:hint="eastAsia"/>
          <w:lang w:eastAsia="zh-CN"/>
        </w:rPr>
        <w:t>代</w:t>
      </w:r>
      <w:r w:rsidRPr="009E464F">
        <w:rPr>
          <w:rFonts w:cs="Times New Roman"/>
          <w:lang w:eastAsia="zh-CN"/>
        </w:rPr>
        <w:t>动</w:t>
      </w:r>
      <w:r w:rsidR="00EE55B8">
        <w:rPr>
          <w:rFonts w:cs="Times New Roman" w:hint="eastAsia"/>
          <w:lang w:eastAsia="zh-CN"/>
        </w:rPr>
        <w:t>力</w:t>
      </w:r>
      <w:r w:rsidRPr="009E464F">
        <w:rPr>
          <w:rFonts w:cs="Times New Roman"/>
          <w:lang w:eastAsia="zh-CN"/>
        </w:rPr>
        <w:t>学相互作用的可能机制以及可能的严重程度，并支持</w:t>
      </w:r>
      <w:r w:rsidRPr="009E464F">
        <w:rPr>
          <w:rFonts w:cs="Times New Roman"/>
          <w:lang w:eastAsia="zh-CN"/>
        </w:rPr>
        <w:t>DDI</w:t>
      </w:r>
      <w:r w:rsidRPr="009E464F">
        <w:rPr>
          <w:rFonts w:cs="Times New Roman"/>
          <w:lang w:eastAsia="zh-CN"/>
        </w:rPr>
        <w:t>临床研究时机的确定。通过体外人</w:t>
      </w:r>
      <w:proofErr w:type="gramStart"/>
      <w:r w:rsidRPr="009E464F">
        <w:rPr>
          <w:rFonts w:cs="Times New Roman"/>
          <w:lang w:eastAsia="zh-CN"/>
        </w:rPr>
        <w:t>源试验</w:t>
      </w:r>
      <w:proofErr w:type="gramEnd"/>
      <w:r w:rsidRPr="009E464F">
        <w:rPr>
          <w:rFonts w:cs="Times New Roman"/>
          <w:lang w:eastAsia="zh-CN"/>
        </w:rPr>
        <w:t>可以获得在</w:t>
      </w:r>
      <w:proofErr w:type="gramStart"/>
      <w:r w:rsidRPr="009E464F">
        <w:rPr>
          <w:rFonts w:cs="Times New Roman"/>
          <w:lang w:eastAsia="zh-CN"/>
        </w:rPr>
        <w:t>研</w:t>
      </w:r>
      <w:proofErr w:type="gramEnd"/>
      <w:r w:rsidRPr="009E464F">
        <w:rPr>
          <w:rFonts w:cs="Times New Roman"/>
          <w:lang w:eastAsia="zh-CN"/>
        </w:rPr>
        <w:t>药物消除相关</w:t>
      </w:r>
      <w:r w:rsidRPr="009E464F">
        <w:rPr>
          <w:rFonts w:cs="Times New Roman"/>
          <w:lang w:eastAsia="zh-CN"/>
        </w:rPr>
        <w:t>DDI</w:t>
      </w:r>
      <w:r w:rsidRPr="009E464F">
        <w:rPr>
          <w:rFonts w:cs="Times New Roman"/>
          <w:lang w:eastAsia="zh-CN"/>
        </w:rPr>
        <w:t>的信息。也可借助有预测力（涉及的关键通路经过体内数据验证）的数学模型对潜在</w:t>
      </w:r>
      <w:r w:rsidRPr="009E464F">
        <w:rPr>
          <w:rFonts w:cs="Times New Roman"/>
          <w:lang w:eastAsia="zh-CN"/>
        </w:rPr>
        <w:lastRenderedPageBreak/>
        <w:t>的</w:t>
      </w:r>
      <w:r w:rsidRPr="009E464F">
        <w:rPr>
          <w:rFonts w:cs="Times New Roman"/>
          <w:lang w:eastAsia="zh-CN"/>
        </w:rPr>
        <w:t>DDI</w:t>
      </w:r>
      <w:r w:rsidRPr="009E464F">
        <w:rPr>
          <w:rFonts w:cs="Times New Roman"/>
          <w:lang w:eastAsia="zh-CN"/>
        </w:rPr>
        <w:t>进行预测，以支持</w:t>
      </w:r>
      <w:r w:rsidRPr="009E464F">
        <w:rPr>
          <w:rFonts w:cs="Times New Roman"/>
          <w:lang w:eastAsia="zh-CN"/>
        </w:rPr>
        <w:t>DDI</w:t>
      </w:r>
      <w:r w:rsidRPr="009E464F">
        <w:rPr>
          <w:rFonts w:cs="Times New Roman"/>
          <w:lang w:eastAsia="zh-CN"/>
        </w:rPr>
        <w:t>临床研究设计以及整体研究策略的制定。</w:t>
      </w:r>
    </w:p>
    <w:p w14:paraId="69F6803E" w14:textId="0FD1E03F" w:rsidR="00352EC2" w:rsidRPr="009E464F" w:rsidRDefault="00352EC2" w:rsidP="00CB0133">
      <w:pPr>
        <w:spacing w:after="0"/>
        <w:ind w:firstLine="640"/>
        <w:rPr>
          <w:rFonts w:cs="Times New Roman"/>
          <w:lang w:eastAsia="zh-CN"/>
        </w:rPr>
      </w:pPr>
      <w:r w:rsidRPr="009E464F">
        <w:rPr>
          <w:rFonts w:cs="Times New Roman"/>
          <w:lang w:eastAsia="zh-CN"/>
        </w:rPr>
        <w:t>DDI</w:t>
      </w:r>
      <w:r w:rsidRPr="009E464F">
        <w:rPr>
          <w:rFonts w:cs="Times New Roman"/>
          <w:lang w:eastAsia="zh-CN"/>
        </w:rPr>
        <w:t>临床研究</w:t>
      </w:r>
      <w:r w:rsidRPr="009E464F">
        <w:rPr>
          <w:rFonts w:cs="Times New Roman"/>
          <w:szCs w:val="24"/>
          <w:lang w:eastAsia="zh-CN"/>
        </w:rPr>
        <w:t>是为了确认人体中是否会发生</w:t>
      </w:r>
      <w:r w:rsidRPr="009E464F">
        <w:rPr>
          <w:rFonts w:cs="Times New Roman"/>
          <w:szCs w:val="24"/>
          <w:lang w:eastAsia="zh-CN"/>
        </w:rPr>
        <w:t>DDI</w:t>
      </w:r>
      <w:r w:rsidRPr="009E464F">
        <w:rPr>
          <w:rFonts w:cs="Times New Roman"/>
          <w:szCs w:val="24"/>
          <w:lang w:eastAsia="zh-CN"/>
        </w:rPr>
        <w:t>及</w:t>
      </w:r>
      <w:r w:rsidR="00F44835">
        <w:rPr>
          <w:rFonts w:cs="Times New Roman" w:hint="eastAsia"/>
          <w:szCs w:val="24"/>
          <w:lang w:eastAsia="zh-CN"/>
        </w:rPr>
        <w:t>其</w:t>
      </w:r>
      <w:r w:rsidRPr="009E464F">
        <w:rPr>
          <w:rFonts w:cs="Times New Roman"/>
          <w:szCs w:val="24"/>
          <w:lang w:eastAsia="zh-CN"/>
        </w:rPr>
        <w:t>严重程度。</w:t>
      </w:r>
      <w:r w:rsidRPr="009E464F">
        <w:rPr>
          <w:rFonts w:cs="Times New Roman"/>
          <w:lang w:eastAsia="zh-CN"/>
        </w:rPr>
        <w:t>如果在临床试验中观察到显著的药物相互作用，则应考虑进行进一步考察其与其他药物的</w:t>
      </w:r>
      <w:r w:rsidRPr="009E464F">
        <w:rPr>
          <w:rFonts w:cs="Times New Roman"/>
          <w:lang w:eastAsia="zh-CN"/>
        </w:rPr>
        <w:t>DDI</w:t>
      </w:r>
      <w:r w:rsidRPr="009E464F">
        <w:rPr>
          <w:rFonts w:cs="Times New Roman"/>
          <w:lang w:eastAsia="zh-CN"/>
        </w:rPr>
        <w:t>（如与强抑制剂发生</w:t>
      </w:r>
      <w:r w:rsidRPr="009E464F">
        <w:rPr>
          <w:rFonts w:cs="Times New Roman"/>
          <w:lang w:eastAsia="zh-CN"/>
        </w:rPr>
        <w:t>DDI</w:t>
      </w:r>
      <w:r w:rsidRPr="009E464F">
        <w:rPr>
          <w:rFonts w:cs="Times New Roman"/>
          <w:lang w:eastAsia="zh-CN"/>
        </w:rPr>
        <w:t>，则应进一步考察与中等或弱抑制剂的</w:t>
      </w:r>
      <w:r w:rsidRPr="009E464F">
        <w:rPr>
          <w:rFonts w:cs="Times New Roman"/>
          <w:lang w:eastAsia="zh-CN"/>
        </w:rPr>
        <w:t>DDI</w:t>
      </w:r>
      <w:r w:rsidRPr="009E464F">
        <w:rPr>
          <w:rFonts w:cs="Times New Roman"/>
          <w:lang w:eastAsia="zh-CN"/>
        </w:rPr>
        <w:t>），也可借助已充分验证的数学模型进行考察。如果在</w:t>
      </w:r>
      <w:proofErr w:type="gramStart"/>
      <w:r w:rsidRPr="009E464F">
        <w:rPr>
          <w:rFonts w:cs="Times New Roman"/>
          <w:lang w:eastAsia="zh-CN"/>
        </w:rPr>
        <w:t>研</w:t>
      </w:r>
      <w:proofErr w:type="gramEnd"/>
      <w:r w:rsidRPr="009E464F">
        <w:rPr>
          <w:rFonts w:cs="Times New Roman"/>
          <w:lang w:eastAsia="zh-CN"/>
        </w:rPr>
        <w:t>药物的开发旨在与其他药物合用</w:t>
      </w:r>
      <w:r w:rsidR="00CA3F01">
        <w:rPr>
          <w:rFonts w:cs="Times New Roman" w:hint="eastAsia"/>
          <w:lang w:eastAsia="zh-CN"/>
        </w:rPr>
        <w:t>（</w:t>
      </w:r>
      <w:r w:rsidRPr="009E464F">
        <w:rPr>
          <w:rFonts w:cs="Times New Roman"/>
          <w:lang w:eastAsia="zh-CN"/>
        </w:rPr>
        <w:t>如复方制剂、联合用药</w:t>
      </w:r>
      <w:r w:rsidR="00CA3F01" w:rsidRPr="009E464F">
        <w:rPr>
          <w:rFonts w:cs="Times New Roman"/>
          <w:lang w:eastAsia="zh-CN"/>
        </w:rPr>
        <w:t>等</w:t>
      </w:r>
      <w:r w:rsidR="00CA3F01">
        <w:rPr>
          <w:rFonts w:cs="Times New Roman" w:hint="eastAsia"/>
          <w:lang w:eastAsia="zh-CN"/>
        </w:rPr>
        <w:t>）</w:t>
      </w:r>
      <w:r w:rsidRPr="009E464F">
        <w:rPr>
          <w:rFonts w:cs="Times New Roman"/>
          <w:lang w:eastAsia="zh-CN"/>
        </w:rPr>
        <w:t>，原则上应开展拟合用药物的</w:t>
      </w:r>
      <w:r w:rsidRPr="009E464F">
        <w:rPr>
          <w:rFonts w:cs="Times New Roman"/>
          <w:lang w:eastAsia="zh-CN"/>
        </w:rPr>
        <w:t>DDI</w:t>
      </w:r>
      <w:r w:rsidRPr="009E464F">
        <w:rPr>
          <w:rFonts w:cs="Times New Roman"/>
          <w:lang w:eastAsia="zh-CN"/>
        </w:rPr>
        <w:t>研究。</w:t>
      </w:r>
    </w:p>
    <w:p w14:paraId="30A2CCE6" w14:textId="294FA909" w:rsidR="00352EC2" w:rsidRPr="009E464F" w:rsidRDefault="00352EC2" w:rsidP="00CB0133">
      <w:pPr>
        <w:spacing w:after="0"/>
        <w:ind w:firstLine="640"/>
        <w:rPr>
          <w:rFonts w:cs="Times New Roman"/>
          <w:szCs w:val="24"/>
          <w:lang w:eastAsia="zh-CN"/>
        </w:rPr>
      </w:pPr>
      <w:r w:rsidRPr="009E464F">
        <w:rPr>
          <w:rFonts w:cs="Times New Roman"/>
          <w:lang w:eastAsia="zh-CN"/>
        </w:rPr>
        <w:t>应在患者同时使用在</w:t>
      </w:r>
      <w:proofErr w:type="gramStart"/>
      <w:r w:rsidRPr="009E464F">
        <w:rPr>
          <w:rFonts w:cs="Times New Roman"/>
          <w:lang w:eastAsia="zh-CN"/>
        </w:rPr>
        <w:t>研</w:t>
      </w:r>
      <w:proofErr w:type="gramEnd"/>
      <w:r w:rsidRPr="009E464F">
        <w:rPr>
          <w:rFonts w:cs="Times New Roman"/>
          <w:lang w:eastAsia="zh-CN"/>
        </w:rPr>
        <w:t>药物和可能与之发生相互作用的合并药物之前对潜在的</w:t>
      </w:r>
      <w:r w:rsidRPr="009E464F">
        <w:rPr>
          <w:rFonts w:cs="Times New Roman"/>
          <w:lang w:eastAsia="zh-CN"/>
        </w:rPr>
        <w:t>DDI</w:t>
      </w:r>
      <w:r w:rsidRPr="009E464F">
        <w:rPr>
          <w:rFonts w:cs="Times New Roman"/>
          <w:lang w:eastAsia="zh-CN"/>
        </w:rPr>
        <w:t>进行评价，并依据</w:t>
      </w:r>
      <w:r w:rsidRPr="009E464F">
        <w:rPr>
          <w:rFonts w:cs="Times New Roman"/>
          <w:lang w:eastAsia="zh-CN"/>
        </w:rPr>
        <w:t>DDI</w:t>
      </w:r>
      <w:r w:rsidRPr="009E464F">
        <w:rPr>
          <w:rFonts w:cs="Times New Roman"/>
          <w:lang w:eastAsia="zh-CN"/>
        </w:rPr>
        <w:t>评价结果科学制定患者临床试验的合并用药策略、</w:t>
      </w:r>
      <w:proofErr w:type="gramStart"/>
      <w:r w:rsidRPr="009E464F">
        <w:rPr>
          <w:rFonts w:cs="Times New Roman"/>
          <w:lang w:eastAsia="zh-CN"/>
        </w:rPr>
        <w:t>入排标准</w:t>
      </w:r>
      <w:proofErr w:type="gramEnd"/>
      <w:r w:rsidRPr="009E464F">
        <w:rPr>
          <w:rFonts w:cs="Times New Roman"/>
          <w:lang w:eastAsia="zh-CN"/>
        </w:rPr>
        <w:t>或相应的剂量调整策略，以充分预防患者因合并用药而产生不必要的安全性风险。</w:t>
      </w:r>
      <w:r w:rsidRPr="009E464F">
        <w:rPr>
          <w:rFonts w:cs="Times New Roman"/>
          <w:lang w:eastAsia="zh-CN"/>
        </w:rPr>
        <w:t>DDI</w:t>
      </w:r>
      <w:r w:rsidRPr="009E464F">
        <w:rPr>
          <w:rFonts w:cs="Times New Roman"/>
          <w:lang w:eastAsia="zh-CN"/>
        </w:rPr>
        <w:t>研究不充分，可能会妨碍对在</w:t>
      </w:r>
      <w:proofErr w:type="gramStart"/>
      <w:r w:rsidRPr="009E464F">
        <w:rPr>
          <w:rFonts w:cs="Times New Roman"/>
          <w:lang w:eastAsia="zh-CN"/>
        </w:rPr>
        <w:t>研</w:t>
      </w:r>
      <w:proofErr w:type="gramEnd"/>
      <w:r w:rsidRPr="009E464F">
        <w:rPr>
          <w:rFonts w:cs="Times New Roman"/>
          <w:lang w:eastAsia="zh-CN"/>
        </w:rPr>
        <w:t>药物获益及风险的确定，并可能会导致上市药品说明书中应用范围受限制和</w:t>
      </w:r>
      <w:r w:rsidRPr="009E464F">
        <w:rPr>
          <w:rFonts w:cs="Times New Roman"/>
          <w:lang w:eastAsia="zh-CN"/>
        </w:rPr>
        <w:t>/</w:t>
      </w:r>
      <w:r w:rsidRPr="009E464F">
        <w:rPr>
          <w:rFonts w:cs="Times New Roman"/>
          <w:lang w:eastAsia="zh-CN"/>
        </w:rPr>
        <w:t>或将上市许可推迟到获得充足的</w:t>
      </w:r>
      <w:r w:rsidRPr="009E464F">
        <w:rPr>
          <w:rFonts w:cs="Times New Roman"/>
          <w:lang w:eastAsia="zh-CN"/>
        </w:rPr>
        <w:t>DDI</w:t>
      </w:r>
      <w:r w:rsidRPr="009E464F">
        <w:rPr>
          <w:rFonts w:cs="Times New Roman"/>
          <w:lang w:eastAsia="zh-CN"/>
        </w:rPr>
        <w:t>信息之后。附录</w:t>
      </w:r>
      <w:r w:rsidRPr="009E464F">
        <w:rPr>
          <w:rFonts w:cs="Times New Roman"/>
          <w:lang w:eastAsia="zh-CN"/>
        </w:rPr>
        <w:t>1</w:t>
      </w:r>
      <w:r w:rsidRPr="009E464F">
        <w:rPr>
          <w:rFonts w:cs="Times New Roman"/>
          <w:lang w:eastAsia="zh-CN"/>
        </w:rPr>
        <w:t>中的图</w:t>
      </w:r>
      <w:r w:rsidR="008E2F6D">
        <w:rPr>
          <w:rFonts w:cs="Times New Roman"/>
          <w:lang w:eastAsia="zh-CN"/>
        </w:rPr>
        <w:t>7</w:t>
      </w:r>
      <w:r w:rsidRPr="009E464F">
        <w:rPr>
          <w:rFonts w:cs="Times New Roman"/>
          <w:lang w:eastAsia="zh-CN"/>
        </w:rPr>
        <w:t>和图</w:t>
      </w:r>
      <w:r w:rsidR="008E2F6D">
        <w:rPr>
          <w:rFonts w:cs="Times New Roman"/>
          <w:lang w:eastAsia="zh-CN"/>
        </w:rPr>
        <w:t>8</w:t>
      </w:r>
      <w:r w:rsidRPr="009E464F">
        <w:rPr>
          <w:rFonts w:cs="Times New Roman"/>
          <w:lang w:eastAsia="zh-CN"/>
        </w:rPr>
        <w:t>总结了代谢酶和转运体</w:t>
      </w:r>
      <w:proofErr w:type="gramStart"/>
      <w:r w:rsidRPr="009E464F">
        <w:rPr>
          <w:rFonts w:cs="Times New Roman"/>
          <w:lang w:eastAsia="zh-CN"/>
        </w:rPr>
        <w:t>介</w:t>
      </w:r>
      <w:proofErr w:type="gramEnd"/>
      <w:r w:rsidRPr="009E464F">
        <w:rPr>
          <w:rFonts w:cs="Times New Roman"/>
          <w:lang w:eastAsia="zh-CN"/>
        </w:rPr>
        <w:t>导的</w:t>
      </w:r>
      <w:r w:rsidRPr="009E464F">
        <w:rPr>
          <w:rFonts w:cs="Times New Roman"/>
          <w:lang w:eastAsia="zh-CN"/>
        </w:rPr>
        <w:t>DDI</w:t>
      </w:r>
      <w:r w:rsidRPr="009E464F">
        <w:rPr>
          <w:rFonts w:cs="Times New Roman"/>
          <w:lang w:eastAsia="zh-CN"/>
        </w:rPr>
        <w:t>研究策略树。</w:t>
      </w:r>
    </w:p>
    <w:p w14:paraId="709B6F7D" w14:textId="7757F0E6" w:rsidR="00C268CB" w:rsidRPr="009E464F" w:rsidRDefault="00C268CB" w:rsidP="00CB0133">
      <w:pPr>
        <w:spacing w:after="0"/>
        <w:ind w:firstLine="640"/>
        <w:rPr>
          <w:rFonts w:cs="Times New Roman"/>
          <w:szCs w:val="24"/>
          <w:lang w:eastAsia="zh-CN"/>
        </w:rPr>
      </w:pPr>
      <w:r w:rsidRPr="009E464F">
        <w:rPr>
          <w:rFonts w:cs="Times New Roman"/>
          <w:szCs w:val="24"/>
          <w:lang w:eastAsia="zh-CN"/>
        </w:rPr>
        <w:t>本</w:t>
      </w:r>
      <w:r w:rsidR="00CA3F01">
        <w:rPr>
          <w:rFonts w:cs="Times New Roman" w:hint="eastAsia"/>
          <w:szCs w:val="24"/>
          <w:lang w:eastAsia="zh-CN"/>
        </w:rPr>
        <w:t>指导原则</w:t>
      </w:r>
      <w:r w:rsidRPr="009E464F">
        <w:rPr>
          <w:rFonts w:cs="Times New Roman"/>
          <w:szCs w:val="24"/>
          <w:lang w:eastAsia="zh-CN"/>
        </w:rPr>
        <w:t>主要针对药代动力学</w:t>
      </w:r>
      <w:r w:rsidRPr="009E464F">
        <w:rPr>
          <w:rFonts w:cs="Times New Roman"/>
          <w:szCs w:val="24"/>
          <w:lang w:eastAsia="zh-CN"/>
        </w:rPr>
        <w:t>DDI</w:t>
      </w:r>
      <w:r w:rsidRPr="009E464F">
        <w:rPr>
          <w:rFonts w:cs="Times New Roman"/>
          <w:szCs w:val="24"/>
          <w:lang w:eastAsia="zh-CN"/>
        </w:rPr>
        <w:t>研究提供一般研究方法、常见评价指标和研究结果解读的通用指导</w:t>
      </w:r>
      <w:r w:rsidR="00D7152F" w:rsidRPr="009E464F">
        <w:rPr>
          <w:rFonts w:cs="Times New Roman"/>
          <w:szCs w:val="24"/>
          <w:lang w:eastAsia="zh-CN"/>
        </w:rPr>
        <w:t>。</w:t>
      </w:r>
      <w:r w:rsidRPr="009E464F">
        <w:rPr>
          <w:rFonts w:cs="Times New Roman"/>
          <w:szCs w:val="24"/>
          <w:lang w:eastAsia="zh-CN"/>
        </w:rPr>
        <w:t>也可参考本指南的研究原则</w:t>
      </w:r>
      <w:r w:rsidR="00B06080" w:rsidRPr="009E464F">
        <w:rPr>
          <w:rFonts w:cs="Times New Roman"/>
          <w:szCs w:val="24"/>
          <w:lang w:eastAsia="zh-CN"/>
        </w:rPr>
        <w:t>相应评价</w:t>
      </w:r>
      <w:r w:rsidRPr="009E464F">
        <w:rPr>
          <w:rFonts w:cs="Times New Roman"/>
          <w:szCs w:val="24"/>
          <w:lang w:eastAsia="zh-CN"/>
        </w:rPr>
        <w:t>潜在的药效动力学</w:t>
      </w:r>
      <w:r w:rsidRPr="009E464F">
        <w:rPr>
          <w:rFonts w:cs="Times New Roman"/>
          <w:szCs w:val="24"/>
          <w:lang w:eastAsia="zh-CN"/>
        </w:rPr>
        <w:t>DDI</w:t>
      </w:r>
      <w:r w:rsidRPr="009E464F">
        <w:rPr>
          <w:rFonts w:cs="Times New Roman"/>
          <w:szCs w:val="24"/>
          <w:lang w:eastAsia="zh-CN"/>
        </w:rPr>
        <w:t>。药物相互作用的评价方法会因</w:t>
      </w:r>
      <w:r w:rsidR="001A4A8E" w:rsidRPr="009E464F">
        <w:rPr>
          <w:rFonts w:cs="Times New Roman"/>
          <w:szCs w:val="24"/>
          <w:lang w:eastAsia="zh-CN"/>
        </w:rPr>
        <w:t>在</w:t>
      </w:r>
      <w:proofErr w:type="gramStart"/>
      <w:r w:rsidR="001A4A8E" w:rsidRPr="009E464F">
        <w:rPr>
          <w:rFonts w:cs="Times New Roman"/>
          <w:szCs w:val="24"/>
          <w:lang w:eastAsia="zh-CN"/>
        </w:rPr>
        <w:t>研</w:t>
      </w:r>
      <w:proofErr w:type="gramEnd"/>
      <w:r w:rsidR="001A4A8E" w:rsidRPr="009E464F">
        <w:rPr>
          <w:rFonts w:cs="Times New Roman"/>
          <w:szCs w:val="24"/>
          <w:lang w:eastAsia="zh-CN"/>
        </w:rPr>
        <w:t>药物</w:t>
      </w:r>
      <w:r w:rsidR="001A4A8E" w:rsidRPr="009E464F">
        <w:rPr>
          <w:rFonts w:cs="Times New Roman"/>
          <w:lang w:eastAsia="zh-CN"/>
        </w:rPr>
        <w:t>的特性</w:t>
      </w:r>
      <w:r w:rsidRPr="009E464F">
        <w:rPr>
          <w:rFonts w:cs="Times New Roman"/>
          <w:szCs w:val="24"/>
          <w:lang w:eastAsia="zh-CN"/>
        </w:rPr>
        <w:t>而异。因此，在进行</w:t>
      </w:r>
      <w:r w:rsidRPr="009E464F">
        <w:rPr>
          <w:rFonts w:cs="Times New Roman"/>
          <w:szCs w:val="24"/>
          <w:lang w:eastAsia="zh-CN"/>
        </w:rPr>
        <w:t>DDI</w:t>
      </w:r>
      <w:r w:rsidRPr="009E464F">
        <w:rPr>
          <w:rFonts w:cs="Times New Roman"/>
          <w:szCs w:val="24"/>
          <w:lang w:eastAsia="zh-CN"/>
        </w:rPr>
        <w:lastRenderedPageBreak/>
        <w:t>研究时，有必要根据本指南中描述的原则，按照</w:t>
      </w:r>
      <w:r w:rsidR="009D5C8E" w:rsidRPr="009E464F">
        <w:rPr>
          <w:rFonts w:cs="Times New Roman"/>
          <w:szCs w:val="24"/>
          <w:lang w:eastAsia="zh-CN"/>
        </w:rPr>
        <w:t>在</w:t>
      </w:r>
      <w:proofErr w:type="gramStart"/>
      <w:r w:rsidR="009D5C8E" w:rsidRPr="009E464F">
        <w:rPr>
          <w:rFonts w:cs="Times New Roman"/>
          <w:szCs w:val="24"/>
          <w:lang w:eastAsia="zh-CN"/>
        </w:rPr>
        <w:t>研</w:t>
      </w:r>
      <w:proofErr w:type="gramEnd"/>
      <w:r w:rsidR="009D5C8E" w:rsidRPr="009E464F">
        <w:rPr>
          <w:rFonts w:cs="Times New Roman"/>
          <w:szCs w:val="24"/>
          <w:lang w:eastAsia="zh-CN"/>
        </w:rPr>
        <w:t>药物</w:t>
      </w:r>
      <w:r w:rsidRPr="009E464F">
        <w:rPr>
          <w:rFonts w:cs="Times New Roman"/>
          <w:szCs w:val="24"/>
          <w:lang w:eastAsia="zh-CN"/>
        </w:rPr>
        <w:t>的性质来选择适当的研究方法。必要时，也可以采用</w:t>
      </w:r>
      <w:r w:rsidR="00F31BBA" w:rsidRPr="009E464F">
        <w:rPr>
          <w:rFonts w:cs="Times New Roman"/>
          <w:szCs w:val="24"/>
          <w:lang w:eastAsia="zh-CN"/>
        </w:rPr>
        <w:t>本指南中描述的方法以外的</w:t>
      </w:r>
      <w:r w:rsidRPr="009E464F">
        <w:rPr>
          <w:rFonts w:cs="Times New Roman"/>
          <w:szCs w:val="24"/>
          <w:lang w:eastAsia="zh-CN"/>
        </w:rPr>
        <w:t>研究方法和手段进行</w:t>
      </w:r>
      <w:r w:rsidRPr="009E464F">
        <w:rPr>
          <w:rFonts w:cs="Times New Roman"/>
          <w:szCs w:val="24"/>
          <w:lang w:eastAsia="zh-CN"/>
        </w:rPr>
        <w:t>DDI</w:t>
      </w:r>
      <w:r w:rsidRPr="009E464F">
        <w:rPr>
          <w:rFonts w:cs="Times New Roman"/>
          <w:szCs w:val="24"/>
          <w:lang w:eastAsia="zh-CN"/>
        </w:rPr>
        <w:t>评估，保障临床开发和用药安全。</w:t>
      </w:r>
    </w:p>
    <w:p w14:paraId="161109BF" w14:textId="77777777" w:rsidR="00C268CB" w:rsidRPr="00352EC2" w:rsidRDefault="00C268CB" w:rsidP="00CB0133">
      <w:pPr>
        <w:spacing w:after="0"/>
        <w:ind w:firstLine="640"/>
        <w:rPr>
          <w:rStyle w:val="20"/>
          <w:bCs w:val="0"/>
          <w:szCs w:val="24"/>
        </w:rPr>
      </w:pPr>
      <w:r w:rsidRPr="009E464F">
        <w:rPr>
          <w:rFonts w:cs="Times New Roman"/>
          <w:szCs w:val="24"/>
          <w:lang w:eastAsia="zh-CN"/>
        </w:rPr>
        <w:t>DDI</w:t>
      </w:r>
      <w:r w:rsidRPr="009E464F">
        <w:rPr>
          <w:rFonts w:cs="Times New Roman"/>
          <w:szCs w:val="24"/>
          <w:lang w:eastAsia="zh-CN"/>
        </w:rPr>
        <w:t>的主要研究内容包括但不限于：</w:t>
      </w:r>
      <w:r w:rsidR="009D5C8E" w:rsidRPr="009E464F">
        <w:rPr>
          <w:rFonts w:cs="Times New Roman"/>
          <w:szCs w:val="24"/>
          <w:lang w:eastAsia="zh-CN"/>
        </w:rPr>
        <w:t>在</w:t>
      </w:r>
      <w:proofErr w:type="gramStart"/>
      <w:r w:rsidR="009D5C8E" w:rsidRPr="009E464F">
        <w:rPr>
          <w:rFonts w:cs="Times New Roman"/>
          <w:szCs w:val="24"/>
          <w:lang w:eastAsia="zh-CN"/>
        </w:rPr>
        <w:t>研</w:t>
      </w:r>
      <w:proofErr w:type="gramEnd"/>
      <w:r w:rsidR="009D5C8E" w:rsidRPr="009E464F">
        <w:rPr>
          <w:rFonts w:cs="Times New Roman"/>
          <w:szCs w:val="24"/>
          <w:lang w:eastAsia="zh-CN"/>
        </w:rPr>
        <w:t>药物</w:t>
      </w:r>
      <w:r w:rsidRPr="009E464F">
        <w:rPr>
          <w:rFonts w:cs="Times New Roman"/>
          <w:szCs w:val="24"/>
          <w:lang w:eastAsia="zh-CN"/>
        </w:rPr>
        <w:t>是否可改变其它药物的药代动力学特征；其它药物是否可改变</w:t>
      </w:r>
      <w:r w:rsidR="001A4A8E" w:rsidRPr="009E464F">
        <w:rPr>
          <w:rFonts w:cs="Times New Roman"/>
          <w:szCs w:val="24"/>
          <w:lang w:eastAsia="zh-CN"/>
        </w:rPr>
        <w:t>在</w:t>
      </w:r>
      <w:proofErr w:type="gramStart"/>
      <w:r w:rsidR="001A4A8E" w:rsidRPr="009E464F">
        <w:rPr>
          <w:rFonts w:cs="Times New Roman"/>
          <w:szCs w:val="24"/>
          <w:lang w:eastAsia="zh-CN"/>
        </w:rPr>
        <w:t>研</w:t>
      </w:r>
      <w:proofErr w:type="gramEnd"/>
      <w:r w:rsidR="001A4A8E" w:rsidRPr="009E464F">
        <w:rPr>
          <w:rFonts w:cs="Times New Roman"/>
          <w:szCs w:val="24"/>
          <w:lang w:eastAsia="zh-CN"/>
        </w:rPr>
        <w:t>药物</w:t>
      </w:r>
      <w:r w:rsidRPr="009E464F">
        <w:rPr>
          <w:rFonts w:cs="Times New Roman"/>
          <w:szCs w:val="24"/>
          <w:lang w:eastAsia="zh-CN"/>
        </w:rPr>
        <w:t>的药代动力学特征；评估</w:t>
      </w:r>
      <w:r w:rsidR="001A4A8E" w:rsidRPr="009E464F">
        <w:rPr>
          <w:rFonts w:cs="Times New Roman"/>
          <w:szCs w:val="24"/>
          <w:lang w:eastAsia="zh-CN"/>
        </w:rPr>
        <w:t>在</w:t>
      </w:r>
      <w:proofErr w:type="gramStart"/>
      <w:r w:rsidR="001A4A8E" w:rsidRPr="009E464F">
        <w:rPr>
          <w:rFonts w:cs="Times New Roman"/>
          <w:szCs w:val="24"/>
          <w:lang w:eastAsia="zh-CN"/>
        </w:rPr>
        <w:t>研</w:t>
      </w:r>
      <w:proofErr w:type="gramEnd"/>
      <w:r w:rsidR="001A4A8E" w:rsidRPr="009E464F">
        <w:rPr>
          <w:rFonts w:cs="Times New Roman"/>
          <w:szCs w:val="24"/>
          <w:lang w:eastAsia="zh-CN"/>
        </w:rPr>
        <w:t>药物</w:t>
      </w:r>
      <w:r w:rsidRPr="009E464F">
        <w:rPr>
          <w:rFonts w:cs="Times New Roman"/>
          <w:szCs w:val="24"/>
          <w:lang w:eastAsia="zh-CN"/>
        </w:rPr>
        <w:t>药代动力学参数的变化程度；评估</w:t>
      </w:r>
      <w:r w:rsidR="001A4A8E" w:rsidRPr="009E464F">
        <w:rPr>
          <w:rFonts w:cs="Times New Roman"/>
          <w:szCs w:val="24"/>
          <w:lang w:eastAsia="zh-CN"/>
        </w:rPr>
        <w:t>在</w:t>
      </w:r>
      <w:proofErr w:type="gramStart"/>
      <w:r w:rsidR="001A4A8E" w:rsidRPr="009E464F">
        <w:rPr>
          <w:rFonts w:cs="Times New Roman"/>
          <w:szCs w:val="24"/>
          <w:lang w:eastAsia="zh-CN"/>
        </w:rPr>
        <w:t>研</w:t>
      </w:r>
      <w:proofErr w:type="gramEnd"/>
      <w:r w:rsidR="001A4A8E" w:rsidRPr="009E464F">
        <w:rPr>
          <w:rFonts w:cs="Times New Roman"/>
          <w:szCs w:val="24"/>
          <w:lang w:eastAsia="zh-CN"/>
        </w:rPr>
        <w:t>药物</w:t>
      </w:r>
      <w:proofErr w:type="spellStart"/>
      <w:r w:rsidRPr="009E464F">
        <w:rPr>
          <w:rFonts w:cs="Times New Roman"/>
          <w:szCs w:val="24"/>
          <w:lang w:eastAsia="zh-CN"/>
        </w:rPr>
        <w:t>DDI</w:t>
      </w:r>
      <w:proofErr w:type="spellEnd"/>
      <w:r w:rsidRPr="009E464F">
        <w:rPr>
          <w:rFonts w:cs="Times New Roman"/>
          <w:szCs w:val="24"/>
          <w:lang w:eastAsia="zh-CN"/>
        </w:rPr>
        <w:t>的临床意义；临床严重</w:t>
      </w:r>
      <w:r w:rsidRPr="009E464F">
        <w:rPr>
          <w:rFonts w:cs="Times New Roman"/>
          <w:szCs w:val="24"/>
          <w:lang w:eastAsia="zh-CN"/>
        </w:rPr>
        <w:t>DDI</w:t>
      </w:r>
      <w:r w:rsidRPr="009E464F">
        <w:rPr>
          <w:rFonts w:cs="Times New Roman"/>
          <w:szCs w:val="24"/>
          <w:lang w:eastAsia="zh-CN"/>
        </w:rPr>
        <w:t>的防</w:t>
      </w:r>
      <w:r w:rsidR="009D5C8E" w:rsidRPr="009E464F">
        <w:rPr>
          <w:rFonts w:cs="Times New Roman"/>
          <w:szCs w:val="24"/>
          <w:lang w:eastAsia="zh-CN"/>
        </w:rPr>
        <w:t>控</w:t>
      </w:r>
      <w:r w:rsidRPr="009E464F">
        <w:rPr>
          <w:rFonts w:cs="Times New Roman"/>
          <w:szCs w:val="24"/>
          <w:lang w:eastAsia="zh-CN"/>
        </w:rPr>
        <w:t>策略。</w:t>
      </w:r>
    </w:p>
    <w:p w14:paraId="1E62D1C2" w14:textId="47D185B5" w:rsidR="00446341" w:rsidRPr="00446341" w:rsidRDefault="00446341" w:rsidP="00CB0133">
      <w:pPr>
        <w:spacing w:after="0"/>
        <w:ind w:firstLine="640"/>
        <w:rPr>
          <w:rFonts w:cs="Times New Roman"/>
          <w:szCs w:val="24"/>
          <w:lang w:eastAsia="zh-CN"/>
        </w:rPr>
      </w:pPr>
      <w:r w:rsidRPr="009C17C3">
        <w:rPr>
          <w:rFonts w:cs="Times New Roman" w:hint="eastAsia"/>
          <w:szCs w:val="24"/>
          <w:lang w:eastAsia="zh-CN"/>
        </w:rPr>
        <w:t>本指导原</w:t>
      </w:r>
      <w:r w:rsidR="00E048E3">
        <w:rPr>
          <w:rFonts w:cs="Times New Roman" w:hint="eastAsia"/>
          <w:szCs w:val="24"/>
          <w:lang w:eastAsia="zh-CN"/>
        </w:rPr>
        <w:t>则</w:t>
      </w:r>
      <w:r w:rsidR="00CA3F01" w:rsidRPr="0083505F">
        <w:rPr>
          <w:rFonts w:cs="Times New Roman" w:hint="eastAsia"/>
          <w:szCs w:val="24"/>
          <w:lang w:eastAsia="zh-CN"/>
        </w:rPr>
        <w:t>主要</w:t>
      </w:r>
      <w:r w:rsidRPr="00B67396">
        <w:rPr>
          <w:rFonts w:cs="Times New Roman" w:hint="eastAsia"/>
          <w:szCs w:val="24"/>
          <w:lang w:eastAsia="zh-CN"/>
        </w:rPr>
        <w:t>适用于化学药品</w:t>
      </w:r>
      <w:r w:rsidR="00CA3F01" w:rsidRPr="0083505F">
        <w:rPr>
          <w:rFonts w:cs="Times New Roman" w:hint="eastAsia"/>
          <w:szCs w:val="24"/>
          <w:lang w:eastAsia="zh-CN"/>
        </w:rPr>
        <w:t>，</w:t>
      </w:r>
      <w:r w:rsidRPr="008A14D2">
        <w:rPr>
          <w:rFonts w:cs="Times New Roman" w:hint="eastAsia"/>
          <w:szCs w:val="24"/>
          <w:lang w:eastAsia="zh-CN"/>
        </w:rPr>
        <w:t>生物制品</w:t>
      </w:r>
      <w:r w:rsidR="00CA3F01" w:rsidRPr="008A14D2">
        <w:rPr>
          <w:rFonts w:cs="Times New Roman" w:hint="eastAsia"/>
          <w:szCs w:val="24"/>
          <w:lang w:eastAsia="zh-CN"/>
        </w:rPr>
        <w:t>和</w:t>
      </w:r>
      <w:r w:rsidRPr="008A14D2">
        <w:rPr>
          <w:rFonts w:cs="Times New Roman" w:hint="eastAsia"/>
          <w:szCs w:val="24"/>
          <w:lang w:eastAsia="zh-CN"/>
        </w:rPr>
        <w:t>中药民族药可参照执行。本指导原则仅代表药品监管部门当前的观点和认识，供研发企业参考，不具有强制性的法律约束力</w:t>
      </w:r>
      <w:r w:rsidRPr="009C17C3">
        <w:rPr>
          <w:rFonts w:cs="Times New Roman" w:hint="eastAsia"/>
          <w:szCs w:val="24"/>
          <w:lang w:eastAsia="zh-CN"/>
        </w:rPr>
        <w:t>，随着科学研究的进展，本指导原则中的相关内容将不断完善与更新。</w:t>
      </w:r>
    </w:p>
    <w:p w14:paraId="394ACBFE" w14:textId="35F65081" w:rsidR="00252EEB" w:rsidRPr="00CB0133" w:rsidRDefault="00740D50" w:rsidP="00CF19AD">
      <w:pPr>
        <w:keepNext/>
        <w:keepLines/>
        <w:widowControl w:val="0"/>
        <w:autoSpaceDE w:val="0"/>
        <w:autoSpaceDN w:val="0"/>
        <w:adjustRightInd w:val="0"/>
        <w:spacing w:after="0"/>
        <w:ind w:firstLine="640"/>
        <w:outlineLvl w:val="0"/>
        <w:rPr>
          <w:rFonts w:eastAsia="黑体" w:cs="Times New Roman"/>
          <w:bCs/>
          <w:color w:val="000000"/>
          <w:kern w:val="44"/>
          <w:szCs w:val="32"/>
          <w:lang w:eastAsia="zh-CN"/>
        </w:rPr>
      </w:pPr>
      <w:bookmarkStart w:id="3" w:name="_Toc50395965"/>
      <w:r w:rsidRPr="00CB0133">
        <w:rPr>
          <w:rFonts w:eastAsia="黑体" w:cs="Times New Roman"/>
          <w:bCs/>
          <w:color w:val="000000"/>
          <w:kern w:val="44"/>
          <w:szCs w:val="32"/>
          <w:lang w:eastAsia="zh-CN"/>
        </w:rPr>
        <w:t>二</w:t>
      </w:r>
      <w:r w:rsidR="00A454DE" w:rsidRPr="00CB0133">
        <w:rPr>
          <w:rFonts w:eastAsia="黑体" w:cs="Times New Roman"/>
          <w:bCs/>
          <w:color w:val="000000"/>
          <w:kern w:val="44"/>
          <w:szCs w:val="32"/>
          <w:lang w:eastAsia="zh-CN"/>
        </w:rPr>
        <w:t>、</w:t>
      </w:r>
      <w:r w:rsidRPr="00CB0133">
        <w:rPr>
          <w:rFonts w:eastAsia="黑体" w:cs="Times New Roman"/>
          <w:bCs/>
          <w:color w:val="000000"/>
          <w:kern w:val="44"/>
          <w:szCs w:val="32"/>
          <w:lang w:eastAsia="zh-CN"/>
        </w:rPr>
        <w:t>药物相互作用</w:t>
      </w:r>
      <w:r w:rsidR="0011218F" w:rsidRPr="00CB0133">
        <w:rPr>
          <w:rFonts w:eastAsia="黑体" w:cs="Times New Roman"/>
          <w:bCs/>
          <w:color w:val="000000"/>
          <w:kern w:val="44"/>
          <w:szCs w:val="32"/>
          <w:lang w:eastAsia="zh-CN"/>
        </w:rPr>
        <w:t>体外</w:t>
      </w:r>
      <w:r w:rsidR="00DD7C30" w:rsidRPr="00CB0133">
        <w:rPr>
          <w:rFonts w:eastAsia="黑体" w:cs="Times New Roman"/>
          <w:bCs/>
          <w:color w:val="000000"/>
          <w:kern w:val="44"/>
          <w:szCs w:val="32"/>
          <w:lang w:eastAsia="zh-CN"/>
        </w:rPr>
        <w:t>评估</w:t>
      </w:r>
      <w:bookmarkEnd w:id="3"/>
    </w:p>
    <w:p w14:paraId="0580A346" w14:textId="45C34B9D" w:rsidR="00400864" w:rsidRPr="00CB0133" w:rsidRDefault="00A454DE" w:rsidP="00CF19AD">
      <w:pPr>
        <w:widowControl w:val="0"/>
        <w:autoSpaceDE w:val="0"/>
        <w:autoSpaceDN w:val="0"/>
        <w:adjustRightInd w:val="0"/>
        <w:spacing w:after="0"/>
        <w:ind w:firstLine="640"/>
        <w:rPr>
          <w:rFonts w:eastAsia="楷体" w:cs="Times New Roman"/>
          <w:color w:val="000000"/>
          <w:szCs w:val="32"/>
          <w:lang w:eastAsia="zh-CN"/>
        </w:rPr>
      </w:pPr>
      <w:bookmarkStart w:id="4" w:name="_Toc50395966"/>
      <w:r w:rsidRPr="00CB0133">
        <w:rPr>
          <w:rFonts w:eastAsia="楷体" w:cs="Times New Roman"/>
          <w:color w:val="000000"/>
          <w:szCs w:val="32"/>
          <w:lang w:eastAsia="zh-CN"/>
        </w:rPr>
        <w:t>（一）研究的主要内容</w:t>
      </w:r>
      <w:bookmarkEnd w:id="4"/>
    </w:p>
    <w:p w14:paraId="3304594C" w14:textId="319859ED" w:rsidR="00EE55B8" w:rsidRDefault="00EE55B8" w:rsidP="00CF19AD">
      <w:pPr>
        <w:spacing w:after="0"/>
        <w:ind w:firstLineChars="221" w:firstLine="707"/>
        <w:rPr>
          <w:rFonts w:cs="Times New Roman"/>
          <w:szCs w:val="32"/>
          <w:lang w:eastAsia="zh-CN"/>
        </w:rPr>
      </w:pPr>
      <w:r>
        <w:rPr>
          <w:rFonts w:cs="Times New Roman" w:hint="eastAsia"/>
          <w:szCs w:val="32"/>
          <w:lang w:eastAsia="zh-CN"/>
        </w:rPr>
        <w:t>DDI</w:t>
      </w:r>
      <w:r w:rsidRPr="009E464F">
        <w:rPr>
          <w:rFonts w:cs="Times New Roman"/>
          <w:szCs w:val="32"/>
          <w:lang w:eastAsia="zh-CN"/>
        </w:rPr>
        <w:t>评估通常从体外试验开始，确定可能影响药物处置的因素以阐明潜在的</w:t>
      </w:r>
      <w:r w:rsidRPr="009E464F">
        <w:rPr>
          <w:rFonts w:cs="Times New Roman"/>
          <w:szCs w:val="32"/>
          <w:lang w:eastAsia="zh-CN"/>
        </w:rPr>
        <w:t>DDI</w:t>
      </w:r>
      <w:r w:rsidRPr="009E464F">
        <w:rPr>
          <w:rFonts w:cs="Times New Roman"/>
          <w:szCs w:val="32"/>
          <w:lang w:eastAsia="zh-CN"/>
        </w:rPr>
        <w:t>机制，并</w:t>
      </w:r>
      <w:r>
        <w:rPr>
          <w:rFonts w:cs="Times New Roman" w:hint="eastAsia"/>
          <w:szCs w:val="32"/>
          <w:lang w:eastAsia="zh-CN"/>
        </w:rPr>
        <w:t>获得</w:t>
      </w:r>
      <w:r w:rsidRPr="009E464F">
        <w:rPr>
          <w:rFonts w:cs="Times New Roman"/>
          <w:szCs w:val="32"/>
          <w:lang w:eastAsia="zh-CN"/>
        </w:rPr>
        <w:t>用于进一步研究的动力学参数</w:t>
      </w:r>
      <w:r>
        <w:rPr>
          <w:rFonts w:cs="Times New Roman" w:hint="eastAsia"/>
          <w:szCs w:val="32"/>
          <w:lang w:eastAsia="zh-CN"/>
        </w:rPr>
        <w:t>，其主要内容包括：</w:t>
      </w:r>
      <w:r w:rsidR="00C669BE" w:rsidRPr="009E464F">
        <w:rPr>
          <w:rFonts w:cs="Times New Roman"/>
          <w:szCs w:val="32"/>
          <w:lang w:eastAsia="zh-CN"/>
        </w:rPr>
        <w:t>（</w:t>
      </w:r>
      <w:r w:rsidR="00C669BE" w:rsidRPr="009E464F">
        <w:rPr>
          <w:rFonts w:cs="Times New Roman"/>
          <w:szCs w:val="32"/>
          <w:lang w:eastAsia="zh-CN"/>
        </w:rPr>
        <w:t>1</w:t>
      </w:r>
      <w:r w:rsidR="00C669BE" w:rsidRPr="009E464F">
        <w:rPr>
          <w:rFonts w:cs="Times New Roman"/>
          <w:szCs w:val="32"/>
          <w:lang w:eastAsia="zh-CN"/>
        </w:rPr>
        <w:t>）确定药物</w:t>
      </w:r>
      <w:r w:rsidR="00CF6390" w:rsidRPr="009E464F">
        <w:rPr>
          <w:rFonts w:cs="Times New Roman"/>
          <w:szCs w:val="32"/>
          <w:lang w:eastAsia="zh-CN"/>
        </w:rPr>
        <w:t>的</w:t>
      </w:r>
      <w:r w:rsidR="00C669BE" w:rsidRPr="009E464F">
        <w:rPr>
          <w:rFonts w:cs="Times New Roman"/>
          <w:szCs w:val="32"/>
          <w:lang w:eastAsia="zh-CN"/>
        </w:rPr>
        <w:t>主要消除途径；（</w:t>
      </w:r>
      <w:r w:rsidR="00C669BE" w:rsidRPr="009E464F">
        <w:rPr>
          <w:rFonts w:cs="Times New Roman"/>
          <w:szCs w:val="32"/>
          <w:lang w:eastAsia="zh-CN"/>
        </w:rPr>
        <w:t>2</w:t>
      </w:r>
      <w:r w:rsidR="00C669BE" w:rsidRPr="009E464F">
        <w:rPr>
          <w:rFonts w:cs="Times New Roman"/>
          <w:szCs w:val="32"/>
          <w:lang w:eastAsia="zh-CN"/>
        </w:rPr>
        <w:t>）评估相关代谢酶和转运体对原药处置的贡献；（</w:t>
      </w:r>
      <w:r w:rsidR="00C669BE" w:rsidRPr="009E464F">
        <w:rPr>
          <w:rFonts w:cs="Times New Roman"/>
          <w:szCs w:val="32"/>
          <w:lang w:eastAsia="zh-CN"/>
        </w:rPr>
        <w:t>3</w:t>
      </w:r>
      <w:r w:rsidR="00C669BE" w:rsidRPr="009E464F">
        <w:rPr>
          <w:rFonts w:cs="Times New Roman"/>
          <w:szCs w:val="32"/>
          <w:lang w:eastAsia="zh-CN"/>
        </w:rPr>
        <w:t>）</w:t>
      </w:r>
      <w:r w:rsidR="00482AD7" w:rsidRPr="009E464F">
        <w:rPr>
          <w:rFonts w:cs="Times New Roman"/>
          <w:szCs w:val="32"/>
          <w:lang w:eastAsia="zh-CN"/>
        </w:rPr>
        <w:t>考察</w:t>
      </w:r>
      <w:r w:rsidR="00C669BE" w:rsidRPr="009E464F">
        <w:rPr>
          <w:rFonts w:cs="Times New Roman"/>
          <w:szCs w:val="32"/>
          <w:lang w:eastAsia="zh-CN"/>
        </w:rPr>
        <w:t>药物对代谢酶和转运体的影响。</w:t>
      </w:r>
    </w:p>
    <w:p w14:paraId="48E27A2C" w14:textId="2508B723" w:rsidR="00C669BE" w:rsidRPr="009E464F" w:rsidRDefault="00FA5263" w:rsidP="00CB0133">
      <w:pPr>
        <w:spacing w:after="0"/>
        <w:ind w:firstLineChars="221" w:firstLine="707"/>
        <w:rPr>
          <w:rFonts w:cs="Times New Roman"/>
          <w:szCs w:val="32"/>
          <w:lang w:eastAsia="zh-CN"/>
        </w:rPr>
      </w:pPr>
      <w:r w:rsidRPr="009E464F">
        <w:rPr>
          <w:rFonts w:cs="Times New Roman"/>
          <w:szCs w:val="32"/>
          <w:lang w:eastAsia="zh-CN"/>
        </w:rPr>
        <w:t>体外试验结果</w:t>
      </w:r>
      <w:r w:rsidR="00EE7B54" w:rsidRPr="009E464F">
        <w:rPr>
          <w:rFonts w:cs="Times New Roman"/>
          <w:szCs w:val="32"/>
          <w:lang w:eastAsia="zh-CN"/>
        </w:rPr>
        <w:t>提供作用机制信息</w:t>
      </w:r>
      <w:r w:rsidR="00C669BE" w:rsidRPr="009E464F">
        <w:rPr>
          <w:rFonts w:cs="Times New Roman"/>
          <w:szCs w:val="32"/>
          <w:lang w:eastAsia="zh-CN"/>
        </w:rPr>
        <w:t>，结合临床</w:t>
      </w:r>
      <w:r w:rsidR="00C669BE" w:rsidRPr="009E464F">
        <w:rPr>
          <w:rFonts w:cs="Times New Roman"/>
          <w:szCs w:val="32"/>
          <w:lang w:eastAsia="zh-CN"/>
        </w:rPr>
        <w:t>PK</w:t>
      </w:r>
      <w:r w:rsidR="00C669BE" w:rsidRPr="009E464F">
        <w:rPr>
          <w:rFonts w:cs="Times New Roman"/>
          <w:szCs w:val="32"/>
          <w:lang w:eastAsia="zh-CN"/>
        </w:rPr>
        <w:t>，</w:t>
      </w:r>
      <w:r w:rsidR="00EE55B8">
        <w:rPr>
          <w:rFonts w:cs="Times New Roman" w:hint="eastAsia"/>
          <w:szCs w:val="32"/>
          <w:lang w:eastAsia="zh-CN"/>
        </w:rPr>
        <w:t>有助于</w:t>
      </w:r>
      <w:r w:rsidR="004F147F" w:rsidRPr="009E464F">
        <w:rPr>
          <w:rFonts w:cs="Times New Roman"/>
          <w:szCs w:val="32"/>
          <w:lang w:eastAsia="zh-CN"/>
        </w:rPr>
        <w:t>决策是否有必要开展</w:t>
      </w:r>
      <w:r w:rsidR="00EE55B8">
        <w:rPr>
          <w:rFonts w:cs="Times New Roman" w:hint="eastAsia"/>
          <w:szCs w:val="32"/>
          <w:lang w:eastAsia="zh-CN"/>
        </w:rPr>
        <w:t>及如何</w:t>
      </w:r>
      <w:r w:rsidR="00F44835">
        <w:rPr>
          <w:rFonts w:cs="Times New Roman" w:hint="eastAsia"/>
          <w:szCs w:val="32"/>
          <w:lang w:eastAsia="zh-CN"/>
        </w:rPr>
        <w:t>进行</w:t>
      </w:r>
      <w:r w:rsidR="00C669BE" w:rsidRPr="009E464F">
        <w:rPr>
          <w:rFonts w:cs="Times New Roman"/>
          <w:szCs w:val="32"/>
          <w:lang w:eastAsia="zh-CN"/>
        </w:rPr>
        <w:t>临床</w:t>
      </w:r>
      <w:r w:rsidR="00257ABD">
        <w:rPr>
          <w:rFonts w:cs="Times New Roman" w:hint="eastAsia"/>
          <w:szCs w:val="32"/>
          <w:lang w:eastAsia="zh-CN"/>
        </w:rPr>
        <w:t>DDI</w:t>
      </w:r>
      <w:r w:rsidR="00C669BE" w:rsidRPr="009E464F">
        <w:rPr>
          <w:rFonts w:cs="Times New Roman"/>
          <w:szCs w:val="32"/>
          <w:lang w:eastAsia="zh-CN"/>
        </w:rPr>
        <w:t>研究</w:t>
      </w:r>
      <w:r w:rsidR="00F44835">
        <w:rPr>
          <w:rFonts w:cs="Times New Roman" w:hint="eastAsia"/>
          <w:szCs w:val="32"/>
          <w:lang w:eastAsia="zh-CN"/>
        </w:rPr>
        <w:t>设计</w:t>
      </w:r>
      <w:r w:rsidR="00C669BE" w:rsidRPr="009E464F">
        <w:rPr>
          <w:rFonts w:cs="Times New Roman"/>
          <w:szCs w:val="32"/>
          <w:lang w:eastAsia="zh-CN"/>
        </w:rPr>
        <w:t>。</w:t>
      </w:r>
      <w:r w:rsidR="00257ABD" w:rsidRPr="009E464F">
        <w:rPr>
          <w:rFonts w:cs="Times New Roman"/>
          <w:szCs w:val="32"/>
          <w:lang w:eastAsia="zh-CN"/>
        </w:rPr>
        <w:t>可基于</w:t>
      </w:r>
      <w:r w:rsidR="00257ABD" w:rsidRPr="009E464F">
        <w:rPr>
          <w:rFonts w:cs="Times New Roman"/>
          <w:szCs w:val="32"/>
          <w:lang w:eastAsia="zh-CN"/>
        </w:rPr>
        <w:lastRenderedPageBreak/>
        <w:t>体外试验结果和临床</w:t>
      </w:r>
      <w:r w:rsidR="00257ABD" w:rsidRPr="009E464F">
        <w:rPr>
          <w:rFonts w:cs="Times New Roman"/>
          <w:szCs w:val="32"/>
          <w:lang w:eastAsia="zh-CN"/>
        </w:rPr>
        <w:t>PK</w:t>
      </w:r>
      <w:r w:rsidR="00257ABD" w:rsidRPr="009E464F">
        <w:rPr>
          <w:rFonts w:cs="Times New Roman"/>
          <w:szCs w:val="32"/>
          <w:lang w:eastAsia="zh-CN"/>
        </w:rPr>
        <w:t>数据</w:t>
      </w:r>
      <w:r w:rsidR="003722D8" w:rsidRPr="009E464F">
        <w:rPr>
          <w:rFonts w:cs="Times New Roman"/>
          <w:szCs w:val="32"/>
          <w:lang w:eastAsia="zh-CN"/>
        </w:rPr>
        <w:t>采用</w:t>
      </w:r>
      <w:r w:rsidRPr="009E464F">
        <w:rPr>
          <w:rFonts w:cs="Times New Roman"/>
          <w:szCs w:val="32"/>
          <w:lang w:eastAsia="zh-CN"/>
        </w:rPr>
        <w:t>数学模型</w:t>
      </w:r>
      <w:r w:rsidR="00C669BE" w:rsidRPr="009E464F">
        <w:rPr>
          <w:rFonts w:cs="Times New Roman"/>
          <w:szCs w:val="32"/>
          <w:lang w:eastAsia="zh-CN"/>
        </w:rPr>
        <w:t>法预测潜在</w:t>
      </w:r>
      <w:r w:rsidR="004F147F" w:rsidRPr="009E464F">
        <w:rPr>
          <w:rFonts w:cs="Times New Roman"/>
          <w:szCs w:val="32"/>
          <w:lang w:eastAsia="zh-CN"/>
        </w:rPr>
        <w:t>的</w:t>
      </w:r>
      <w:r w:rsidR="00C669BE" w:rsidRPr="009E464F">
        <w:rPr>
          <w:rFonts w:cs="Times New Roman"/>
          <w:szCs w:val="32"/>
          <w:lang w:eastAsia="zh-CN"/>
        </w:rPr>
        <w:t>临床</w:t>
      </w:r>
      <w:r w:rsidR="00C669BE" w:rsidRPr="009E464F">
        <w:rPr>
          <w:rFonts w:cs="Times New Roman"/>
          <w:szCs w:val="32"/>
          <w:lang w:eastAsia="zh-CN"/>
        </w:rPr>
        <w:t>DDI</w:t>
      </w:r>
      <w:r w:rsidR="00C669BE" w:rsidRPr="009E464F">
        <w:rPr>
          <w:rFonts w:cs="Times New Roman"/>
          <w:szCs w:val="32"/>
          <w:lang w:eastAsia="zh-CN"/>
        </w:rPr>
        <w:t>。</w:t>
      </w:r>
      <w:r w:rsidR="00C669BE" w:rsidRPr="009E464F">
        <w:rPr>
          <w:rFonts w:cs="Times New Roman"/>
          <w:szCs w:val="32"/>
          <w:lang w:eastAsia="zh-CN"/>
        </w:rPr>
        <w:t>DDI</w:t>
      </w:r>
      <w:r w:rsidR="00F44835">
        <w:rPr>
          <w:rFonts w:cs="Times New Roman" w:hint="eastAsia"/>
          <w:szCs w:val="32"/>
          <w:lang w:eastAsia="zh-CN"/>
        </w:rPr>
        <w:t>的</w:t>
      </w:r>
      <w:r w:rsidR="00C669BE" w:rsidRPr="009E464F">
        <w:rPr>
          <w:rFonts w:cs="Times New Roman"/>
          <w:szCs w:val="32"/>
          <w:lang w:eastAsia="zh-CN"/>
        </w:rPr>
        <w:t>预测模型包括基础模型、静态机制模型和动态</w:t>
      </w:r>
      <w:r w:rsidR="006951F2" w:rsidRPr="009E464F">
        <w:rPr>
          <w:rFonts w:cs="Times New Roman"/>
          <w:szCs w:val="32"/>
          <w:lang w:eastAsia="zh-CN"/>
        </w:rPr>
        <w:t>机制模型（如</w:t>
      </w:r>
      <w:r w:rsidR="00591791" w:rsidRPr="009E464F">
        <w:rPr>
          <w:rFonts w:cs="Times New Roman"/>
          <w:szCs w:val="32"/>
          <w:lang w:eastAsia="zh-CN"/>
        </w:rPr>
        <w:t>PBPK</w:t>
      </w:r>
      <w:r w:rsidR="00591791" w:rsidRPr="009E464F">
        <w:rPr>
          <w:rFonts w:cs="Times New Roman"/>
          <w:szCs w:val="32"/>
          <w:lang w:eastAsia="zh-CN"/>
        </w:rPr>
        <w:t>模型</w:t>
      </w:r>
      <w:r w:rsidR="00591791" w:rsidRPr="009E464F">
        <w:rPr>
          <w:rFonts w:cs="Times New Roman"/>
          <w:szCs w:val="32"/>
          <w:lang w:eastAsia="zh-CN"/>
        </w:rPr>
        <w:t xml:space="preserve"> </w:t>
      </w:r>
      <w:r w:rsidR="00347BCE" w:rsidRPr="009E464F">
        <w:rPr>
          <w:rFonts w:cs="Times New Roman"/>
          <w:lang w:eastAsia="zh-CN"/>
        </w:rPr>
        <w:t>Physiologically-based pharmacokinetic modeling</w:t>
      </w:r>
      <w:r w:rsidR="006951F2" w:rsidRPr="009E464F">
        <w:rPr>
          <w:rFonts w:cs="Times New Roman"/>
          <w:szCs w:val="32"/>
          <w:lang w:eastAsia="zh-CN"/>
        </w:rPr>
        <w:t>）</w:t>
      </w:r>
      <w:r w:rsidR="001C7F91" w:rsidRPr="009E464F">
        <w:rPr>
          <w:rFonts w:cs="Times New Roman"/>
          <w:szCs w:val="32"/>
          <w:lang w:eastAsia="zh-CN"/>
        </w:rPr>
        <w:t>。</w:t>
      </w:r>
      <w:r w:rsidR="00A569A8" w:rsidRPr="009E464F">
        <w:rPr>
          <w:rFonts w:cs="Times New Roman"/>
          <w:szCs w:val="32"/>
          <w:lang w:eastAsia="zh-CN"/>
        </w:rPr>
        <w:t>申请人</w:t>
      </w:r>
      <w:r w:rsidR="00C669BE" w:rsidRPr="009E464F">
        <w:rPr>
          <w:rFonts w:cs="Times New Roman"/>
          <w:szCs w:val="32"/>
          <w:lang w:eastAsia="zh-CN"/>
        </w:rPr>
        <w:t>可根据附录</w:t>
      </w:r>
      <w:r w:rsidR="002E543F" w:rsidRPr="009E464F">
        <w:rPr>
          <w:rFonts w:cs="Times New Roman"/>
          <w:szCs w:val="32"/>
          <w:lang w:eastAsia="zh-CN"/>
        </w:rPr>
        <w:t>2</w:t>
      </w:r>
      <w:r w:rsidR="00C669BE" w:rsidRPr="009E464F">
        <w:rPr>
          <w:rFonts w:cs="Times New Roman"/>
          <w:szCs w:val="32"/>
          <w:lang w:eastAsia="zh-CN"/>
        </w:rPr>
        <w:t>选择并试用这些模型，决定何时以及如何进行</w:t>
      </w:r>
      <w:r w:rsidR="0015419B" w:rsidRPr="009E464F">
        <w:rPr>
          <w:rFonts w:cs="Times New Roman"/>
          <w:szCs w:val="32"/>
          <w:lang w:eastAsia="zh-CN"/>
        </w:rPr>
        <w:t>临床</w:t>
      </w:r>
      <w:r w:rsidR="00257ABD" w:rsidRPr="009E464F">
        <w:rPr>
          <w:rFonts w:cs="Times New Roman"/>
          <w:szCs w:val="32"/>
          <w:lang w:eastAsia="zh-CN"/>
        </w:rPr>
        <w:t>DDI</w:t>
      </w:r>
      <w:r w:rsidR="0015419B" w:rsidRPr="009E464F">
        <w:rPr>
          <w:rFonts w:cs="Times New Roman"/>
          <w:szCs w:val="32"/>
          <w:lang w:eastAsia="zh-CN"/>
        </w:rPr>
        <w:t>研究</w:t>
      </w:r>
      <w:r w:rsidR="00C669BE" w:rsidRPr="009E464F">
        <w:rPr>
          <w:rFonts w:cs="Times New Roman"/>
          <w:szCs w:val="32"/>
          <w:lang w:eastAsia="zh-CN"/>
        </w:rPr>
        <w:t>。</w:t>
      </w:r>
    </w:p>
    <w:p w14:paraId="3375C15A" w14:textId="51601C83" w:rsidR="00400864" w:rsidRPr="00CB0133" w:rsidRDefault="00A454DE" w:rsidP="00CB0133">
      <w:pPr>
        <w:widowControl w:val="0"/>
        <w:autoSpaceDE w:val="0"/>
        <w:autoSpaceDN w:val="0"/>
        <w:adjustRightInd w:val="0"/>
        <w:spacing w:after="0"/>
        <w:ind w:firstLine="640"/>
        <w:rPr>
          <w:rFonts w:eastAsia="楷体" w:cs="Times New Roman"/>
          <w:color w:val="000000"/>
          <w:szCs w:val="32"/>
          <w:lang w:eastAsia="zh-CN"/>
        </w:rPr>
      </w:pPr>
      <w:bookmarkStart w:id="5" w:name="_Toc50395967"/>
      <w:r w:rsidRPr="00CB0133">
        <w:rPr>
          <w:rFonts w:eastAsia="楷体" w:cs="Times New Roman"/>
          <w:color w:val="000000"/>
          <w:szCs w:val="32"/>
          <w:lang w:eastAsia="zh-CN"/>
        </w:rPr>
        <w:t>（二）</w:t>
      </w:r>
      <w:r w:rsidR="00400864" w:rsidRPr="00CB0133">
        <w:rPr>
          <w:rFonts w:eastAsia="楷体" w:cs="Times New Roman"/>
          <w:color w:val="000000"/>
          <w:szCs w:val="32"/>
          <w:lang w:eastAsia="zh-CN"/>
        </w:rPr>
        <w:t>代谢酶</w:t>
      </w:r>
      <w:proofErr w:type="gramStart"/>
      <w:r w:rsidR="00400864" w:rsidRPr="00CB0133">
        <w:rPr>
          <w:rFonts w:eastAsia="楷体" w:cs="Times New Roman"/>
          <w:color w:val="000000"/>
          <w:szCs w:val="32"/>
          <w:lang w:eastAsia="zh-CN"/>
        </w:rPr>
        <w:t>介</w:t>
      </w:r>
      <w:proofErr w:type="gramEnd"/>
      <w:r w:rsidR="00400864" w:rsidRPr="00CB0133">
        <w:rPr>
          <w:rFonts w:eastAsia="楷体" w:cs="Times New Roman"/>
          <w:color w:val="000000"/>
          <w:szCs w:val="32"/>
          <w:lang w:eastAsia="zh-CN"/>
        </w:rPr>
        <w:t>导的药物相互作用</w:t>
      </w:r>
      <w:bookmarkEnd w:id="5"/>
    </w:p>
    <w:p w14:paraId="47876B98" w14:textId="5E48A46B" w:rsidR="00400864" w:rsidRPr="009E464F" w:rsidRDefault="00257ABD" w:rsidP="00CB0133">
      <w:pPr>
        <w:spacing w:after="0"/>
        <w:ind w:firstLine="640"/>
        <w:rPr>
          <w:rFonts w:cs="Times New Roman"/>
          <w:lang w:eastAsia="zh-CN"/>
        </w:rPr>
      </w:pPr>
      <w:r>
        <w:rPr>
          <w:rFonts w:cs="Times New Roman" w:hint="eastAsia"/>
          <w:lang w:eastAsia="zh-CN"/>
        </w:rPr>
        <w:t>药物</w:t>
      </w:r>
      <w:r w:rsidR="00400864" w:rsidRPr="009E464F">
        <w:rPr>
          <w:rFonts w:cs="Times New Roman"/>
          <w:lang w:eastAsia="zh-CN"/>
        </w:rPr>
        <w:t>代谢主要发生在肝脏和肠道。</w:t>
      </w:r>
      <w:r>
        <w:rPr>
          <w:rFonts w:cs="Times New Roman" w:hint="eastAsia"/>
          <w:lang w:eastAsia="zh-CN"/>
        </w:rPr>
        <w:t>其中</w:t>
      </w:r>
      <w:r w:rsidR="00400864" w:rsidRPr="009E464F">
        <w:rPr>
          <w:rFonts w:cs="Times New Roman"/>
          <w:lang w:eastAsia="zh-CN"/>
        </w:rPr>
        <w:t>肝脏代谢主要由位于肝细胞</w:t>
      </w:r>
      <w:r w:rsidR="00F3248C" w:rsidRPr="009E464F">
        <w:rPr>
          <w:rFonts w:cs="Times New Roman"/>
          <w:lang w:eastAsia="zh-CN"/>
        </w:rPr>
        <w:t>粗面</w:t>
      </w:r>
      <w:r w:rsidR="00400864" w:rsidRPr="009E464F">
        <w:rPr>
          <w:rFonts w:cs="Times New Roman"/>
          <w:lang w:eastAsia="zh-CN"/>
        </w:rPr>
        <w:t>内质网的细胞色素</w:t>
      </w:r>
      <w:r w:rsidR="00400864" w:rsidRPr="009E464F">
        <w:rPr>
          <w:rFonts w:cs="Times New Roman"/>
          <w:lang w:eastAsia="zh-CN"/>
        </w:rPr>
        <w:t>P450</w:t>
      </w:r>
      <w:r w:rsidR="00400864" w:rsidRPr="009E464F">
        <w:rPr>
          <w:rFonts w:cs="Times New Roman"/>
          <w:lang w:eastAsia="zh-CN"/>
        </w:rPr>
        <w:t>（</w:t>
      </w:r>
      <w:r w:rsidR="00F423FE" w:rsidRPr="009E464F">
        <w:rPr>
          <w:rFonts w:cs="Times New Roman"/>
          <w:lang w:eastAsia="zh-CN"/>
        </w:rPr>
        <w:t xml:space="preserve">Cytochrome </w:t>
      </w:r>
      <w:r w:rsidR="00400864" w:rsidRPr="009E464F">
        <w:rPr>
          <w:rFonts w:cs="Times New Roman"/>
          <w:lang w:eastAsia="zh-CN"/>
        </w:rPr>
        <w:t>P450</w:t>
      </w:r>
      <w:r w:rsidR="00400864" w:rsidRPr="009E464F">
        <w:rPr>
          <w:rFonts w:cs="Times New Roman"/>
          <w:lang w:eastAsia="zh-CN"/>
        </w:rPr>
        <w:t>，</w:t>
      </w:r>
      <w:r w:rsidR="00400864" w:rsidRPr="009E464F">
        <w:rPr>
          <w:rFonts w:cs="Times New Roman"/>
          <w:lang w:eastAsia="zh-CN"/>
        </w:rPr>
        <w:t>CYP</w:t>
      </w:r>
      <w:r w:rsidR="00400864" w:rsidRPr="009E464F">
        <w:rPr>
          <w:rFonts w:cs="Times New Roman"/>
          <w:lang w:eastAsia="zh-CN"/>
        </w:rPr>
        <w:t>）酶系催化，也可通过非</w:t>
      </w:r>
      <w:r w:rsidR="00400864" w:rsidRPr="009E464F">
        <w:rPr>
          <w:rFonts w:cs="Times New Roman"/>
          <w:lang w:eastAsia="zh-CN"/>
        </w:rPr>
        <w:t>CYP</w:t>
      </w:r>
      <w:r w:rsidR="00400864" w:rsidRPr="009E464F">
        <w:rPr>
          <w:rFonts w:cs="Times New Roman"/>
          <w:lang w:eastAsia="zh-CN"/>
        </w:rPr>
        <w:t>酶催化，如</w:t>
      </w:r>
      <w:proofErr w:type="gramStart"/>
      <w:r w:rsidR="00354FDE" w:rsidRPr="009E464F">
        <w:rPr>
          <w:rFonts w:cs="Times New Roman"/>
          <w:lang w:eastAsia="zh-CN"/>
        </w:rPr>
        <w:t>胞浆酶或</w:t>
      </w:r>
      <w:proofErr w:type="gramEnd"/>
      <w:r w:rsidR="00400864" w:rsidRPr="009E464F">
        <w:rPr>
          <w:rFonts w:cs="Times New Roman"/>
          <w:lang w:eastAsia="zh-CN"/>
        </w:rPr>
        <w:t>II</w:t>
      </w:r>
      <w:r w:rsidR="00400864" w:rsidRPr="009E464F">
        <w:rPr>
          <w:rFonts w:cs="Times New Roman"/>
          <w:lang w:eastAsia="zh-CN"/>
        </w:rPr>
        <w:t>相代谢酶。</w:t>
      </w:r>
      <w:r w:rsidR="00B23D5C">
        <w:rPr>
          <w:rFonts w:cs="Times New Roman" w:hint="eastAsia"/>
          <w:lang w:eastAsia="zh-CN"/>
        </w:rPr>
        <w:t>申请人</w:t>
      </w:r>
      <w:r w:rsidR="00400864" w:rsidRPr="009E464F">
        <w:rPr>
          <w:rFonts w:cs="Times New Roman"/>
          <w:lang w:eastAsia="zh-CN"/>
        </w:rPr>
        <w:t>应在首次人体</w:t>
      </w:r>
      <w:r w:rsidR="000E5DAF" w:rsidRPr="009E464F">
        <w:rPr>
          <w:rFonts w:cs="Times New Roman"/>
          <w:lang w:eastAsia="zh-CN"/>
        </w:rPr>
        <w:t>试验</w:t>
      </w:r>
      <w:r w:rsidR="00400864" w:rsidRPr="009E464F">
        <w:rPr>
          <w:rFonts w:cs="Times New Roman"/>
          <w:lang w:eastAsia="zh-CN"/>
        </w:rPr>
        <w:t>之前开展体外代谢研究，鉴定主要代谢产物，为临床前安全性数据外推到人体提供必要的信息，并</w:t>
      </w:r>
      <w:r w:rsidR="004570BE" w:rsidRPr="009E464F">
        <w:rPr>
          <w:rFonts w:cs="Times New Roman"/>
          <w:lang w:eastAsia="zh-CN"/>
        </w:rPr>
        <w:t>为</w:t>
      </w:r>
      <w:r w:rsidR="00400864" w:rsidRPr="009E464F">
        <w:rPr>
          <w:rFonts w:cs="Times New Roman"/>
          <w:lang w:eastAsia="zh-CN"/>
        </w:rPr>
        <w:t>临床研究设计提供参考。</w:t>
      </w:r>
    </w:p>
    <w:p w14:paraId="31376E27" w14:textId="7C4F33BD" w:rsidR="00DD0D57" w:rsidRDefault="00A66268" w:rsidP="00CB0133">
      <w:pPr>
        <w:spacing w:after="0"/>
        <w:ind w:firstLine="640"/>
        <w:rPr>
          <w:rFonts w:cs="Times New Roman"/>
          <w:lang w:eastAsia="zh-CN"/>
        </w:rPr>
      </w:pPr>
      <w:r>
        <w:rPr>
          <w:rFonts w:cs="Times New Roman"/>
          <w:lang w:eastAsia="zh-CN"/>
        </w:rPr>
        <w:t>1.</w:t>
      </w:r>
      <w:r w:rsidR="007907D9">
        <w:rPr>
          <w:rFonts w:cs="Times New Roman" w:hint="eastAsia"/>
          <w:lang w:eastAsia="zh-CN"/>
        </w:rPr>
        <w:t>评估</w:t>
      </w:r>
      <w:r w:rsidR="00DD0D57" w:rsidRPr="009E464F">
        <w:rPr>
          <w:rFonts w:cs="Times New Roman"/>
          <w:lang w:eastAsia="zh-CN"/>
        </w:rPr>
        <w:t>在</w:t>
      </w:r>
      <w:proofErr w:type="gramStart"/>
      <w:r w:rsidR="00DD0D57" w:rsidRPr="009E464F">
        <w:rPr>
          <w:rFonts w:cs="Times New Roman"/>
          <w:lang w:eastAsia="zh-CN"/>
        </w:rPr>
        <w:t>研</w:t>
      </w:r>
      <w:proofErr w:type="gramEnd"/>
      <w:r w:rsidR="00DD0D57" w:rsidRPr="009E464F">
        <w:rPr>
          <w:rFonts w:cs="Times New Roman"/>
          <w:lang w:eastAsia="zh-CN"/>
        </w:rPr>
        <w:t>药物</w:t>
      </w:r>
      <w:r w:rsidR="007907D9">
        <w:rPr>
          <w:rFonts w:cs="Times New Roman" w:hint="eastAsia"/>
          <w:lang w:eastAsia="zh-CN"/>
        </w:rPr>
        <w:t>是否</w:t>
      </w:r>
      <w:r w:rsidR="00DD0D57" w:rsidRPr="009E464F">
        <w:rPr>
          <w:rFonts w:cs="Times New Roman"/>
          <w:lang w:eastAsia="zh-CN"/>
        </w:rPr>
        <w:t>为代谢酶</w:t>
      </w:r>
      <w:r w:rsidR="007907D9">
        <w:rPr>
          <w:rFonts w:cs="Times New Roman" w:hint="eastAsia"/>
          <w:lang w:eastAsia="zh-CN"/>
        </w:rPr>
        <w:t>的</w:t>
      </w:r>
      <w:r w:rsidR="00DD0D57" w:rsidRPr="009E464F">
        <w:rPr>
          <w:rFonts w:cs="Times New Roman"/>
          <w:lang w:eastAsia="zh-CN"/>
        </w:rPr>
        <w:t>底物</w:t>
      </w:r>
    </w:p>
    <w:p w14:paraId="74F37875" w14:textId="6320BABD" w:rsidR="0010799A" w:rsidRDefault="00415CB2" w:rsidP="00CB0133">
      <w:pPr>
        <w:spacing w:after="0"/>
        <w:ind w:firstLine="640"/>
        <w:rPr>
          <w:rFonts w:cs="Times New Roman"/>
          <w:lang w:eastAsia="zh-CN"/>
        </w:rPr>
      </w:pPr>
      <w:r>
        <w:rPr>
          <w:rFonts w:cs="Times New Roman" w:hint="eastAsia"/>
          <w:lang w:eastAsia="zh-CN"/>
        </w:rPr>
        <w:t>（</w:t>
      </w:r>
      <w:r>
        <w:rPr>
          <w:rFonts w:cs="Times New Roman" w:hint="eastAsia"/>
          <w:lang w:eastAsia="zh-CN"/>
        </w:rPr>
        <w:t>1</w:t>
      </w:r>
      <w:r>
        <w:rPr>
          <w:rFonts w:cs="Times New Roman" w:hint="eastAsia"/>
          <w:lang w:eastAsia="zh-CN"/>
        </w:rPr>
        <w:t>）</w:t>
      </w:r>
      <w:r>
        <w:rPr>
          <w:rFonts w:cs="Times New Roman"/>
          <w:lang w:eastAsia="zh-CN"/>
        </w:rPr>
        <w:t>研究</w:t>
      </w:r>
      <w:r w:rsidR="00BF4226">
        <w:rPr>
          <w:rFonts w:cs="Times New Roman" w:hint="eastAsia"/>
          <w:lang w:eastAsia="zh-CN"/>
        </w:rPr>
        <w:t>内容</w:t>
      </w:r>
    </w:p>
    <w:p w14:paraId="1287A18A" w14:textId="6C388401" w:rsidR="00DD0D57" w:rsidRPr="009E464F" w:rsidRDefault="00DD0D57" w:rsidP="00CB0133">
      <w:pPr>
        <w:spacing w:after="0"/>
        <w:ind w:firstLine="640"/>
        <w:rPr>
          <w:rFonts w:cs="Times New Roman"/>
          <w:lang w:eastAsia="zh-CN"/>
        </w:rPr>
      </w:pPr>
      <w:r w:rsidRPr="009E464F">
        <w:rPr>
          <w:rFonts w:cs="Times New Roman"/>
          <w:lang w:eastAsia="zh-CN"/>
        </w:rPr>
        <w:t>应</w:t>
      </w:r>
      <w:r w:rsidR="004570BE" w:rsidRPr="009E464F">
        <w:rPr>
          <w:rFonts w:cs="Times New Roman"/>
          <w:lang w:eastAsia="zh-CN"/>
        </w:rPr>
        <w:t>采</w:t>
      </w:r>
      <w:r w:rsidR="002D4D37">
        <w:rPr>
          <w:rFonts w:cs="Times New Roman" w:hint="eastAsia"/>
          <w:lang w:eastAsia="zh-CN"/>
        </w:rPr>
        <w:t>用体外代谢表型试验</w:t>
      </w:r>
      <w:r w:rsidRPr="009E464F">
        <w:rPr>
          <w:rFonts w:cs="Times New Roman"/>
          <w:lang w:eastAsia="zh-CN"/>
        </w:rPr>
        <w:t>考察</w:t>
      </w:r>
      <w:r w:rsidR="004570BE" w:rsidRPr="009E464F">
        <w:rPr>
          <w:rFonts w:cs="Times New Roman"/>
          <w:lang w:eastAsia="zh-CN"/>
        </w:rPr>
        <w:t>主要的</w:t>
      </w:r>
      <w:r w:rsidR="004570BE" w:rsidRPr="009E464F">
        <w:rPr>
          <w:rFonts w:cs="Times New Roman"/>
          <w:lang w:eastAsia="zh-CN"/>
        </w:rPr>
        <w:t>CYP</w:t>
      </w:r>
      <w:r w:rsidR="004570BE" w:rsidRPr="009E464F">
        <w:rPr>
          <w:rFonts w:cs="Times New Roman"/>
          <w:lang w:eastAsia="zh-CN"/>
        </w:rPr>
        <w:t>同工酶</w:t>
      </w:r>
      <w:r w:rsidRPr="009E464F">
        <w:rPr>
          <w:rFonts w:cs="Times New Roman"/>
          <w:lang w:eastAsia="zh-CN"/>
        </w:rPr>
        <w:t>CYP1A2</w:t>
      </w:r>
      <w:r w:rsidRPr="009E464F">
        <w:rPr>
          <w:rFonts w:cs="Times New Roman"/>
          <w:lang w:eastAsia="zh-CN"/>
        </w:rPr>
        <w:t>、</w:t>
      </w:r>
      <w:r w:rsidRPr="009E464F">
        <w:rPr>
          <w:rFonts w:cs="Times New Roman"/>
          <w:lang w:eastAsia="zh-CN"/>
        </w:rPr>
        <w:t>CYP2B6</w:t>
      </w:r>
      <w:r w:rsidRPr="009E464F">
        <w:rPr>
          <w:rFonts w:cs="Times New Roman"/>
          <w:lang w:eastAsia="zh-CN"/>
        </w:rPr>
        <w:t>、</w:t>
      </w:r>
      <w:r w:rsidRPr="009E464F">
        <w:rPr>
          <w:rFonts w:cs="Times New Roman"/>
          <w:lang w:eastAsia="zh-CN"/>
        </w:rPr>
        <w:t>CYP2C8</w:t>
      </w:r>
      <w:r w:rsidRPr="009E464F">
        <w:rPr>
          <w:rFonts w:cs="Times New Roman"/>
          <w:lang w:eastAsia="zh-CN"/>
        </w:rPr>
        <w:t>、</w:t>
      </w:r>
      <w:r w:rsidRPr="009E464F">
        <w:rPr>
          <w:rFonts w:cs="Times New Roman"/>
          <w:lang w:eastAsia="zh-CN"/>
        </w:rPr>
        <w:t>CYP2C9</w:t>
      </w:r>
      <w:r w:rsidRPr="009E464F">
        <w:rPr>
          <w:rFonts w:cs="Times New Roman"/>
          <w:lang w:eastAsia="zh-CN"/>
        </w:rPr>
        <w:t>、</w:t>
      </w:r>
      <w:r w:rsidRPr="009E464F">
        <w:rPr>
          <w:rFonts w:cs="Times New Roman"/>
          <w:lang w:eastAsia="zh-CN"/>
        </w:rPr>
        <w:t>CYP2C19</w:t>
      </w:r>
      <w:r w:rsidRPr="009E464F">
        <w:rPr>
          <w:rFonts w:cs="Times New Roman"/>
          <w:lang w:eastAsia="zh-CN"/>
        </w:rPr>
        <w:t>、</w:t>
      </w:r>
      <w:r w:rsidRPr="009E464F">
        <w:rPr>
          <w:rFonts w:cs="Times New Roman"/>
          <w:lang w:eastAsia="zh-CN"/>
        </w:rPr>
        <w:t>CYP2D6</w:t>
      </w:r>
      <w:r w:rsidRPr="009E464F">
        <w:rPr>
          <w:rFonts w:cs="Times New Roman"/>
          <w:lang w:eastAsia="zh-CN"/>
        </w:rPr>
        <w:t>和</w:t>
      </w:r>
      <w:r w:rsidRPr="009E464F">
        <w:rPr>
          <w:rFonts w:cs="Times New Roman"/>
          <w:lang w:eastAsia="zh-CN"/>
        </w:rPr>
        <w:t>CYP3A</w:t>
      </w:r>
      <w:r w:rsidRPr="009E464F">
        <w:rPr>
          <w:rFonts w:cs="Times New Roman"/>
          <w:lang w:eastAsia="zh-CN"/>
        </w:rPr>
        <w:t>是否可以代谢</w:t>
      </w:r>
      <w:r w:rsidR="007907D9">
        <w:rPr>
          <w:rFonts w:cs="Times New Roman" w:hint="eastAsia"/>
          <w:lang w:eastAsia="zh-CN"/>
        </w:rPr>
        <w:t>在</w:t>
      </w:r>
      <w:proofErr w:type="gramStart"/>
      <w:r w:rsidR="007907D9">
        <w:rPr>
          <w:rFonts w:cs="Times New Roman" w:hint="eastAsia"/>
          <w:lang w:eastAsia="zh-CN"/>
        </w:rPr>
        <w:t>研</w:t>
      </w:r>
      <w:proofErr w:type="gramEnd"/>
      <w:r w:rsidRPr="009E464F">
        <w:rPr>
          <w:rFonts w:cs="Times New Roman"/>
          <w:lang w:eastAsia="zh-CN"/>
        </w:rPr>
        <w:t>药物。</w:t>
      </w:r>
      <w:r w:rsidR="00C02C2E">
        <w:rPr>
          <w:rFonts w:cs="Times New Roman" w:hint="eastAsia"/>
          <w:lang w:eastAsia="zh-CN"/>
        </w:rPr>
        <w:t>但在</w:t>
      </w:r>
      <w:proofErr w:type="gramStart"/>
      <w:r w:rsidR="00C02C2E">
        <w:rPr>
          <w:rFonts w:cs="Times New Roman" w:hint="eastAsia"/>
          <w:lang w:eastAsia="zh-CN"/>
        </w:rPr>
        <w:t>研</w:t>
      </w:r>
      <w:proofErr w:type="gramEnd"/>
      <w:r w:rsidR="00C02C2E">
        <w:rPr>
          <w:rFonts w:cs="Times New Roman" w:hint="eastAsia"/>
          <w:lang w:eastAsia="zh-CN"/>
        </w:rPr>
        <w:t>药物</w:t>
      </w:r>
      <w:r w:rsidR="00C02C2E" w:rsidRPr="00C02C2E">
        <w:rPr>
          <w:rFonts w:cs="Times New Roman"/>
          <w:lang w:eastAsia="zh-CN"/>
        </w:rPr>
        <w:t>可能在体内发生重要</w:t>
      </w:r>
      <w:r w:rsidR="00C02C2E" w:rsidRPr="00C02C2E">
        <w:rPr>
          <w:rFonts w:cs="Times New Roman" w:hint="eastAsia"/>
          <w:lang w:eastAsia="zh-CN"/>
        </w:rPr>
        <w:t>的非</w:t>
      </w:r>
      <w:r w:rsidR="00C02C2E" w:rsidRPr="00C02C2E">
        <w:rPr>
          <w:rFonts w:cs="Times New Roman"/>
          <w:lang w:eastAsia="zh-CN"/>
        </w:rPr>
        <w:t>主要</w:t>
      </w:r>
      <w:r w:rsidR="00C02C2E" w:rsidRPr="00C02C2E">
        <w:rPr>
          <w:rFonts w:cs="Times New Roman"/>
          <w:lang w:eastAsia="zh-CN"/>
        </w:rPr>
        <w:t>CYP</w:t>
      </w:r>
      <w:r w:rsidR="00C02C2E" w:rsidRPr="00C02C2E">
        <w:rPr>
          <w:rFonts w:cs="Times New Roman"/>
          <w:lang w:eastAsia="zh-CN"/>
        </w:rPr>
        <w:t>酶</w:t>
      </w:r>
      <w:proofErr w:type="gramStart"/>
      <w:r w:rsidR="00C02C2E" w:rsidRPr="00C02C2E">
        <w:rPr>
          <w:rFonts w:cs="Times New Roman"/>
          <w:lang w:eastAsia="zh-CN"/>
        </w:rPr>
        <w:t>介</w:t>
      </w:r>
      <w:proofErr w:type="gramEnd"/>
      <w:r w:rsidR="00C02C2E" w:rsidRPr="00C02C2E">
        <w:rPr>
          <w:rFonts w:cs="Times New Roman"/>
          <w:lang w:eastAsia="zh-CN"/>
        </w:rPr>
        <w:t>导</w:t>
      </w:r>
      <w:r w:rsidR="00C02C2E" w:rsidRPr="00C02C2E">
        <w:rPr>
          <w:rFonts w:cs="Times New Roman" w:hint="eastAsia"/>
          <w:lang w:eastAsia="zh-CN"/>
        </w:rPr>
        <w:t>的</w:t>
      </w:r>
      <w:r w:rsidR="00C02C2E" w:rsidRPr="00C02C2E">
        <w:rPr>
          <w:rFonts w:cs="Times New Roman"/>
          <w:lang w:eastAsia="zh-CN"/>
        </w:rPr>
        <w:t>代谢</w:t>
      </w:r>
      <w:r w:rsidR="00C02C2E">
        <w:rPr>
          <w:rFonts w:cs="Times New Roman" w:hint="eastAsia"/>
          <w:lang w:eastAsia="zh-CN"/>
        </w:rPr>
        <w:t>，</w:t>
      </w:r>
      <w:r w:rsidR="00EC65B3">
        <w:rPr>
          <w:rFonts w:cs="Times New Roman" w:hint="eastAsia"/>
          <w:lang w:eastAsia="zh-CN"/>
        </w:rPr>
        <w:t>此时</w:t>
      </w:r>
      <w:r w:rsidR="00EC65B3">
        <w:rPr>
          <w:rFonts w:cs="Times New Roman"/>
          <w:lang w:eastAsia="zh-CN"/>
        </w:rPr>
        <w:t>其</w:t>
      </w:r>
      <w:r w:rsidR="00C02C2E" w:rsidRPr="00C02C2E">
        <w:rPr>
          <w:rFonts w:cs="Times New Roman"/>
          <w:lang w:eastAsia="zh-CN"/>
        </w:rPr>
        <w:t>可能是其他酶的底物，应确定其他酶对</w:t>
      </w:r>
      <w:r w:rsidR="00C02C2E">
        <w:rPr>
          <w:rFonts w:cs="Times New Roman" w:hint="eastAsia"/>
          <w:lang w:eastAsia="zh-CN"/>
        </w:rPr>
        <w:t>其</w:t>
      </w:r>
      <w:r w:rsidR="00C02C2E" w:rsidRPr="00C02C2E">
        <w:rPr>
          <w:rFonts w:cs="Times New Roman"/>
          <w:lang w:eastAsia="zh-CN"/>
        </w:rPr>
        <w:t>代谢的贡献。</w:t>
      </w:r>
      <w:r w:rsidR="00F023D7">
        <w:rPr>
          <w:rFonts w:cs="Times New Roman" w:hint="eastAsia"/>
          <w:lang w:eastAsia="zh-CN"/>
        </w:rPr>
        <w:t xml:space="preserve"> </w:t>
      </w:r>
      <w:r w:rsidRPr="009E464F">
        <w:rPr>
          <w:rFonts w:cs="Times New Roman"/>
          <w:lang w:eastAsia="zh-CN"/>
        </w:rPr>
        <w:t>主要包括但不限于以下代谢酶：</w:t>
      </w:r>
    </w:p>
    <w:p w14:paraId="784CDBE8" w14:textId="0EB1D1D3" w:rsidR="00DD0D57" w:rsidRPr="000671AF" w:rsidRDefault="00DD0D57" w:rsidP="00CB0133">
      <w:pPr>
        <w:spacing w:after="0"/>
        <w:ind w:firstLine="640"/>
        <w:rPr>
          <w:rFonts w:cs="Times New Roman"/>
        </w:rPr>
      </w:pPr>
      <w:r w:rsidRPr="0083505F">
        <w:rPr>
          <w:rFonts w:cs="Times New Roman" w:hint="eastAsia"/>
          <w:lang w:eastAsia="zh-CN"/>
        </w:rPr>
        <w:lastRenderedPageBreak/>
        <w:t>其他</w:t>
      </w:r>
      <w:r w:rsidRPr="0083505F">
        <w:rPr>
          <w:rFonts w:cs="Times New Roman"/>
          <w:lang w:eastAsia="zh-CN"/>
        </w:rPr>
        <w:t>CYP</w:t>
      </w:r>
      <w:r w:rsidRPr="0083505F">
        <w:rPr>
          <w:rFonts w:cs="Times New Roman" w:hint="eastAsia"/>
          <w:lang w:eastAsia="zh-CN"/>
        </w:rPr>
        <w:t>同工酶：</w:t>
      </w:r>
      <w:r w:rsidRPr="0083505F">
        <w:rPr>
          <w:rFonts w:cs="Times New Roman"/>
          <w:lang w:eastAsia="zh-CN"/>
        </w:rPr>
        <w:t>CYP2A6</w:t>
      </w:r>
      <w:r w:rsidRPr="0083505F">
        <w:rPr>
          <w:rFonts w:cs="Times New Roman" w:hint="eastAsia"/>
          <w:lang w:eastAsia="zh-CN"/>
        </w:rPr>
        <w:t>，</w:t>
      </w:r>
      <w:r w:rsidRPr="0083505F">
        <w:rPr>
          <w:rFonts w:cs="Times New Roman"/>
          <w:lang w:eastAsia="zh-CN"/>
        </w:rPr>
        <w:t>CYP2J2</w:t>
      </w:r>
      <w:r w:rsidRPr="0083505F">
        <w:rPr>
          <w:rFonts w:cs="Times New Roman" w:hint="eastAsia"/>
          <w:lang w:eastAsia="zh-CN"/>
        </w:rPr>
        <w:t>，</w:t>
      </w:r>
      <w:r w:rsidRPr="0083505F">
        <w:rPr>
          <w:rFonts w:cs="Times New Roman"/>
          <w:lang w:eastAsia="zh-CN"/>
        </w:rPr>
        <w:t>CYP4F2</w:t>
      </w:r>
      <w:r w:rsidRPr="0083505F">
        <w:rPr>
          <w:rFonts w:cs="Times New Roman" w:hint="eastAsia"/>
          <w:lang w:eastAsia="zh-CN"/>
        </w:rPr>
        <w:t>和</w:t>
      </w:r>
      <w:r w:rsidRPr="0083505F">
        <w:rPr>
          <w:rFonts w:cs="Times New Roman"/>
          <w:lang w:eastAsia="zh-CN"/>
        </w:rPr>
        <w:t>CYP2E1</w:t>
      </w:r>
      <w:r w:rsidRPr="0083505F">
        <w:rPr>
          <w:rFonts w:cs="Times New Roman" w:hint="eastAsia"/>
          <w:lang w:eastAsia="zh-CN"/>
        </w:rPr>
        <w:t>；</w:t>
      </w:r>
    </w:p>
    <w:p w14:paraId="12282F63" w14:textId="4FE273E8" w:rsidR="00EC65B3" w:rsidRDefault="00DD0D57" w:rsidP="00CB0133">
      <w:pPr>
        <w:spacing w:after="0"/>
        <w:ind w:firstLine="640"/>
        <w:rPr>
          <w:rFonts w:cs="Times New Roman"/>
        </w:rPr>
      </w:pPr>
      <w:r w:rsidRPr="0083505F">
        <w:rPr>
          <w:rFonts w:cs="Times New Roman" w:hint="eastAsia"/>
          <w:lang w:eastAsia="zh-CN"/>
        </w:rPr>
        <w:t>其他</w:t>
      </w:r>
      <w:r w:rsidRPr="0083505F">
        <w:rPr>
          <w:rFonts w:cs="Times New Roman"/>
          <w:lang w:eastAsia="zh-CN"/>
        </w:rPr>
        <w:t>I</w:t>
      </w:r>
      <w:r w:rsidRPr="0083505F">
        <w:rPr>
          <w:rFonts w:cs="Times New Roman" w:hint="eastAsia"/>
          <w:lang w:eastAsia="zh-CN"/>
        </w:rPr>
        <w:t>相代谢酶：单胺氧化酶（</w:t>
      </w:r>
      <w:r w:rsidRPr="0083505F">
        <w:rPr>
          <w:rFonts w:cs="Times New Roman"/>
          <w:lang w:eastAsia="zh-CN"/>
        </w:rPr>
        <w:t>Monoamine oxidase</w:t>
      </w:r>
      <w:r w:rsidRPr="0083505F">
        <w:rPr>
          <w:rFonts w:cs="Times New Roman" w:hint="eastAsia"/>
          <w:lang w:eastAsia="zh-CN"/>
        </w:rPr>
        <w:t>，</w:t>
      </w:r>
      <w:r w:rsidRPr="0083505F">
        <w:rPr>
          <w:rFonts w:cs="Times New Roman"/>
          <w:lang w:eastAsia="zh-CN"/>
        </w:rPr>
        <w:t>MAO</w:t>
      </w:r>
      <w:r w:rsidRPr="0083505F">
        <w:rPr>
          <w:rFonts w:cs="Times New Roman" w:hint="eastAsia"/>
          <w:lang w:eastAsia="zh-CN"/>
        </w:rPr>
        <w:t>），黄素单加氧酶（</w:t>
      </w:r>
      <w:r w:rsidRPr="0083505F">
        <w:rPr>
          <w:rFonts w:cs="Times New Roman"/>
          <w:lang w:eastAsia="zh-CN"/>
        </w:rPr>
        <w:t>Flavin monooxygenase</w:t>
      </w:r>
      <w:r w:rsidRPr="0083505F">
        <w:rPr>
          <w:rFonts w:cs="Times New Roman" w:hint="eastAsia"/>
          <w:lang w:eastAsia="zh-CN"/>
        </w:rPr>
        <w:t>，</w:t>
      </w:r>
      <w:r w:rsidRPr="0083505F">
        <w:rPr>
          <w:rFonts w:cs="Times New Roman"/>
          <w:lang w:eastAsia="zh-CN"/>
        </w:rPr>
        <w:t>FMO</w:t>
      </w:r>
      <w:r w:rsidRPr="0083505F">
        <w:rPr>
          <w:rFonts w:cs="Times New Roman" w:hint="eastAsia"/>
          <w:lang w:eastAsia="zh-CN"/>
        </w:rPr>
        <w:t>），黄嘌呤氧化酶（</w:t>
      </w:r>
      <w:r w:rsidRPr="0083505F">
        <w:rPr>
          <w:rFonts w:cs="Times New Roman"/>
          <w:lang w:eastAsia="zh-CN"/>
        </w:rPr>
        <w:t>Xanthine oxidase</w:t>
      </w:r>
      <w:r w:rsidRPr="0083505F">
        <w:rPr>
          <w:rFonts w:cs="Times New Roman" w:hint="eastAsia"/>
          <w:lang w:eastAsia="zh-CN"/>
        </w:rPr>
        <w:t>，</w:t>
      </w:r>
      <w:r w:rsidRPr="0083505F">
        <w:rPr>
          <w:rFonts w:cs="Times New Roman"/>
          <w:lang w:eastAsia="zh-CN"/>
        </w:rPr>
        <w:t>XO</w:t>
      </w:r>
      <w:r w:rsidRPr="0083505F">
        <w:rPr>
          <w:rFonts w:cs="Times New Roman" w:hint="eastAsia"/>
          <w:lang w:eastAsia="zh-CN"/>
        </w:rPr>
        <w:t>），醇</w:t>
      </w:r>
      <w:r w:rsidRPr="0083505F">
        <w:rPr>
          <w:rFonts w:cs="Times New Roman"/>
          <w:lang w:eastAsia="zh-CN"/>
        </w:rPr>
        <w:t>/</w:t>
      </w:r>
      <w:r w:rsidRPr="0083505F">
        <w:rPr>
          <w:rFonts w:cs="Times New Roman" w:hint="eastAsia"/>
          <w:lang w:eastAsia="zh-CN"/>
        </w:rPr>
        <w:t>醛脱氢酶和醛氧化酶（</w:t>
      </w:r>
      <w:r w:rsidRPr="0083505F">
        <w:rPr>
          <w:rFonts w:cs="Times New Roman"/>
          <w:lang w:eastAsia="zh-CN"/>
        </w:rPr>
        <w:t>Aldehyde oxidase, AO</w:t>
      </w:r>
      <w:r w:rsidRPr="0083505F">
        <w:rPr>
          <w:rFonts w:cs="Times New Roman" w:hint="eastAsia"/>
          <w:lang w:eastAsia="zh-CN"/>
        </w:rPr>
        <w:t>）；</w:t>
      </w:r>
    </w:p>
    <w:p w14:paraId="2B059D72" w14:textId="10631C26" w:rsidR="00DD0D57" w:rsidRPr="000671AF" w:rsidRDefault="00DD0D57" w:rsidP="00CB0133">
      <w:pPr>
        <w:spacing w:after="0"/>
        <w:ind w:firstLine="640"/>
        <w:rPr>
          <w:rFonts w:cs="Times New Roman"/>
        </w:rPr>
      </w:pPr>
      <w:r w:rsidRPr="0083505F">
        <w:rPr>
          <w:rFonts w:cs="Times New Roman"/>
          <w:lang w:eastAsia="zh-CN"/>
        </w:rPr>
        <w:t>II</w:t>
      </w:r>
      <w:r w:rsidRPr="0083505F">
        <w:rPr>
          <w:rFonts w:cs="Times New Roman" w:hint="eastAsia"/>
          <w:lang w:eastAsia="zh-CN"/>
        </w:rPr>
        <w:t>相代谢酶：包括</w:t>
      </w:r>
      <w:r w:rsidRPr="0083505F">
        <w:rPr>
          <w:rFonts w:cs="Times New Roman"/>
          <w:lang w:eastAsia="zh-CN"/>
        </w:rPr>
        <w:t>UDP</w:t>
      </w:r>
      <w:r w:rsidRPr="0083505F">
        <w:rPr>
          <w:rFonts w:cs="Times New Roman" w:hint="eastAsia"/>
          <w:lang w:eastAsia="zh-CN"/>
        </w:rPr>
        <w:t>葡萄糖醛酸转移酶（</w:t>
      </w:r>
      <w:r w:rsidRPr="0083505F">
        <w:rPr>
          <w:rFonts w:cs="Times New Roman"/>
          <w:lang w:eastAsia="zh-CN"/>
        </w:rPr>
        <w:t xml:space="preserve">Uridine diphosphate </w:t>
      </w:r>
      <w:r w:rsidRPr="0083505F">
        <w:rPr>
          <w:rFonts w:cs="Times New Roman" w:hint="eastAsia"/>
          <w:lang w:eastAsia="zh-CN"/>
        </w:rPr>
        <w:t>（</w:t>
      </w:r>
      <w:r w:rsidRPr="0083505F">
        <w:rPr>
          <w:rFonts w:cs="Times New Roman"/>
          <w:lang w:eastAsia="zh-CN"/>
        </w:rPr>
        <w:t>UDP</w:t>
      </w:r>
      <w:r w:rsidRPr="0083505F">
        <w:rPr>
          <w:rFonts w:cs="Times New Roman" w:hint="eastAsia"/>
          <w:lang w:eastAsia="zh-CN"/>
        </w:rPr>
        <w:t>）</w:t>
      </w:r>
      <w:r w:rsidRPr="0083505F">
        <w:rPr>
          <w:rFonts w:cs="Times New Roman"/>
          <w:lang w:eastAsia="zh-CN"/>
        </w:rPr>
        <w:t>-</w:t>
      </w:r>
      <w:proofErr w:type="spellStart"/>
      <w:r w:rsidRPr="0083505F">
        <w:rPr>
          <w:rFonts w:cs="Times New Roman"/>
          <w:lang w:eastAsia="zh-CN"/>
        </w:rPr>
        <w:t>glucuronosyl</w:t>
      </w:r>
      <w:proofErr w:type="spellEnd"/>
      <w:r w:rsidRPr="0083505F">
        <w:rPr>
          <w:rFonts w:cs="Times New Roman"/>
          <w:lang w:eastAsia="zh-CN"/>
        </w:rPr>
        <w:t xml:space="preserve"> transferase</w:t>
      </w:r>
      <w:r w:rsidRPr="0083505F">
        <w:rPr>
          <w:rFonts w:cs="Times New Roman" w:hint="eastAsia"/>
          <w:lang w:eastAsia="zh-CN"/>
        </w:rPr>
        <w:t>，</w:t>
      </w:r>
      <w:r w:rsidRPr="0083505F">
        <w:rPr>
          <w:rFonts w:cs="Times New Roman"/>
          <w:lang w:eastAsia="zh-CN"/>
        </w:rPr>
        <w:t>UGT</w:t>
      </w:r>
      <w:r w:rsidRPr="0083505F">
        <w:rPr>
          <w:rFonts w:cs="Times New Roman" w:hint="eastAsia"/>
          <w:lang w:eastAsia="zh-CN"/>
        </w:rPr>
        <w:t>）</w:t>
      </w:r>
      <w:r w:rsidR="007907D9" w:rsidRPr="0083505F">
        <w:rPr>
          <w:rFonts w:cs="Times New Roman" w:hint="eastAsia"/>
          <w:lang w:eastAsia="zh-CN"/>
        </w:rPr>
        <w:t>和硫酸转移酶（</w:t>
      </w:r>
      <w:r w:rsidR="00E85490" w:rsidRPr="0083505F">
        <w:rPr>
          <w:rFonts w:cs="Times New Roman"/>
          <w:lang w:eastAsia="zh-CN"/>
        </w:rPr>
        <w:t>Sulf</w:t>
      </w:r>
      <w:r w:rsidR="00BF4226">
        <w:rPr>
          <w:rFonts w:cs="Times New Roman" w:hint="eastAsia"/>
          <w:lang w:eastAsia="zh-CN"/>
        </w:rPr>
        <w:t>o</w:t>
      </w:r>
      <w:r w:rsidR="00BF4226">
        <w:rPr>
          <w:rFonts w:cs="Times New Roman"/>
          <w:lang w:eastAsia="zh-CN"/>
        </w:rPr>
        <w:t>t</w:t>
      </w:r>
      <w:r w:rsidR="00BF4226">
        <w:rPr>
          <w:rFonts w:cs="Times New Roman" w:hint="eastAsia"/>
          <w:lang w:eastAsia="zh-CN"/>
        </w:rPr>
        <w:t>ra</w:t>
      </w:r>
      <w:r w:rsidR="00BF4226">
        <w:rPr>
          <w:rFonts w:cs="Times New Roman"/>
          <w:lang w:eastAsia="zh-CN"/>
        </w:rPr>
        <w:t>nsfer</w:t>
      </w:r>
      <w:r w:rsidR="00BF4226">
        <w:rPr>
          <w:rFonts w:cs="Times New Roman" w:hint="eastAsia"/>
          <w:lang w:eastAsia="zh-CN"/>
        </w:rPr>
        <w:t>as</w:t>
      </w:r>
      <w:r w:rsidR="00BF4226">
        <w:rPr>
          <w:rFonts w:cs="Times New Roman"/>
          <w:lang w:eastAsia="zh-CN"/>
        </w:rPr>
        <w:t>es</w:t>
      </w:r>
      <w:r w:rsidR="00BF4226">
        <w:rPr>
          <w:rFonts w:cs="Times New Roman" w:hint="eastAsia"/>
          <w:lang w:eastAsia="zh-CN"/>
        </w:rPr>
        <w:t>）。</w:t>
      </w:r>
    </w:p>
    <w:p w14:paraId="7C612373" w14:textId="77777777" w:rsidR="0010799A" w:rsidRDefault="00415CB2" w:rsidP="00CB0133">
      <w:pPr>
        <w:spacing w:after="0"/>
        <w:ind w:firstLine="640"/>
        <w:rPr>
          <w:rFonts w:cs="Times New Roman"/>
          <w:lang w:eastAsia="zh-CN"/>
        </w:rPr>
      </w:pPr>
      <w:r w:rsidRPr="009E464F">
        <w:rPr>
          <w:rFonts w:cs="Times New Roman"/>
          <w:lang w:eastAsia="zh-CN"/>
        </w:rPr>
        <w:t>（</w:t>
      </w:r>
      <w:r w:rsidRPr="009E464F">
        <w:rPr>
          <w:rFonts w:cs="Times New Roman"/>
          <w:lang w:eastAsia="zh-CN"/>
        </w:rPr>
        <w:t>2</w:t>
      </w:r>
      <w:r w:rsidRPr="009E464F">
        <w:rPr>
          <w:rFonts w:cs="Times New Roman"/>
          <w:lang w:eastAsia="zh-CN"/>
        </w:rPr>
        <w:t>）</w:t>
      </w:r>
      <w:r>
        <w:rPr>
          <w:rFonts w:cs="Times New Roman" w:hint="eastAsia"/>
          <w:lang w:eastAsia="zh-CN"/>
        </w:rPr>
        <w:t>数据分析</w:t>
      </w:r>
    </w:p>
    <w:p w14:paraId="2E95146F" w14:textId="748190B9" w:rsidR="00EC65B3" w:rsidRDefault="00737390" w:rsidP="00CB0133">
      <w:pPr>
        <w:spacing w:after="0"/>
        <w:ind w:firstLine="640"/>
        <w:rPr>
          <w:rFonts w:cs="Times New Roman"/>
          <w:lang w:eastAsia="zh-CN"/>
        </w:rPr>
      </w:pPr>
      <w:r>
        <w:rPr>
          <w:rFonts w:cs="Times New Roman" w:hint="eastAsia"/>
          <w:lang w:eastAsia="zh-CN"/>
        </w:rPr>
        <w:t>若</w:t>
      </w:r>
      <w:r w:rsidR="001F47C6" w:rsidRPr="009E464F">
        <w:rPr>
          <w:rFonts w:cs="Times New Roman"/>
          <w:lang w:eastAsia="zh-CN"/>
        </w:rPr>
        <w:t>基于体外</w:t>
      </w:r>
      <w:r w:rsidR="00EC65B3">
        <w:rPr>
          <w:rFonts w:cs="Times New Roman" w:hint="eastAsia"/>
          <w:lang w:eastAsia="zh-CN"/>
        </w:rPr>
        <w:t>代谢</w:t>
      </w:r>
      <w:r w:rsidR="001F47C6" w:rsidRPr="009E464F">
        <w:rPr>
          <w:rFonts w:cs="Times New Roman"/>
          <w:lang w:eastAsia="zh-CN"/>
        </w:rPr>
        <w:t>表型研究和人体</w:t>
      </w:r>
      <w:r w:rsidR="001F47C6" w:rsidRPr="009E464F">
        <w:rPr>
          <w:rFonts w:cs="Times New Roman"/>
          <w:lang w:eastAsia="zh-CN"/>
        </w:rPr>
        <w:t>PK</w:t>
      </w:r>
      <w:r w:rsidR="001F47C6" w:rsidRPr="009E464F">
        <w:rPr>
          <w:rFonts w:cs="Times New Roman"/>
          <w:lang w:eastAsia="zh-CN"/>
        </w:rPr>
        <w:t>数据，特定代谢酶对药物的消除</w:t>
      </w:r>
      <w:r w:rsidR="001F47C6" w:rsidRPr="009E464F">
        <w:rPr>
          <w:rFonts w:cs="Times New Roman"/>
          <w:lang w:eastAsia="zh-CN"/>
        </w:rPr>
        <w:t>≥25</w:t>
      </w:r>
      <w:r w:rsidR="001F47C6" w:rsidRPr="009E464F">
        <w:rPr>
          <w:rFonts w:cs="Times New Roman"/>
          <w:lang w:eastAsia="zh-CN"/>
        </w:rPr>
        <w:t>％，则可认为该酶对在</w:t>
      </w:r>
      <w:proofErr w:type="gramStart"/>
      <w:r w:rsidR="001F47C6" w:rsidRPr="009E464F">
        <w:rPr>
          <w:rFonts w:cs="Times New Roman"/>
          <w:lang w:eastAsia="zh-CN"/>
        </w:rPr>
        <w:t>研</w:t>
      </w:r>
      <w:proofErr w:type="gramEnd"/>
      <w:r w:rsidR="001F47C6" w:rsidRPr="009E464F">
        <w:rPr>
          <w:rFonts w:cs="Times New Roman"/>
          <w:lang w:eastAsia="zh-CN"/>
        </w:rPr>
        <w:t>药物的清除在</w:t>
      </w:r>
      <w:r w:rsidR="001F47C6" w:rsidRPr="009E464F">
        <w:rPr>
          <w:rFonts w:cs="Times New Roman"/>
          <w:lang w:eastAsia="zh-CN"/>
        </w:rPr>
        <w:t>DDI</w:t>
      </w:r>
      <w:r w:rsidR="001F47C6" w:rsidRPr="009E464F">
        <w:rPr>
          <w:rFonts w:cs="Times New Roman"/>
          <w:lang w:eastAsia="zh-CN"/>
        </w:rPr>
        <w:t>研究中是重要的。在这种情况下，申请人应使用强指针抑制剂和</w:t>
      </w:r>
      <w:r w:rsidR="001F47C6" w:rsidRPr="009E464F">
        <w:rPr>
          <w:rFonts w:cs="Times New Roman"/>
          <w:lang w:eastAsia="zh-CN"/>
        </w:rPr>
        <w:t>/</w:t>
      </w:r>
      <w:r w:rsidR="001F47C6" w:rsidRPr="009E464F">
        <w:rPr>
          <w:rFonts w:cs="Times New Roman"/>
          <w:lang w:eastAsia="zh-CN"/>
        </w:rPr>
        <w:t>或酶诱导剂进行</w:t>
      </w:r>
      <w:r w:rsidR="001F47C6" w:rsidRPr="009E464F">
        <w:rPr>
          <w:rFonts w:cs="Times New Roman"/>
          <w:lang w:eastAsia="zh-CN"/>
        </w:rPr>
        <w:t>DDI</w:t>
      </w:r>
      <w:r w:rsidR="001F47C6" w:rsidRPr="009E464F">
        <w:rPr>
          <w:rFonts w:cs="Times New Roman"/>
          <w:lang w:eastAsia="zh-CN"/>
        </w:rPr>
        <w:t>临床研究。</w:t>
      </w:r>
    </w:p>
    <w:p w14:paraId="4B04A978" w14:textId="22EB0E6C" w:rsidR="001F47C6" w:rsidRPr="009E464F" w:rsidRDefault="00F667F2" w:rsidP="00CB0133">
      <w:pPr>
        <w:spacing w:after="0"/>
        <w:ind w:firstLine="640"/>
        <w:rPr>
          <w:rFonts w:cs="Times New Roman"/>
          <w:lang w:eastAsia="zh-CN"/>
        </w:rPr>
      </w:pPr>
      <w:r w:rsidRPr="009E464F">
        <w:rPr>
          <w:rFonts w:cs="Times New Roman"/>
          <w:lang w:eastAsia="zh-CN"/>
        </w:rPr>
        <w:t>评估在</w:t>
      </w:r>
      <w:proofErr w:type="gramStart"/>
      <w:r w:rsidRPr="009E464F">
        <w:rPr>
          <w:rFonts w:cs="Times New Roman"/>
          <w:lang w:eastAsia="zh-CN"/>
        </w:rPr>
        <w:t>研</w:t>
      </w:r>
      <w:proofErr w:type="gramEnd"/>
      <w:r w:rsidRPr="009E464F">
        <w:rPr>
          <w:rFonts w:cs="Times New Roman"/>
          <w:lang w:eastAsia="zh-CN"/>
        </w:rPr>
        <w:t>药物是否是代谢酶</w:t>
      </w:r>
      <w:r>
        <w:rPr>
          <w:rFonts w:cs="Times New Roman" w:hint="eastAsia"/>
          <w:lang w:eastAsia="zh-CN"/>
        </w:rPr>
        <w:t>底物</w:t>
      </w:r>
      <w:r w:rsidRPr="009E464F">
        <w:rPr>
          <w:rFonts w:cs="Times New Roman"/>
          <w:lang w:eastAsia="zh-CN"/>
        </w:rPr>
        <w:t>的体外试验的具体要求详见附录</w:t>
      </w:r>
      <w:r w:rsidRPr="009E464F">
        <w:rPr>
          <w:rFonts w:cs="Times New Roman"/>
          <w:lang w:eastAsia="zh-CN"/>
        </w:rPr>
        <w:t>3</w:t>
      </w:r>
      <w:r w:rsidRPr="009E464F">
        <w:rPr>
          <w:rFonts w:cs="Times New Roman"/>
          <w:lang w:eastAsia="zh-CN"/>
        </w:rPr>
        <w:t>。</w:t>
      </w:r>
    </w:p>
    <w:p w14:paraId="1A00C353" w14:textId="694DE48E" w:rsidR="00AC7FD1" w:rsidRPr="009E464F" w:rsidRDefault="00A66268" w:rsidP="00CB0133">
      <w:pPr>
        <w:spacing w:after="0"/>
        <w:ind w:firstLine="640"/>
        <w:rPr>
          <w:rFonts w:cs="Times New Roman"/>
          <w:lang w:eastAsia="zh-CN"/>
        </w:rPr>
      </w:pPr>
      <w:r>
        <w:rPr>
          <w:rFonts w:cs="Times New Roman"/>
          <w:lang w:eastAsia="zh-CN"/>
        </w:rPr>
        <w:t>2.</w:t>
      </w:r>
      <w:r w:rsidR="00AC7FD1" w:rsidRPr="009E464F">
        <w:rPr>
          <w:rFonts w:cs="Times New Roman"/>
          <w:lang w:eastAsia="zh-CN"/>
        </w:rPr>
        <w:t>评估在</w:t>
      </w:r>
      <w:proofErr w:type="gramStart"/>
      <w:r w:rsidR="00AC7FD1" w:rsidRPr="009E464F">
        <w:rPr>
          <w:rFonts w:cs="Times New Roman"/>
          <w:lang w:eastAsia="zh-CN"/>
        </w:rPr>
        <w:t>研</w:t>
      </w:r>
      <w:proofErr w:type="gramEnd"/>
      <w:r w:rsidR="00AC7FD1" w:rsidRPr="009E464F">
        <w:rPr>
          <w:rFonts w:cs="Times New Roman"/>
          <w:lang w:eastAsia="zh-CN"/>
        </w:rPr>
        <w:t>药物是否为代谢酶的抑制剂</w:t>
      </w:r>
    </w:p>
    <w:p w14:paraId="738FFCE5" w14:textId="036606FD" w:rsidR="0010799A" w:rsidRDefault="00F667F2" w:rsidP="00CB0133">
      <w:pPr>
        <w:spacing w:after="0"/>
        <w:ind w:firstLine="640"/>
        <w:rPr>
          <w:rFonts w:cs="Times New Roman"/>
          <w:lang w:eastAsia="zh-CN"/>
        </w:rPr>
      </w:pPr>
      <w:r>
        <w:rPr>
          <w:rFonts w:cs="Times New Roman" w:hint="eastAsia"/>
          <w:lang w:eastAsia="zh-CN"/>
        </w:rPr>
        <w:t>（</w:t>
      </w:r>
      <w:r>
        <w:rPr>
          <w:rFonts w:cs="Times New Roman" w:hint="eastAsia"/>
          <w:lang w:eastAsia="zh-CN"/>
        </w:rPr>
        <w:t>1</w:t>
      </w:r>
      <w:r>
        <w:rPr>
          <w:rFonts w:cs="Times New Roman" w:hint="eastAsia"/>
          <w:lang w:eastAsia="zh-CN"/>
        </w:rPr>
        <w:t>）</w:t>
      </w:r>
      <w:r>
        <w:rPr>
          <w:rFonts w:cs="Times New Roman"/>
          <w:lang w:eastAsia="zh-CN"/>
        </w:rPr>
        <w:t>研究</w:t>
      </w:r>
      <w:r w:rsidR="00BF4226">
        <w:rPr>
          <w:rFonts w:cs="Times New Roman" w:hint="eastAsia"/>
          <w:lang w:eastAsia="zh-CN"/>
        </w:rPr>
        <w:t>内容</w:t>
      </w:r>
    </w:p>
    <w:p w14:paraId="2A520E30" w14:textId="28011D8E" w:rsidR="00F667F2" w:rsidRDefault="00AC7FD1" w:rsidP="00CB0133">
      <w:pPr>
        <w:spacing w:after="0"/>
        <w:ind w:firstLine="640"/>
        <w:rPr>
          <w:rFonts w:cs="Times New Roman"/>
          <w:lang w:eastAsia="zh-CN"/>
        </w:rPr>
      </w:pPr>
      <w:r w:rsidRPr="009E464F">
        <w:rPr>
          <w:rFonts w:cs="Times New Roman"/>
          <w:lang w:eastAsia="zh-CN"/>
        </w:rPr>
        <w:t>应</w:t>
      </w:r>
      <w:r w:rsidR="00B67396" w:rsidRPr="009E464F">
        <w:rPr>
          <w:rFonts w:cs="Times New Roman"/>
          <w:lang w:eastAsia="zh-CN"/>
        </w:rPr>
        <w:t>评估</w:t>
      </w:r>
      <w:r w:rsidRPr="009E464F">
        <w:rPr>
          <w:rFonts w:cs="Times New Roman"/>
          <w:lang w:eastAsia="zh-CN"/>
        </w:rPr>
        <w:t>在</w:t>
      </w:r>
      <w:proofErr w:type="gramStart"/>
      <w:r w:rsidRPr="009E464F">
        <w:rPr>
          <w:rFonts w:cs="Times New Roman"/>
          <w:lang w:eastAsia="zh-CN"/>
        </w:rPr>
        <w:t>研</w:t>
      </w:r>
      <w:proofErr w:type="gramEnd"/>
      <w:r w:rsidRPr="009E464F">
        <w:rPr>
          <w:rFonts w:cs="Times New Roman"/>
          <w:lang w:eastAsia="zh-CN"/>
        </w:rPr>
        <w:t>药物是否会</w:t>
      </w:r>
      <w:r w:rsidR="00A62AB2">
        <w:rPr>
          <w:rFonts w:cs="Times New Roman" w:hint="eastAsia"/>
          <w:lang w:eastAsia="zh-CN"/>
        </w:rPr>
        <w:t>对</w:t>
      </w:r>
      <w:r w:rsidR="00A62AB2" w:rsidRPr="009E464F">
        <w:rPr>
          <w:rFonts w:cs="Times New Roman"/>
          <w:lang w:eastAsia="zh-CN"/>
        </w:rPr>
        <w:t>常见的</w:t>
      </w:r>
      <w:r w:rsidR="00A62AB2" w:rsidRPr="009E464F">
        <w:rPr>
          <w:rFonts w:cs="Times New Roman"/>
          <w:lang w:eastAsia="zh-CN"/>
        </w:rPr>
        <w:t>CYP</w:t>
      </w:r>
      <w:r w:rsidR="00A62AB2" w:rsidRPr="009E464F">
        <w:rPr>
          <w:rFonts w:cs="Times New Roman"/>
          <w:lang w:eastAsia="zh-CN"/>
        </w:rPr>
        <w:t>酶</w:t>
      </w:r>
      <w:r w:rsidR="00A62AB2" w:rsidRPr="009E464F">
        <w:rPr>
          <w:rFonts w:cs="Times New Roman"/>
          <w:lang w:eastAsia="zh-CN"/>
        </w:rPr>
        <w:t xml:space="preserve"> CYP1A2</w:t>
      </w:r>
      <w:r w:rsidR="00A62AB2" w:rsidRPr="009E464F">
        <w:rPr>
          <w:rFonts w:cs="Times New Roman"/>
          <w:lang w:eastAsia="zh-CN"/>
        </w:rPr>
        <w:t>、</w:t>
      </w:r>
      <w:r w:rsidR="00A62AB2" w:rsidRPr="009E464F">
        <w:rPr>
          <w:rFonts w:cs="Times New Roman"/>
          <w:lang w:eastAsia="zh-CN"/>
        </w:rPr>
        <w:t>CYP2B6</w:t>
      </w:r>
      <w:r w:rsidR="00A62AB2" w:rsidRPr="009E464F">
        <w:rPr>
          <w:rFonts w:cs="Times New Roman"/>
          <w:lang w:eastAsia="zh-CN"/>
        </w:rPr>
        <w:t>、</w:t>
      </w:r>
      <w:r w:rsidR="00A62AB2" w:rsidRPr="009E464F">
        <w:rPr>
          <w:rFonts w:cs="Times New Roman"/>
          <w:lang w:eastAsia="zh-CN"/>
        </w:rPr>
        <w:t>CYP2C8</w:t>
      </w:r>
      <w:r w:rsidR="00A62AB2" w:rsidRPr="009E464F">
        <w:rPr>
          <w:rFonts w:cs="Times New Roman"/>
          <w:lang w:eastAsia="zh-CN"/>
        </w:rPr>
        <w:t>、</w:t>
      </w:r>
      <w:r w:rsidR="00A62AB2" w:rsidRPr="009E464F">
        <w:rPr>
          <w:rFonts w:cs="Times New Roman"/>
          <w:lang w:eastAsia="zh-CN"/>
        </w:rPr>
        <w:t>CYP2C9</w:t>
      </w:r>
      <w:r w:rsidR="00A62AB2" w:rsidRPr="009E464F">
        <w:rPr>
          <w:rFonts w:cs="Times New Roman"/>
          <w:lang w:eastAsia="zh-CN"/>
        </w:rPr>
        <w:t>、</w:t>
      </w:r>
      <w:r w:rsidR="00A62AB2" w:rsidRPr="009E464F">
        <w:rPr>
          <w:rFonts w:cs="Times New Roman"/>
          <w:lang w:eastAsia="zh-CN"/>
        </w:rPr>
        <w:t>CYP2C19</w:t>
      </w:r>
      <w:r w:rsidR="00A62AB2" w:rsidRPr="009E464F">
        <w:rPr>
          <w:rFonts w:cs="Times New Roman"/>
          <w:lang w:eastAsia="zh-CN"/>
        </w:rPr>
        <w:t>、</w:t>
      </w:r>
      <w:r w:rsidR="00A62AB2" w:rsidRPr="009E464F">
        <w:rPr>
          <w:rFonts w:cs="Times New Roman"/>
          <w:lang w:eastAsia="zh-CN"/>
        </w:rPr>
        <w:t>CYP2D6</w:t>
      </w:r>
      <w:r w:rsidR="00A62AB2" w:rsidRPr="009E464F">
        <w:rPr>
          <w:rFonts w:cs="Times New Roman"/>
          <w:lang w:eastAsia="zh-CN"/>
        </w:rPr>
        <w:t>和</w:t>
      </w:r>
      <w:r w:rsidR="00A62AB2" w:rsidRPr="009E464F">
        <w:rPr>
          <w:rFonts w:cs="Times New Roman"/>
          <w:lang w:eastAsia="zh-CN"/>
        </w:rPr>
        <w:lastRenderedPageBreak/>
        <w:t>CYP3A</w:t>
      </w:r>
      <w:r w:rsidR="00A62AB2" w:rsidRPr="009E464F">
        <w:rPr>
          <w:rFonts w:cs="Times New Roman"/>
          <w:lang w:eastAsia="zh-CN"/>
        </w:rPr>
        <w:t>的活性</w:t>
      </w:r>
      <w:r w:rsidR="00A62AB2">
        <w:rPr>
          <w:rFonts w:cs="Times New Roman" w:hint="eastAsia"/>
          <w:lang w:eastAsia="zh-CN"/>
        </w:rPr>
        <w:t>产生</w:t>
      </w:r>
      <w:r w:rsidRPr="009E464F">
        <w:rPr>
          <w:rFonts w:cs="Times New Roman"/>
          <w:lang w:eastAsia="zh-CN"/>
        </w:rPr>
        <w:t>可逆</w:t>
      </w:r>
      <w:r w:rsidR="00A62AB2">
        <w:rPr>
          <w:rFonts w:cs="Times New Roman" w:hint="eastAsia"/>
          <w:lang w:eastAsia="zh-CN"/>
        </w:rPr>
        <w:t>性</w:t>
      </w:r>
      <w:r w:rsidRPr="009E464F">
        <w:rPr>
          <w:rFonts w:cs="Times New Roman"/>
          <w:lang w:eastAsia="zh-CN"/>
        </w:rPr>
        <w:t>抑制或</w:t>
      </w:r>
      <w:r w:rsidRPr="009E464F">
        <w:rPr>
          <w:rFonts w:cs="Times New Roman"/>
          <w:lang w:eastAsia="zh-CN"/>
        </w:rPr>
        <w:t>/</w:t>
      </w:r>
      <w:r w:rsidRPr="009E464F">
        <w:rPr>
          <w:rFonts w:cs="Times New Roman"/>
          <w:lang w:eastAsia="zh-CN"/>
        </w:rPr>
        <w:t>和时间依赖性抑制（</w:t>
      </w:r>
      <w:r w:rsidRPr="009E464F">
        <w:rPr>
          <w:rFonts w:cs="Times New Roman"/>
          <w:lang w:eastAsia="zh-CN"/>
        </w:rPr>
        <w:t>Time-dependent inhibition</w:t>
      </w:r>
      <w:r w:rsidRPr="009E464F">
        <w:rPr>
          <w:rFonts w:cs="Times New Roman"/>
          <w:lang w:eastAsia="zh-CN"/>
        </w:rPr>
        <w:t>，</w:t>
      </w:r>
      <w:r w:rsidRPr="009E464F">
        <w:rPr>
          <w:rFonts w:cs="Times New Roman"/>
          <w:lang w:eastAsia="zh-CN"/>
        </w:rPr>
        <w:t>TDI</w:t>
      </w:r>
      <w:r w:rsidRPr="009E464F">
        <w:rPr>
          <w:rFonts w:cs="Times New Roman"/>
          <w:lang w:eastAsia="zh-CN"/>
        </w:rPr>
        <w:t>）。</w:t>
      </w:r>
    </w:p>
    <w:p w14:paraId="28F70268" w14:textId="3EA35931" w:rsidR="00F667F2" w:rsidRPr="009E464F" w:rsidRDefault="00F667F2" w:rsidP="00CB0133">
      <w:pPr>
        <w:spacing w:after="0"/>
        <w:ind w:firstLine="640"/>
        <w:rPr>
          <w:rFonts w:cs="Times New Roman"/>
          <w:lang w:eastAsia="zh-CN"/>
        </w:rPr>
      </w:pPr>
      <w:r w:rsidRPr="009E464F">
        <w:rPr>
          <w:rFonts w:cs="Times New Roman"/>
          <w:lang w:eastAsia="zh-CN"/>
        </w:rPr>
        <w:t>（</w:t>
      </w:r>
      <w:r w:rsidRPr="009E464F">
        <w:rPr>
          <w:rFonts w:cs="Times New Roman"/>
          <w:lang w:eastAsia="zh-CN"/>
        </w:rPr>
        <w:t>2</w:t>
      </w:r>
      <w:r w:rsidRPr="009E464F">
        <w:rPr>
          <w:rFonts w:cs="Times New Roman"/>
          <w:lang w:eastAsia="zh-CN"/>
        </w:rPr>
        <w:t>）</w:t>
      </w:r>
      <w:r>
        <w:rPr>
          <w:rFonts w:cs="Times New Roman" w:hint="eastAsia"/>
          <w:lang w:eastAsia="zh-CN"/>
        </w:rPr>
        <w:t>数据分析</w:t>
      </w:r>
    </w:p>
    <w:p w14:paraId="272427C0" w14:textId="55170B11" w:rsidR="00F667F2" w:rsidRDefault="00F667F2" w:rsidP="00CB0133">
      <w:pPr>
        <w:spacing w:after="0"/>
        <w:ind w:firstLine="640"/>
        <w:rPr>
          <w:rFonts w:cs="Times New Roman"/>
          <w:lang w:eastAsia="zh-CN"/>
        </w:rPr>
      </w:pPr>
      <w:r w:rsidRPr="009E464F">
        <w:rPr>
          <w:rFonts w:cs="Times New Roman"/>
          <w:lang w:eastAsia="zh-CN"/>
        </w:rPr>
        <w:t>对于可逆性抑制的基础模型，应计算预测</w:t>
      </w:r>
      <w:r w:rsidR="00EC65B3">
        <w:rPr>
          <w:rFonts w:cs="Times New Roman" w:hint="eastAsia"/>
          <w:lang w:eastAsia="zh-CN"/>
        </w:rPr>
        <w:t>存在</w:t>
      </w:r>
      <w:r w:rsidRPr="009E464F">
        <w:rPr>
          <w:rFonts w:cs="Times New Roman"/>
          <w:lang w:eastAsia="zh-CN"/>
        </w:rPr>
        <w:t>和</w:t>
      </w:r>
      <w:r w:rsidR="00EC65B3">
        <w:rPr>
          <w:rFonts w:cs="Times New Roman" w:hint="eastAsia"/>
          <w:lang w:eastAsia="zh-CN"/>
        </w:rPr>
        <w:t>不存在</w:t>
      </w:r>
      <w:r w:rsidRPr="009E464F">
        <w:rPr>
          <w:rFonts w:cs="Times New Roman"/>
          <w:lang w:eastAsia="zh-CN"/>
        </w:rPr>
        <w:t>抑制剂时指针底物</w:t>
      </w:r>
      <w:r w:rsidR="00EC65B3">
        <w:rPr>
          <w:rFonts w:cs="Times New Roman" w:hint="eastAsia"/>
          <w:lang w:eastAsia="zh-CN"/>
        </w:rPr>
        <w:t>AUC</w:t>
      </w:r>
      <w:r w:rsidR="00EC65B3">
        <w:rPr>
          <w:rFonts w:cs="Times New Roman" w:hint="eastAsia"/>
          <w:lang w:eastAsia="zh-CN"/>
        </w:rPr>
        <w:t>的</w:t>
      </w:r>
      <w:r w:rsidR="00EC65B3">
        <w:rPr>
          <w:rFonts w:cs="Times New Roman"/>
          <w:lang w:eastAsia="zh-CN"/>
        </w:rPr>
        <w:t>预测</w:t>
      </w:r>
      <w:r w:rsidRPr="009E464F">
        <w:rPr>
          <w:rFonts w:cs="Times New Roman"/>
          <w:lang w:eastAsia="zh-CN"/>
        </w:rPr>
        <w:t>比值</w:t>
      </w:r>
      <w:r w:rsidRPr="009E464F">
        <w:rPr>
          <w:rFonts w:cs="Times New Roman"/>
          <w:lang w:eastAsia="zh-CN"/>
        </w:rPr>
        <w:t>R</w:t>
      </w:r>
      <w:r w:rsidRPr="009E464F">
        <w:rPr>
          <w:rFonts w:cs="Times New Roman"/>
          <w:vertAlign w:val="subscript"/>
          <w:lang w:eastAsia="zh-CN"/>
        </w:rPr>
        <w:t>1</w:t>
      </w:r>
      <w:r w:rsidRPr="009E464F">
        <w:rPr>
          <w:rFonts w:cs="Times New Roman"/>
          <w:lang w:eastAsia="zh-CN"/>
        </w:rPr>
        <w:t>。对于</w:t>
      </w:r>
      <w:r w:rsidRPr="009E464F">
        <w:rPr>
          <w:rFonts w:cs="Times New Roman"/>
          <w:lang w:eastAsia="zh-CN"/>
        </w:rPr>
        <w:t>CYP3A</w:t>
      </w:r>
      <w:r w:rsidRPr="009E464F">
        <w:rPr>
          <w:rFonts w:cs="Times New Roman"/>
          <w:lang w:eastAsia="zh-CN"/>
        </w:rPr>
        <w:t>，</w:t>
      </w:r>
      <w:r w:rsidRPr="009E464F">
        <w:rPr>
          <w:rFonts w:cs="Times New Roman"/>
          <w:lang w:eastAsia="zh-CN"/>
        </w:rPr>
        <w:t>R</w:t>
      </w:r>
      <w:r w:rsidRPr="009E464F">
        <w:rPr>
          <w:rFonts w:cs="Times New Roman"/>
          <w:vertAlign w:val="subscript"/>
          <w:lang w:eastAsia="zh-CN"/>
        </w:rPr>
        <w:t>1</w:t>
      </w:r>
      <w:r w:rsidRPr="009E464F">
        <w:rPr>
          <w:rFonts w:cs="Times New Roman"/>
          <w:vertAlign w:val="subscript"/>
          <w:lang w:eastAsia="zh-CN"/>
        </w:rPr>
        <w:t>，</w:t>
      </w:r>
      <w:r w:rsidRPr="009E464F">
        <w:rPr>
          <w:rFonts w:cs="Times New Roman"/>
          <w:vertAlign w:val="subscript"/>
          <w:lang w:eastAsia="zh-CN"/>
        </w:rPr>
        <w:t>gut</w:t>
      </w:r>
      <w:r w:rsidRPr="009E464F">
        <w:rPr>
          <w:rFonts w:cs="Times New Roman"/>
          <w:lang w:eastAsia="zh-CN"/>
        </w:rPr>
        <w:t>应按图</w:t>
      </w:r>
      <w:r w:rsidR="00EC65B3">
        <w:rPr>
          <w:rFonts w:cs="Times New Roman"/>
          <w:lang w:eastAsia="zh-CN"/>
        </w:rPr>
        <w:t>1</w:t>
      </w:r>
      <w:r w:rsidRPr="009E464F">
        <w:rPr>
          <w:rFonts w:cs="Times New Roman"/>
          <w:lang w:eastAsia="zh-CN"/>
        </w:rPr>
        <w:t>所</w:t>
      </w:r>
      <w:proofErr w:type="gramStart"/>
      <w:r w:rsidRPr="009E464F">
        <w:rPr>
          <w:rFonts w:cs="Times New Roman"/>
          <w:lang w:eastAsia="zh-CN"/>
        </w:rPr>
        <w:t>示进行</w:t>
      </w:r>
      <w:proofErr w:type="gramEnd"/>
      <w:r w:rsidRPr="009E464F">
        <w:rPr>
          <w:rFonts w:cs="Times New Roman"/>
          <w:lang w:eastAsia="zh-CN"/>
        </w:rPr>
        <w:t>计算。</w:t>
      </w:r>
    </w:p>
    <w:p w14:paraId="3115ADAB" w14:textId="696106D9" w:rsidR="00D50183" w:rsidRPr="009E464F" w:rsidRDefault="00D50183" w:rsidP="00CB0133">
      <w:pPr>
        <w:spacing w:after="0"/>
        <w:ind w:firstLine="640"/>
        <w:rPr>
          <w:rFonts w:cs="Times New Roman"/>
          <w:lang w:eastAsia="zh-CN"/>
        </w:rPr>
      </w:pPr>
      <w:r w:rsidRPr="009E464F">
        <w:rPr>
          <w:rFonts w:cs="Times New Roman"/>
          <w:lang w:eastAsia="zh-CN"/>
        </w:rPr>
        <w:t>对于时间依赖性抑制</w:t>
      </w:r>
      <w:r w:rsidR="00EC65B3">
        <w:rPr>
          <w:rFonts w:cs="Times New Roman" w:hint="eastAsia"/>
          <w:lang w:eastAsia="zh-CN"/>
        </w:rPr>
        <w:t>（</w:t>
      </w:r>
      <w:r w:rsidR="00EC65B3">
        <w:rPr>
          <w:rFonts w:cs="Times New Roman"/>
          <w:lang w:eastAsia="zh-CN"/>
        </w:rPr>
        <w:t>TDI</w:t>
      </w:r>
      <w:r w:rsidR="00EC65B3">
        <w:rPr>
          <w:rFonts w:cs="Times New Roman"/>
          <w:lang w:eastAsia="zh-CN"/>
        </w:rPr>
        <w:t>）</w:t>
      </w:r>
      <w:r w:rsidRPr="009E464F">
        <w:rPr>
          <w:rFonts w:cs="Times New Roman"/>
          <w:lang w:eastAsia="zh-CN"/>
        </w:rPr>
        <w:t>的基础模型</w:t>
      </w:r>
      <w:r>
        <w:rPr>
          <w:rFonts w:cs="Times New Roman"/>
          <w:lang w:eastAsia="zh-CN"/>
        </w:rPr>
        <w:t>，应计算</w:t>
      </w:r>
      <w:r w:rsidRPr="009E464F">
        <w:rPr>
          <w:rFonts w:cs="Times New Roman"/>
          <w:lang w:eastAsia="zh-CN"/>
        </w:rPr>
        <w:t>在</w:t>
      </w:r>
      <w:proofErr w:type="gramStart"/>
      <w:r w:rsidRPr="009E464F">
        <w:rPr>
          <w:rFonts w:cs="Times New Roman"/>
          <w:lang w:eastAsia="zh-CN"/>
        </w:rPr>
        <w:t>研</w:t>
      </w:r>
      <w:proofErr w:type="gramEnd"/>
      <w:r w:rsidRPr="009E464F">
        <w:rPr>
          <w:rFonts w:cs="Times New Roman"/>
          <w:lang w:eastAsia="zh-CN"/>
        </w:rPr>
        <w:t>药物</w:t>
      </w:r>
      <w:r>
        <w:rPr>
          <w:rFonts w:cs="Times New Roman" w:hint="eastAsia"/>
          <w:lang w:eastAsia="zh-CN"/>
        </w:rPr>
        <w:t>存在</w:t>
      </w:r>
      <w:r>
        <w:rPr>
          <w:rFonts w:cs="Times New Roman"/>
          <w:lang w:eastAsia="zh-CN"/>
        </w:rPr>
        <w:t>和不存在抑制剂时的</w:t>
      </w:r>
      <w:r>
        <w:rPr>
          <w:rFonts w:cs="Times New Roman"/>
          <w:lang w:eastAsia="zh-CN"/>
        </w:rPr>
        <w:t>AUC</w:t>
      </w:r>
      <w:r>
        <w:rPr>
          <w:rFonts w:cs="Times New Roman"/>
          <w:lang w:eastAsia="zh-CN"/>
        </w:rPr>
        <w:t>预测比率</w:t>
      </w:r>
      <w:r w:rsidRPr="009E464F">
        <w:rPr>
          <w:rFonts w:cs="Times New Roman"/>
          <w:lang w:eastAsia="zh-CN"/>
        </w:rPr>
        <w:t>R</w:t>
      </w:r>
      <w:r w:rsidRPr="009E464F">
        <w:rPr>
          <w:rFonts w:cs="Times New Roman"/>
          <w:vertAlign w:val="subscript"/>
          <w:lang w:eastAsia="zh-CN"/>
        </w:rPr>
        <w:t>2</w:t>
      </w:r>
      <w:r w:rsidRPr="009E464F">
        <w:rPr>
          <w:rFonts w:cs="Times New Roman"/>
          <w:lang w:eastAsia="zh-CN"/>
        </w:rPr>
        <w:t>，如图</w:t>
      </w:r>
      <w:r w:rsidR="00EC65B3">
        <w:rPr>
          <w:rFonts w:cs="Times New Roman"/>
          <w:lang w:eastAsia="zh-CN"/>
        </w:rPr>
        <w:t>2</w:t>
      </w:r>
      <w:r w:rsidRPr="009E464F">
        <w:rPr>
          <w:rFonts w:cs="Times New Roman"/>
          <w:lang w:eastAsia="zh-CN"/>
        </w:rPr>
        <w:t>所示。</w:t>
      </w:r>
    </w:p>
    <w:p w14:paraId="27B44673" w14:textId="3F5F235E" w:rsidR="00F667F2" w:rsidRPr="009E464F" w:rsidRDefault="00F667F2" w:rsidP="0083505F">
      <w:pPr>
        <w:spacing w:after="0" w:line="500" w:lineRule="exact"/>
        <w:ind w:firstLine="422"/>
        <w:jc w:val="center"/>
        <w:rPr>
          <w:rFonts w:cs="Times New Roman"/>
          <w:b/>
          <w:sz w:val="21"/>
          <w:szCs w:val="21"/>
          <w:lang w:eastAsia="zh-CN"/>
        </w:rPr>
      </w:pPr>
      <w:r w:rsidRPr="009E464F">
        <w:rPr>
          <w:rFonts w:cs="Times New Roman"/>
          <w:b/>
          <w:sz w:val="21"/>
          <w:szCs w:val="21"/>
          <w:lang w:eastAsia="zh-CN"/>
        </w:rPr>
        <w:t>图</w:t>
      </w:r>
      <w:r w:rsidR="00EC65B3">
        <w:rPr>
          <w:rFonts w:cs="Times New Roman"/>
          <w:b/>
          <w:sz w:val="21"/>
          <w:szCs w:val="21"/>
          <w:lang w:eastAsia="zh-CN"/>
        </w:rPr>
        <w:t>1</w:t>
      </w:r>
      <w:r w:rsidR="00EC65B3">
        <w:rPr>
          <w:rFonts w:cs="Times New Roman" w:hint="eastAsia"/>
          <w:b/>
          <w:sz w:val="21"/>
          <w:szCs w:val="21"/>
          <w:lang w:eastAsia="zh-CN"/>
        </w:rPr>
        <w:t xml:space="preserve"> </w:t>
      </w:r>
      <w:r w:rsidRPr="009E464F">
        <w:rPr>
          <w:rFonts w:cs="Times New Roman"/>
          <w:b/>
          <w:sz w:val="21"/>
          <w:szCs w:val="21"/>
          <w:lang w:eastAsia="zh-CN"/>
        </w:rPr>
        <w:t>可逆性抑制基础模型中</w:t>
      </w:r>
      <w:r w:rsidRPr="009E464F">
        <w:rPr>
          <w:rFonts w:cs="Times New Roman"/>
          <w:b/>
          <w:sz w:val="21"/>
          <w:szCs w:val="21"/>
          <w:lang w:eastAsia="zh-CN"/>
        </w:rPr>
        <w:t>R</w:t>
      </w:r>
      <w:r w:rsidRPr="009E464F">
        <w:rPr>
          <w:rFonts w:cs="Times New Roman"/>
          <w:b/>
          <w:sz w:val="21"/>
          <w:szCs w:val="21"/>
          <w:lang w:eastAsia="zh-CN"/>
        </w:rPr>
        <w:t>值的计算公式</w:t>
      </w:r>
    </w:p>
    <w:p w14:paraId="49FF6EA3" w14:textId="71A3600E" w:rsidR="00F667F2" w:rsidRPr="009E464F" w:rsidRDefault="00D23709" w:rsidP="0083505F">
      <w:pPr>
        <w:spacing w:line="500" w:lineRule="exact"/>
        <w:ind w:firstLine="422"/>
        <w:rPr>
          <w:rFonts w:cs="Times New Roman"/>
          <w:sz w:val="21"/>
          <w:szCs w:val="21"/>
          <w:lang w:eastAsia="zh-CN"/>
        </w:rPr>
      </w:pPr>
      <w:r>
        <w:rPr>
          <w:rFonts w:cs="Times New Roman"/>
          <w:b/>
          <w:noProof/>
          <w:sz w:val="21"/>
          <w:szCs w:val="21"/>
          <w:lang w:eastAsia="zh-CN"/>
        </w:rPr>
        <mc:AlternateContent>
          <mc:Choice Requires="wps">
            <w:drawing>
              <wp:anchor distT="0" distB="0" distL="114300" distR="114300" simplePos="0" relativeHeight="251697152" behindDoc="0" locked="0" layoutInCell="1" allowOverlap="1" wp14:anchorId="5F4024A5" wp14:editId="27897CD8">
                <wp:simplePos x="0" y="0"/>
                <wp:positionH relativeFrom="margin">
                  <wp:posOffset>67310</wp:posOffset>
                </wp:positionH>
                <wp:positionV relativeFrom="paragraph">
                  <wp:posOffset>12700</wp:posOffset>
                </wp:positionV>
                <wp:extent cx="5343525" cy="1934678"/>
                <wp:effectExtent l="0" t="0" r="28575" b="27940"/>
                <wp:wrapNone/>
                <wp:docPr id="14"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34678"/>
                        </a:xfrm>
                        <a:prstGeom prst="rect">
                          <a:avLst/>
                        </a:prstGeom>
                        <a:solidFill>
                          <a:srgbClr val="FFFFFF"/>
                        </a:solidFill>
                        <a:ln w="9525">
                          <a:solidFill>
                            <a:srgbClr val="000000"/>
                          </a:solidFill>
                          <a:miter lim="800000"/>
                          <a:headEnd/>
                          <a:tailEnd/>
                        </a:ln>
                      </wps:spPr>
                      <wps:txbx>
                        <w:txbxContent>
                          <w:p w14:paraId="6A139DE3" w14:textId="77777777" w:rsidR="00921CF9" w:rsidRPr="002326A6" w:rsidRDefault="003275AF" w:rsidP="00F667F2">
                            <w:pPr>
                              <w:ind w:firstLine="420"/>
                              <w:rPr>
                                <w:rFonts w:cs="Times New Roman"/>
                                <w:sz w:val="21"/>
                                <w:szCs w:val="21"/>
                              </w:rPr>
                            </w:pPr>
                            <m:oMathPara>
                              <m:oMathParaPr>
                                <m:jc m:val="left"/>
                              </m:oMathParaPr>
                              <m:oMath>
                                <m:sSub>
                                  <m:sSubPr>
                                    <m:ctrlPr>
                                      <w:rPr>
                                        <w:rFonts w:ascii="Cambria Math" w:hAnsi="Cambria Math" w:cs="Times New Roman"/>
                                        <w:i/>
                                        <w:sz w:val="21"/>
                                        <w:szCs w:val="21"/>
                                      </w:rPr>
                                    </m:ctrlPr>
                                  </m:sSubPr>
                                  <m:e>
                                    <m:r>
                                      <w:rPr>
                                        <w:rFonts w:ascii="Cambria Math" w:cs="Times New Roman"/>
                                        <w:sz w:val="21"/>
                                        <w:szCs w:val="21"/>
                                      </w:rPr>
                                      <m:t>R</m:t>
                                    </m:r>
                                  </m:e>
                                  <m:sub>
                                    <m:r>
                                      <w:rPr>
                                        <w:rFonts w:ascii="Cambria Math" w:cs="Times New Roman"/>
                                        <w:sz w:val="21"/>
                                        <w:szCs w:val="21"/>
                                      </w:rPr>
                                      <m:t>1</m:t>
                                    </m:r>
                                  </m:sub>
                                </m:sSub>
                                <m:r>
                                  <w:rPr>
                                    <w:rFonts w:ascii="Cambria Math" w:cs="Times New Roman"/>
                                    <w:sz w:val="21"/>
                                    <w:szCs w:val="21"/>
                                  </w:rPr>
                                  <m:t>=1+(</m:t>
                                </m:r>
                                <m:sSub>
                                  <m:sSubPr>
                                    <m:ctrlPr>
                                      <w:rPr>
                                        <w:rFonts w:ascii="Cambria Math" w:hAnsi="Cambria Math" w:cs="Times New Roman"/>
                                        <w:i/>
                                        <w:sz w:val="21"/>
                                        <w:szCs w:val="21"/>
                                      </w:rPr>
                                    </m:ctrlPr>
                                  </m:sSubPr>
                                  <m:e>
                                    <m:r>
                                      <w:rPr>
                                        <w:rFonts w:ascii="Cambria Math" w:cs="Times New Roman"/>
                                        <w:sz w:val="21"/>
                                        <w:szCs w:val="21"/>
                                      </w:rPr>
                                      <m:t>I</m:t>
                                    </m:r>
                                  </m:e>
                                  <m:sub>
                                    <m:func>
                                      <m:funcPr>
                                        <m:ctrlPr>
                                          <w:rPr>
                                            <w:rFonts w:ascii="Cambria Math" w:hAnsi="Cambria Math" w:cs="Times New Roman"/>
                                            <w:i/>
                                            <w:sz w:val="21"/>
                                            <w:szCs w:val="21"/>
                                          </w:rPr>
                                        </m:ctrlPr>
                                      </m:funcPr>
                                      <m:fName>
                                        <m:r>
                                          <w:rPr>
                                            <w:rFonts w:ascii="Cambria Math" w:cs="Times New Roman"/>
                                            <w:sz w:val="21"/>
                                            <w:szCs w:val="21"/>
                                          </w:rPr>
                                          <m:t>max,</m:t>
                                        </m:r>
                                      </m:fName>
                                      <m:e>
                                        <m:r>
                                          <w:rPr>
                                            <w:rFonts w:ascii="Cambria Math" w:cs="Times New Roman"/>
                                            <w:sz w:val="21"/>
                                            <w:szCs w:val="21"/>
                                          </w:rPr>
                                          <m:t>u</m:t>
                                        </m:r>
                                      </m:e>
                                    </m:func>
                                  </m:sub>
                                </m:sSub>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i</m:t>
                                    </m:r>
                                    <m:r>
                                      <m:rPr>
                                        <m:sty m:val="p"/>
                                      </m:rPr>
                                      <w:rPr>
                                        <w:rFonts w:ascii="Cambria Math" w:cs="Times New Roman"/>
                                        <w:sz w:val="21"/>
                                        <w:szCs w:val="21"/>
                                        <w:lang w:eastAsia="zh-CN"/>
                                      </w:rPr>
                                      <m:t>,u</m:t>
                                    </m:r>
                                  </m:sub>
                                </m:sSub>
                                <m:r>
                                  <m:rPr>
                                    <m:sty m:val="p"/>
                                  </m:rPr>
                                  <w:rPr>
                                    <w:rFonts w:ascii="Cambria Math" w:cs="Times New Roman" w:hint="eastAsia"/>
                                    <w:sz w:val="21"/>
                                    <w:szCs w:val="21"/>
                                    <w:lang w:eastAsia="zh-CN"/>
                                  </w:rPr>
                                  <m:t>，</m:t>
                                </m:r>
                                <m:r>
                                  <w:rPr>
                                    <w:rFonts w:ascii="Cambria Math" w:cs="Times New Roman"/>
                                    <w:sz w:val="21"/>
                                    <w:szCs w:val="21"/>
                                  </w:rPr>
                                  <m:t>)</m:t>
                                </m:r>
                                <m:r>
                                  <m:rPr>
                                    <m:sty m:val="p"/>
                                  </m:rPr>
                                  <w:rPr>
                                    <w:rFonts w:ascii="Cambria Math" w:cs="Times New Roman"/>
                                    <w:sz w:val="21"/>
                                    <w:szCs w:val="21"/>
                                  </w:rPr>
                                  <w:br/>
                                </m:r>
                              </m:oMath>
                              <m:oMath>
                                <m:sSub>
                                  <m:sSubPr>
                                    <m:ctrlPr>
                                      <w:rPr>
                                        <w:rFonts w:ascii="Cambria Math" w:hAnsi="Cambria Math" w:cs="Times New Roman"/>
                                        <w:i/>
                                        <w:sz w:val="21"/>
                                        <w:szCs w:val="21"/>
                                      </w:rPr>
                                    </m:ctrlPr>
                                  </m:sSubPr>
                                  <m:e>
                                    <m:r>
                                      <w:rPr>
                                        <w:rFonts w:ascii="Cambria Math" w:cs="Times New Roman"/>
                                        <w:sz w:val="21"/>
                                        <w:szCs w:val="21"/>
                                      </w:rPr>
                                      <m:t>R</m:t>
                                    </m:r>
                                  </m:e>
                                  <m:sub>
                                    <m:r>
                                      <w:rPr>
                                        <w:rFonts w:ascii="Cambria Math" w:cs="Times New Roman"/>
                                        <w:sz w:val="21"/>
                                        <w:szCs w:val="21"/>
                                      </w:rPr>
                                      <m:t>1,gut</m:t>
                                    </m:r>
                                  </m:sub>
                                </m:sSub>
                                <m:r>
                                  <w:rPr>
                                    <w:rFonts w:ascii="Cambria Math" w:cs="Times New Roman"/>
                                    <w:sz w:val="21"/>
                                    <w:szCs w:val="21"/>
                                  </w:rPr>
                                  <m:t>=1+(</m:t>
                                </m:r>
                                <m:sSub>
                                  <m:sSubPr>
                                    <m:ctrlPr>
                                      <w:rPr>
                                        <w:rFonts w:ascii="Cambria Math" w:hAnsi="Cambria Math" w:cs="Times New Roman"/>
                                        <w:i/>
                                        <w:sz w:val="21"/>
                                        <w:szCs w:val="21"/>
                                      </w:rPr>
                                    </m:ctrlPr>
                                  </m:sSubPr>
                                  <m:e>
                                    <m:r>
                                      <w:rPr>
                                        <w:rFonts w:ascii="Cambria Math" w:cs="Times New Roman"/>
                                        <w:sz w:val="21"/>
                                        <w:szCs w:val="21"/>
                                      </w:rPr>
                                      <m:t>I</m:t>
                                    </m:r>
                                  </m:e>
                                  <m:sub>
                                    <m:r>
                                      <w:rPr>
                                        <w:rFonts w:ascii="Cambria Math" w:cs="Times New Roman"/>
                                        <w:sz w:val="21"/>
                                        <w:szCs w:val="21"/>
                                      </w:rPr>
                                      <m:t>gut</m:t>
                                    </m:r>
                                  </m:sub>
                                </m:sSub>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i,u</m:t>
                                    </m:r>
                                  </m:sub>
                                </m:sSub>
                                <m:r>
                                  <w:rPr>
                                    <w:rFonts w:ascii="Cambria Math" w:cs="Times New Roman"/>
                                    <w:sz w:val="21"/>
                                    <w:szCs w:val="21"/>
                                  </w:rPr>
                                  <m:t>)</m:t>
                                </m:r>
                              </m:oMath>
                            </m:oMathPara>
                          </w:p>
                          <w:p w14:paraId="0D9CEB5A" w14:textId="4C595CCD" w:rsidR="00921CF9" w:rsidRPr="002326A6" w:rsidRDefault="00921CF9" w:rsidP="00F667F2">
                            <w:pPr>
                              <w:spacing w:after="0" w:line="240" w:lineRule="auto"/>
                              <w:ind w:firstLine="420"/>
                              <w:rPr>
                                <w:rFonts w:cs="Times New Roman"/>
                                <w:sz w:val="21"/>
                                <w:szCs w:val="21"/>
                                <w:lang w:eastAsia="zh-CN"/>
                              </w:rPr>
                            </w:pPr>
                            <w:r w:rsidRPr="002326A6">
                              <w:rPr>
                                <w:rFonts w:cs="Times New Roman"/>
                                <w:sz w:val="21"/>
                                <w:szCs w:val="21"/>
                                <w:lang w:eastAsia="zh-CN"/>
                              </w:rPr>
                              <w:t>I</w:t>
                            </w:r>
                            <w:r w:rsidRPr="002326A6">
                              <w:rPr>
                                <w:rFonts w:cs="Times New Roman"/>
                                <w:sz w:val="21"/>
                                <w:szCs w:val="21"/>
                                <w:vertAlign w:val="subscript"/>
                                <w:lang w:eastAsia="zh-CN"/>
                              </w:rPr>
                              <w:t>max,u</w:t>
                            </w:r>
                            <w:r>
                              <w:rPr>
                                <w:rFonts w:hAnsi="宋体" w:cs="Times New Roman" w:hint="eastAsia"/>
                                <w:sz w:val="21"/>
                                <w:szCs w:val="21"/>
                                <w:lang w:eastAsia="zh-CN"/>
                              </w:rPr>
                              <w:t>：</w:t>
                            </w:r>
                            <w:r w:rsidRPr="002326A6">
                              <w:rPr>
                                <w:rFonts w:hAnsi="宋体" w:cs="Times New Roman" w:hint="eastAsia"/>
                                <w:sz w:val="21"/>
                                <w:szCs w:val="21"/>
                                <w:lang w:eastAsia="zh-CN"/>
                              </w:rPr>
                              <w:t>抑制剂</w:t>
                            </w:r>
                            <w:r w:rsidRPr="002326A6">
                              <w:rPr>
                                <w:rFonts w:hAnsi="宋体" w:cs="Times New Roman"/>
                                <w:sz w:val="21"/>
                                <w:szCs w:val="21"/>
                                <w:lang w:eastAsia="zh-CN"/>
                              </w:rPr>
                              <w:t>的</w:t>
                            </w:r>
                            <w:r w:rsidRPr="002326A6">
                              <w:rPr>
                                <w:rFonts w:hAnsi="宋体" w:cs="Times New Roman" w:hint="eastAsia"/>
                                <w:sz w:val="21"/>
                                <w:szCs w:val="21"/>
                                <w:lang w:eastAsia="zh-CN"/>
                              </w:rPr>
                              <w:t>稳态下</w:t>
                            </w:r>
                            <w:proofErr w:type="gramStart"/>
                            <w:r w:rsidRPr="002326A6">
                              <w:rPr>
                                <w:rFonts w:hAnsi="宋体" w:cs="Times New Roman"/>
                                <w:sz w:val="21"/>
                                <w:szCs w:val="21"/>
                                <w:lang w:eastAsia="zh-CN"/>
                              </w:rPr>
                              <w:t>最大未</w:t>
                            </w:r>
                            <w:proofErr w:type="gramEnd"/>
                            <w:r w:rsidRPr="002326A6">
                              <w:rPr>
                                <w:rFonts w:hAnsi="宋体" w:cs="Times New Roman"/>
                                <w:sz w:val="21"/>
                                <w:szCs w:val="21"/>
                                <w:lang w:eastAsia="zh-CN"/>
                              </w:rPr>
                              <w:t>结合血浆浓度</w:t>
                            </w:r>
                            <w:r>
                              <w:rPr>
                                <w:rFonts w:hAnsi="宋体" w:cs="Times New Roman" w:hint="eastAsia"/>
                                <w:sz w:val="21"/>
                                <w:szCs w:val="21"/>
                                <w:lang w:eastAsia="zh-CN"/>
                              </w:rPr>
                              <w:t>；</w:t>
                            </w:r>
                            <w:r w:rsidRPr="002326A6">
                              <w:rPr>
                                <w:rFonts w:cs="Times New Roman"/>
                                <w:sz w:val="21"/>
                                <w:szCs w:val="21"/>
                                <w:vertAlign w:val="superscript"/>
                                <w:lang w:eastAsia="zh-CN"/>
                              </w:rPr>
                              <w:t>*</w:t>
                            </w:r>
                          </w:p>
                          <w:p w14:paraId="57FDA606" w14:textId="0309B994" w:rsidR="00921CF9" w:rsidRPr="002326A6" w:rsidRDefault="00921CF9" w:rsidP="00F667F2">
                            <w:pPr>
                              <w:spacing w:after="0" w:line="240" w:lineRule="auto"/>
                              <w:ind w:firstLine="420"/>
                              <w:rPr>
                                <w:rFonts w:hAnsi="宋体" w:cs="Times New Roman"/>
                                <w:sz w:val="21"/>
                                <w:szCs w:val="21"/>
                                <w:lang w:eastAsia="zh-CN"/>
                              </w:rPr>
                            </w:pPr>
                            <w:r w:rsidRPr="002326A6">
                              <w:rPr>
                                <w:rFonts w:cs="Times New Roman"/>
                                <w:sz w:val="21"/>
                                <w:szCs w:val="21"/>
                                <w:lang w:eastAsia="zh-CN"/>
                              </w:rPr>
                              <w:t>I</w:t>
                            </w:r>
                            <w:r w:rsidRPr="002326A6">
                              <w:rPr>
                                <w:rFonts w:cs="Times New Roman"/>
                                <w:sz w:val="21"/>
                                <w:szCs w:val="21"/>
                                <w:vertAlign w:val="subscript"/>
                                <w:lang w:eastAsia="zh-CN"/>
                              </w:rPr>
                              <w:t>gut</w:t>
                            </w:r>
                            <w:r>
                              <w:rPr>
                                <w:rFonts w:hAnsi="宋体" w:cs="Times New Roman" w:hint="eastAsia"/>
                                <w:sz w:val="21"/>
                                <w:szCs w:val="21"/>
                                <w:lang w:eastAsia="zh-CN"/>
                              </w:rPr>
                              <w:t>：</w:t>
                            </w:r>
                            <w:r w:rsidRPr="002326A6">
                              <w:rPr>
                                <w:rFonts w:hAnsi="宋体" w:cs="Times New Roman" w:hint="eastAsia"/>
                                <w:sz w:val="21"/>
                                <w:szCs w:val="21"/>
                                <w:lang w:eastAsia="zh-CN"/>
                              </w:rPr>
                              <w:t>抑制剂</w:t>
                            </w:r>
                            <w:r w:rsidRPr="002326A6">
                              <w:rPr>
                                <w:rFonts w:hAnsi="宋体" w:cs="Times New Roman"/>
                                <w:sz w:val="21"/>
                                <w:szCs w:val="21"/>
                                <w:lang w:eastAsia="zh-CN"/>
                              </w:rPr>
                              <w:t>的肠腔内浓度，</w:t>
                            </w:r>
                            <w:r w:rsidRPr="002326A6">
                              <w:rPr>
                                <w:rFonts w:hAnsi="宋体" w:cs="Times New Roman" w:hint="eastAsia"/>
                                <w:sz w:val="21"/>
                                <w:szCs w:val="21"/>
                                <w:lang w:eastAsia="zh-CN"/>
                              </w:rPr>
                              <w:t>可以按照</w:t>
                            </w:r>
                            <w:r w:rsidRPr="002326A6">
                              <w:rPr>
                                <w:rFonts w:hAnsi="宋体" w:cs="Times New Roman"/>
                                <w:sz w:val="21"/>
                                <w:szCs w:val="21"/>
                                <w:lang w:eastAsia="zh-CN"/>
                              </w:rPr>
                              <w:t>下列公式</w:t>
                            </w:r>
                            <w:r w:rsidRPr="002326A6">
                              <w:rPr>
                                <w:rFonts w:hAnsi="宋体" w:cs="Times New Roman" w:hint="eastAsia"/>
                                <w:sz w:val="21"/>
                                <w:szCs w:val="21"/>
                                <w:lang w:eastAsia="zh-CN"/>
                              </w:rPr>
                              <w:t>计算</w:t>
                            </w:r>
                            <w:r>
                              <w:rPr>
                                <w:rFonts w:hAnsi="宋体" w:cs="Times New Roman" w:hint="eastAsia"/>
                                <w:sz w:val="21"/>
                                <w:szCs w:val="21"/>
                                <w:lang w:eastAsia="zh-CN"/>
                              </w:rPr>
                              <w:t>；</w:t>
                            </w:r>
                          </w:p>
                          <w:p w14:paraId="38D71536" w14:textId="5DF69846" w:rsidR="00921CF9" w:rsidRPr="002326A6" w:rsidRDefault="00921CF9" w:rsidP="00F667F2">
                            <w:pPr>
                              <w:spacing w:after="0" w:line="240" w:lineRule="auto"/>
                              <w:ind w:firstLine="420"/>
                              <w:rPr>
                                <w:rFonts w:cs="Times New Roman"/>
                                <w:sz w:val="21"/>
                                <w:szCs w:val="21"/>
                                <w:lang w:eastAsia="zh-CN"/>
                              </w:rPr>
                            </w:pPr>
                            <w:r w:rsidRPr="002326A6">
                              <w:rPr>
                                <w:rFonts w:cs="Times New Roman"/>
                                <w:sz w:val="21"/>
                                <w:szCs w:val="21"/>
                                <w:lang w:eastAsia="zh-CN"/>
                              </w:rPr>
                              <w:t>I</w:t>
                            </w:r>
                            <w:r w:rsidRPr="002326A6">
                              <w:rPr>
                                <w:rFonts w:cs="Times New Roman"/>
                                <w:sz w:val="21"/>
                                <w:szCs w:val="21"/>
                                <w:vertAlign w:val="subscript"/>
                                <w:lang w:eastAsia="zh-CN"/>
                              </w:rPr>
                              <w:t>gut</w:t>
                            </w:r>
                            <w:r w:rsidRPr="002326A6">
                              <w:rPr>
                                <w:rFonts w:cs="Times New Roman"/>
                                <w:sz w:val="21"/>
                                <w:szCs w:val="21"/>
                                <w:lang w:eastAsia="zh-CN"/>
                              </w:rPr>
                              <w:t>=</w:t>
                            </w:r>
                            <w:r w:rsidRPr="002326A6">
                              <w:rPr>
                                <w:rFonts w:cs="Times New Roman"/>
                                <w:sz w:val="21"/>
                                <w:szCs w:val="21"/>
                                <w:lang w:eastAsia="zh-CN"/>
                              </w:rPr>
                              <w:t>给药剂量</w:t>
                            </w:r>
                            <w:r w:rsidRPr="002326A6">
                              <w:rPr>
                                <w:rFonts w:cs="Times New Roman" w:hint="eastAsia"/>
                                <w:sz w:val="21"/>
                                <w:szCs w:val="21"/>
                                <w:lang w:eastAsia="zh-CN"/>
                              </w:rPr>
                              <w:t>/25</w:t>
                            </w:r>
                            <w:r w:rsidRPr="002326A6">
                              <w:rPr>
                                <w:rFonts w:cs="Times New Roman"/>
                                <w:sz w:val="21"/>
                                <w:szCs w:val="21"/>
                                <w:lang w:eastAsia="zh-CN"/>
                              </w:rPr>
                              <w:t>0 mL</w:t>
                            </w:r>
                            <w:r>
                              <w:rPr>
                                <w:rFonts w:cs="Times New Roman" w:hint="eastAsia"/>
                                <w:sz w:val="21"/>
                                <w:szCs w:val="21"/>
                                <w:lang w:eastAsia="zh-CN"/>
                              </w:rPr>
                              <w:t>；</w:t>
                            </w:r>
                          </w:p>
                          <w:p w14:paraId="2E559B13" w14:textId="272126BA" w:rsidR="00921CF9" w:rsidRDefault="00921CF9" w:rsidP="00F667F2">
                            <w:pPr>
                              <w:spacing w:after="0" w:line="240" w:lineRule="auto"/>
                              <w:ind w:firstLine="420"/>
                              <w:rPr>
                                <w:rFonts w:hAnsi="宋体" w:cs="Times New Roman"/>
                                <w:sz w:val="21"/>
                                <w:szCs w:val="21"/>
                                <w:lang w:eastAsia="zh-CN"/>
                              </w:rPr>
                            </w:pPr>
                            <w:r w:rsidRPr="002326A6">
                              <w:rPr>
                                <w:rFonts w:cs="Times New Roman"/>
                                <w:sz w:val="21"/>
                                <w:szCs w:val="21"/>
                                <w:lang w:eastAsia="zh-CN"/>
                              </w:rPr>
                              <w:t>K</w:t>
                            </w:r>
                            <w:r w:rsidRPr="002326A6">
                              <w:rPr>
                                <w:rFonts w:cs="Times New Roman"/>
                                <w:sz w:val="21"/>
                                <w:szCs w:val="21"/>
                                <w:vertAlign w:val="subscript"/>
                                <w:lang w:eastAsia="zh-CN"/>
                              </w:rPr>
                              <w:t>i,u</w:t>
                            </w:r>
                            <w:r>
                              <w:rPr>
                                <w:rFonts w:hAnsi="宋体" w:cs="Times New Roman" w:hint="eastAsia"/>
                                <w:sz w:val="21"/>
                                <w:szCs w:val="21"/>
                                <w:lang w:eastAsia="zh-CN"/>
                              </w:rPr>
                              <w:t>：</w:t>
                            </w:r>
                            <w:r w:rsidRPr="002326A6">
                              <w:rPr>
                                <w:rFonts w:hAnsi="宋体" w:cs="Times New Roman"/>
                                <w:sz w:val="21"/>
                                <w:szCs w:val="21"/>
                                <w:lang w:eastAsia="zh-CN"/>
                              </w:rPr>
                              <w:t>体外测定的未结合抑制常数。</w:t>
                            </w:r>
                          </w:p>
                          <w:p w14:paraId="6C7C9C9D" w14:textId="77777777" w:rsidR="00921CF9" w:rsidRPr="002326A6" w:rsidRDefault="00921CF9" w:rsidP="00145505">
                            <w:pPr>
                              <w:spacing w:after="0" w:line="240" w:lineRule="auto"/>
                              <w:ind w:firstLine="420"/>
                              <w:rPr>
                                <w:rFonts w:cs="Times New Roman"/>
                                <w:sz w:val="21"/>
                                <w:szCs w:val="21"/>
                                <w:lang w:eastAsia="zh-CN"/>
                              </w:rPr>
                            </w:pPr>
                            <w:r w:rsidRPr="002326A6">
                              <w:rPr>
                                <w:rFonts w:hAnsi="宋体" w:cs="Times New Roman"/>
                                <w:sz w:val="21"/>
                                <w:szCs w:val="21"/>
                                <w:lang w:eastAsia="zh-CN"/>
                              </w:rPr>
                              <w:t>注意：</w:t>
                            </w:r>
                            <w:r w:rsidRPr="002326A6">
                              <w:rPr>
                                <w:rFonts w:cs="Times New Roman"/>
                                <w:sz w:val="21"/>
                                <w:szCs w:val="21"/>
                                <w:lang w:eastAsia="zh-CN"/>
                              </w:rPr>
                              <w:t>I</w:t>
                            </w:r>
                            <w:r w:rsidRPr="002326A6">
                              <w:rPr>
                                <w:rFonts w:hAnsi="宋体" w:cs="Times New Roman"/>
                                <w:sz w:val="21"/>
                                <w:szCs w:val="21"/>
                                <w:lang w:eastAsia="zh-CN"/>
                              </w:rPr>
                              <w:t>和</w:t>
                            </w:r>
                            <w:r w:rsidRPr="002326A6">
                              <w:rPr>
                                <w:rFonts w:cs="Times New Roman"/>
                                <w:sz w:val="21"/>
                                <w:szCs w:val="21"/>
                                <w:lang w:eastAsia="zh-CN"/>
                              </w:rPr>
                              <w:t>K</w:t>
                            </w:r>
                            <w:r w:rsidRPr="002326A6">
                              <w:rPr>
                                <w:rFonts w:cs="Times New Roman"/>
                                <w:sz w:val="21"/>
                                <w:szCs w:val="21"/>
                                <w:vertAlign w:val="subscript"/>
                                <w:lang w:eastAsia="zh-CN"/>
                              </w:rPr>
                              <w:t>i</w:t>
                            </w:r>
                            <w:r w:rsidRPr="002326A6">
                              <w:rPr>
                                <w:rFonts w:hAnsi="宋体" w:cs="Times New Roman"/>
                                <w:sz w:val="21"/>
                                <w:szCs w:val="21"/>
                                <w:lang w:eastAsia="zh-CN"/>
                              </w:rPr>
                              <w:t>需要以相同的单位表示（例如以摩尔浓度为单位）。</w:t>
                            </w:r>
                          </w:p>
                          <w:p w14:paraId="08B5C2AE" w14:textId="03912B26" w:rsidR="00921CF9" w:rsidRDefault="00921CF9" w:rsidP="00145505">
                            <w:pPr>
                              <w:spacing w:after="0" w:line="240" w:lineRule="auto"/>
                              <w:ind w:firstLine="420"/>
                              <w:rPr>
                                <w:rFonts w:hAnsi="宋体" w:cs="Times New Roman"/>
                                <w:sz w:val="21"/>
                                <w:szCs w:val="21"/>
                                <w:lang w:eastAsia="zh-CN"/>
                              </w:rPr>
                            </w:pPr>
                            <w:r w:rsidRPr="002326A6">
                              <w:rPr>
                                <w:rFonts w:cs="Times New Roman"/>
                                <w:sz w:val="21"/>
                                <w:szCs w:val="21"/>
                                <w:vertAlign w:val="superscript"/>
                                <w:lang w:eastAsia="zh-CN"/>
                              </w:rPr>
                              <w:t>*</w:t>
                            </w:r>
                            <w:r w:rsidRPr="002326A6">
                              <w:rPr>
                                <w:rFonts w:hAnsi="宋体" w:cs="Times New Roman"/>
                                <w:sz w:val="21"/>
                                <w:szCs w:val="21"/>
                                <w:lang w:eastAsia="zh-CN"/>
                              </w:rPr>
                              <w:t>考虑到蛋白结合测定的不确定性，如果试验测定结果</w:t>
                            </w:r>
                            <w:r w:rsidRPr="002326A6">
                              <w:rPr>
                                <w:rFonts w:cs="Times New Roman"/>
                                <w:sz w:val="21"/>
                                <w:szCs w:val="21"/>
                                <w:lang w:eastAsia="zh-CN"/>
                              </w:rPr>
                              <w:t>&lt;1%</w:t>
                            </w:r>
                            <w:r w:rsidRPr="002326A6">
                              <w:rPr>
                                <w:rFonts w:hAnsi="宋体" w:cs="Times New Roman"/>
                                <w:sz w:val="21"/>
                                <w:szCs w:val="21"/>
                                <w:lang w:eastAsia="zh-CN"/>
                              </w:rPr>
                              <w:t>，则血浆中未结合的部分应设定为</w:t>
                            </w:r>
                            <w:r w:rsidRPr="002326A6">
                              <w:rPr>
                                <w:rFonts w:cs="Times New Roman"/>
                                <w:sz w:val="21"/>
                                <w:szCs w:val="21"/>
                                <w:lang w:eastAsia="zh-CN"/>
                              </w:rPr>
                              <w:t>1%</w:t>
                            </w:r>
                            <w:r w:rsidRPr="002326A6">
                              <w:rPr>
                                <w:rFonts w:hAnsi="宋体" w:cs="Times New Roman"/>
                                <w:sz w:val="21"/>
                                <w:szCs w:val="21"/>
                                <w:lang w:eastAsia="zh-CN"/>
                              </w:rPr>
                              <w:t>（血浆中未结合的部分（</w:t>
                            </w:r>
                            <w:r w:rsidRPr="002326A6">
                              <w:rPr>
                                <w:rFonts w:cs="Times New Roman"/>
                                <w:sz w:val="21"/>
                                <w:szCs w:val="21"/>
                                <w:lang w:eastAsia="zh-CN"/>
                              </w:rPr>
                              <w:t>f</w:t>
                            </w:r>
                            <w:r w:rsidRPr="002326A6">
                              <w:rPr>
                                <w:rFonts w:cs="Times New Roman"/>
                                <w:sz w:val="21"/>
                                <w:szCs w:val="21"/>
                                <w:vertAlign w:val="subscript"/>
                                <w:lang w:eastAsia="zh-CN"/>
                              </w:rPr>
                              <w:t>u, p</w:t>
                            </w:r>
                            <w:r w:rsidRPr="002326A6">
                              <w:rPr>
                                <w:rFonts w:hAnsi="宋体" w:cs="Times New Roman"/>
                                <w:sz w:val="21"/>
                                <w:szCs w:val="21"/>
                                <w:lang w:eastAsia="zh-CN"/>
                              </w:rPr>
                              <w:t>）</w:t>
                            </w:r>
                            <w:r w:rsidRPr="002326A6">
                              <w:rPr>
                                <w:rFonts w:cs="Times New Roman"/>
                                <w:sz w:val="21"/>
                                <w:szCs w:val="21"/>
                                <w:lang w:eastAsia="zh-CN"/>
                              </w:rPr>
                              <w:t>=0.01</w:t>
                            </w:r>
                            <w:r w:rsidRPr="002326A6">
                              <w:rPr>
                                <w:rFonts w:hAnsi="宋体" w:cs="Times New Roman"/>
                                <w:sz w:val="21"/>
                                <w:szCs w:val="21"/>
                                <w:lang w:eastAsia="zh-CN"/>
                              </w:rPr>
                              <w:t>）。</w:t>
                            </w:r>
                          </w:p>
                          <w:p w14:paraId="07D1247A" w14:textId="77777777" w:rsidR="00921CF9" w:rsidRPr="002326A6" w:rsidRDefault="00921CF9" w:rsidP="00F667F2">
                            <w:pPr>
                              <w:spacing w:after="0" w:line="240" w:lineRule="auto"/>
                              <w:ind w:firstLine="420"/>
                              <w:rPr>
                                <w:rFonts w:cs="Times New Roman"/>
                                <w:sz w:val="21"/>
                                <w:szCs w:val="21"/>
                                <w:lang w:eastAsia="zh-C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4024A5" id="_x0000_t202" coordsize="21600,21600" o:spt="202" path="m,l,21600r21600,l21600,xe">
                <v:stroke joinstyle="miter"/>
                <v:path gradientshapeok="t" o:connecttype="rect"/>
              </v:shapetype>
              <v:shape id="文本框 3" o:spid="_x0000_s1026" type="#_x0000_t202" style="position:absolute;left:0;text-align:left;margin-left:5.3pt;margin-top:1pt;width:420.75pt;height:152.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9AhOgIAAFMEAAAOAAAAZHJzL2Uyb0RvYy54bWysVM2O0zAQviPxDpbvNP1Jd9uo6WrpUoS0&#10;/EgLD+A4TmPheIztNikPsLwBJy7cea4+B2OnW8qPOCBysGY8429mvpnJ4qprFNkJ6yTonI4GQ0qE&#10;5lBKvcnpu7frJzNKnGe6ZAq0yOleOHq1fPxo0ZpMjKEGVQpLEES7rDU5rb03WZI4XouGuQEYodFY&#10;gW2YR9VuktKyFtEblYyHw4ukBVsaC1w4h7c3vZEuI35VCe5fV5UTnqicYm4+njaeRTiT5YJlG8tM&#10;LfkxDfYPWTRMagx6grphnpGtlb9BNZJbcFD5AYcmgaqSXMQasJrR8Jdq7mpmRKwFyXHmRJP7f7D8&#10;1e6NJbLE3qWUaNZgjw6fPx2+fDt8vSeTwE9rXIZudwYdffcUOvSNtTpzC/y9IxpWNdMbcW0ttLVg&#10;JeY3Ci+Ts6c9jgsgRfsSSozDth4iUFfZJpCHdBBExz7tT70RnSccL6eTdDIdTynhaBvNJ+nF5SzG&#10;YNnDc2Odfy6gIUHIqcXmR3i2u3U+pMOyB5cQzYGS5VoqFRW7KVbKkh3DQVnH74j+k5vSpM3pPCTy&#10;d4hh/P4E0UiPE69kk9PZyYllgbdnuozz6JlUvYwpK30kMnDXs+i7ojs2poByj5Ra6CcbNxGFGuxH&#10;Slqc6py6D1tmBSXqhca2zEdpGtYgKun0coyKPbcU5xamOULl1FPSiyvfr87WWLmpMVI/CBqusZWV&#10;jCSHnvdZHfPGyY3cH7csrMa5Hr1+/AuW3wEAAP//AwBQSwMEFAAGAAgAAAAhAM1frZPeAAAACAEA&#10;AA8AAABkcnMvZG93bnJldi54bWxMj8FOwzAQRO9I/IO1SFxQazeFNIQ4FUIC0Ru0CK5u7CYR9jrY&#10;bhr+nuUEx9GMZt5U68lZNpoQe48SFnMBzGDjdY+thLfd46wAFpNCraxHI+HbRFjX52eVKrU/4asZ&#10;t6llVIKxVBK6lIaS89h0xqk494NB8g4+OJVIhpbroE5U7izPhMi5Uz3SQqcG89CZ5nN7dBKK6+fx&#10;I26WL+9NfrC36Wo1Pn0FKS8vpvs7YMlM6S8Mv/iEDjUx7f0RdWSWtMgpKSGjR2QXN9kC2F7CUuQr&#10;4HXF/x+ofwAAAP//AwBQSwECLQAUAAYACAAAACEAtoM4kv4AAADhAQAAEwAAAAAAAAAAAAAAAAAA&#10;AAAAW0NvbnRlbnRfVHlwZXNdLnhtbFBLAQItABQABgAIAAAAIQA4/SH/1gAAAJQBAAALAAAAAAAA&#10;AAAAAAAAAC8BAABfcmVscy8ucmVsc1BLAQItABQABgAIAAAAIQBX99AhOgIAAFMEAAAOAAAAAAAA&#10;AAAAAAAAAC4CAABkcnMvZTJvRG9jLnhtbFBLAQItABQABgAIAAAAIQDNX62T3gAAAAgBAAAPAAAA&#10;AAAAAAAAAAAAAJQEAABkcnMvZG93bnJldi54bWxQSwUGAAAAAAQABADzAAAAnwUAAAAA&#10;">
                <v:textbox>
                  <w:txbxContent>
                    <w:p w14:paraId="6A139DE3" w14:textId="77777777" w:rsidR="00921CF9" w:rsidRPr="002326A6" w:rsidRDefault="00307339" w:rsidP="00F667F2">
                      <w:pPr>
                        <w:ind w:firstLine="420"/>
                        <w:rPr>
                          <w:rFonts w:cs="Times New Roman"/>
                          <w:sz w:val="21"/>
                          <w:szCs w:val="21"/>
                        </w:rPr>
                      </w:pPr>
                      <m:oMathPara>
                        <m:oMathParaPr>
                          <m:jc m:val="left"/>
                        </m:oMathParaPr>
                        <m:oMath>
                          <m:sSub>
                            <m:sSubPr>
                              <m:ctrlPr>
                                <w:rPr>
                                  <w:rFonts w:ascii="Cambria Math" w:hAnsi="Cambria Math" w:cs="Times New Roman"/>
                                  <w:i/>
                                  <w:sz w:val="21"/>
                                  <w:szCs w:val="21"/>
                                </w:rPr>
                              </m:ctrlPr>
                            </m:sSubPr>
                            <m:e>
                              <m:r>
                                <w:rPr>
                                  <w:rFonts w:ascii="Cambria Math" w:cs="Times New Roman"/>
                                  <w:sz w:val="21"/>
                                  <w:szCs w:val="21"/>
                                </w:rPr>
                                <m:t>R</m:t>
                              </m:r>
                            </m:e>
                            <m:sub>
                              <m:r>
                                <w:rPr>
                                  <w:rFonts w:ascii="Cambria Math" w:cs="Times New Roman"/>
                                  <w:sz w:val="21"/>
                                  <w:szCs w:val="21"/>
                                </w:rPr>
                                <m:t>1</m:t>
                              </m:r>
                            </m:sub>
                          </m:sSub>
                          <m:r>
                            <w:rPr>
                              <w:rFonts w:ascii="Cambria Math" w:cs="Times New Roman"/>
                              <w:sz w:val="21"/>
                              <w:szCs w:val="21"/>
                            </w:rPr>
                            <m:t>=1+(</m:t>
                          </m:r>
                          <m:sSub>
                            <m:sSubPr>
                              <m:ctrlPr>
                                <w:rPr>
                                  <w:rFonts w:ascii="Cambria Math" w:hAnsi="Cambria Math" w:cs="Times New Roman"/>
                                  <w:i/>
                                  <w:sz w:val="21"/>
                                  <w:szCs w:val="21"/>
                                </w:rPr>
                              </m:ctrlPr>
                            </m:sSubPr>
                            <m:e>
                              <m:r>
                                <w:rPr>
                                  <w:rFonts w:ascii="Cambria Math" w:cs="Times New Roman"/>
                                  <w:sz w:val="21"/>
                                  <w:szCs w:val="21"/>
                                </w:rPr>
                                <m:t>I</m:t>
                              </m:r>
                            </m:e>
                            <m:sub>
                              <m:func>
                                <m:funcPr>
                                  <m:ctrlPr>
                                    <w:rPr>
                                      <w:rFonts w:ascii="Cambria Math" w:hAnsi="Cambria Math" w:cs="Times New Roman"/>
                                      <w:i/>
                                      <w:sz w:val="21"/>
                                      <w:szCs w:val="21"/>
                                    </w:rPr>
                                  </m:ctrlPr>
                                </m:funcPr>
                                <m:fName>
                                  <m:r>
                                    <w:rPr>
                                      <w:rFonts w:ascii="Cambria Math" w:cs="Times New Roman"/>
                                      <w:sz w:val="21"/>
                                      <w:szCs w:val="21"/>
                                    </w:rPr>
                                    <m:t>max,</m:t>
                                  </m:r>
                                </m:fName>
                                <m:e>
                                  <m:r>
                                    <w:rPr>
                                      <w:rFonts w:ascii="Cambria Math" w:cs="Times New Roman"/>
                                      <w:sz w:val="21"/>
                                      <w:szCs w:val="21"/>
                                    </w:rPr>
                                    <m:t>u</m:t>
                                  </m:r>
                                </m:e>
                              </m:func>
                            </m:sub>
                          </m:sSub>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i</m:t>
                              </m:r>
                              <m:r>
                                <m:rPr>
                                  <m:sty m:val="p"/>
                                </m:rPr>
                                <w:rPr>
                                  <w:rFonts w:ascii="Cambria Math" w:cs="Times New Roman"/>
                                  <w:sz w:val="21"/>
                                  <w:szCs w:val="21"/>
                                  <w:lang w:eastAsia="zh-CN"/>
                                </w:rPr>
                                <m:t>,u</m:t>
                              </m:r>
                            </m:sub>
                          </m:sSub>
                          <m:r>
                            <m:rPr>
                              <m:sty m:val="p"/>
                            </m:rPr>
                            <w:rPr>
                              <w:rFonts w:ascii="Cambria Math" w:cs="Times New Roman" w:hint="eastAsia"/>
                              <w:sz w:val="21"/>
                              <w:szCs w:val="21"/>
                              <w:lang w:eastAsia="zh-CN"/>
                            </w:rPr>
                            <m:t>，</m:t>
                          </m:r>
                          <m:r>
                            <w:rPr>
                              <w:rFonts w:ascii="Cambria Math" w:cs="Times New Roman"/>
                              <w:sz w:val="21"/>
                              <w:szCs w:val="21"/>
                            </w:rPr>
                            <m:t>)</m:t>
                          </m:r>
                          <m:r>
                            <m:rPr>
                              <m:sty m:val="p"/>
                            </m:rPr>
                            <w:rPr>
                              <w:rFonts w:ascii="Cambria Math" w:cs="Times New Roman"/>
                              <w:sz w:val="21"/>
                              <w:szCs w:val="21"/>
                            </w:rPr>
                            <w:br/>
                          </m:r>
                        </m:oMath>
                        <m:oMath>
                          <m:sSub>
                            <m:sSubPr>
                              <m:ctrlPr>
                                <w:rPr>
                                  <w:rFonts w:ascii="Cambria Math" w:hAnsi="Cambria Math" w:cs="Times New Roman"/>
                                  <w:i/>
                                  <w:sz w:val="21"/>
                                  <w:szCs w:val="21"/>
                                </w:rPr>
                              </m:ctrlPr>
                            </m:sSubPr>
                            <m:e>
                              <m:r>
                                <w:rPr>
                                  <w:rFonts w:ascii="Cambria Math" w:cs="Times New Roman"/>
                                  <w:sz w:val="21"/>
                                  <w:szCs w:val="21"/>
                                </w:rPr>
                                <m:t>R</m:t>
                              </m:r>
                            </m:e>
                            <m:sub>
                              <m:r>
                                <w:rPr>
                                  <w:rFonts w:ascii="Cambria Math" w:cs="Times New Roman"/>
                                  <w:sz w:val="21"/>
                                  <w:szCs w:val="21"/>
                                </w:rPr>
                                <m:t>1,gut</m:t>
                              </m:r>
                            </m:sub>
                          </m:sSub>
                          <m:r>
                            <w:rPr>
                              <w:rFonts w:ascii="Cambria Math" w:cs="Times New Roman"/>
                              <w:sz w:val="21"/>
                              <w:szCs w:val="21"/>
                            </w:rPr>
                            <m:t>=1+(</m:t>
                          </m:r>
                          <m:sSub>
                            <m:sSubPr>
                              <m:ctrlPr>
                                <w:rPr>
                                  <w:rFonts w:ascii="Cambria Math" w:hAnsi="Cambria Math" w:cs="Times New Roman"/>
                                  <w:i/>
                                  <w:sz w:val="21"/>
                                  <w:szCs w:val="21"/>
                                </w:rPr>
                              </m:ctrlPr>
                            </m:sSubPr>
                            <m:e>
                              <m:r>
                                <w:rPr>
                                  <w:rFonts w:ascii="Cambria Math" w:cs="Times New Roman"/>
                                  <w:sz w:val="21"/>
                                  <w:szCs w:val="21"/>
                                </w:rPr>
                                <m:t>I</m:t>
                              </m:r>
                            </m:e>
                            <m:sub>
                              <m:r>
                                <w:rPr>
                                  <w:rFonts w:ascii="Cambria Math" w:cs="Times New Roman"/>
                                  <w:sz w:val="21"/>
                                  <w:szCs w:val="21"/>
                                </w:rPr>
                                <m:t>gut</m:t>
                              </m:r>
                            </m:sub>
                          </m:sSub>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i,u</m:t>
                              </m:r>
                            </m:sub>
                          </m:sSub>
                          <m:r>
                            <w:rPr>
                              <w:rFonts w:ascii="Cambria Math" w:cs="Times New Roman"/>
                              <w:sz w:val="21"/>
                              <w:szCs w:val="21"/>
                            </w:rPr>
                            <m:t>)</m:t>
                          </m:r>
                        </m:oMath>
                      </m:oMathPara>
                    </w:p>
                    <w:p w14:paraId="0D9CEB5A" w14:textId="4C595CCD" w:rsidR="00921CF9" w:rsidRPr="002326A6" w:rsidRDefault="00921CF9" w:rsidP="00F667F2">
                      <w:pPr>
                        <w:spacing w:after="0" w:line="240" w:lineRule="auto"/>
                        <w:ind w:firstLine="420"/>
                        <w:rPr>
                          <w:rFonts w:cs="Times New Roman"/>
                          <w:sz w:val="21"/>
                          <w:szCs w:val="21"/>
                          <w:lang w:eastAsia="zh-CN"/>
                        </w:rPr>
                      </w:pPr>
                      <w:r w:rsidRPr="002326A6">
                        <w:rPr>
                          <w:rFonts w:cs="Times New Roman"/>
                          <w:sz w:val="21"/>
                          <w:szCs w:val="21"/>
                          <w:lang w:eastAsia="zh-CN"/>
                        </w:rPr>
                        <w:t>I</w:t>
                      </w:r>
                      <w:r w:rsidRPr="002326A6">
                        <w:rPr>
                          <w:rFonts w:cs="Times New Roman"/>
                          <w:sz w:val="21"/>
                          <w:szCs w:val="21"/>
                          <w:vertAlign w:val="subscript"/>
                          <w:lang w:eastAsia="zh-CN"/>
                        </w:rPr>
                        <w:t>max,u</w:t>
                      </w:r>
                      <w:r>
                        <w:rPr>
                          <w:rFonts w:hAnsi="宋体" w:cs="Times New Roman" w:hint="eastAsia"/>
                          <w:sz w:val="21"/>
                          <w:szCs w:val="21"/>
                          <w:lang w:eastAsia="zh-CN"/>
                        </w:rPr>
                        <w:t>：</w:t>
                      </w:r>
                      <w:r w:rsidRPr="002326A6">
                        <w:rPr>
                          <w:rFonts w:hAnsi="宋体" w:cs="Times New Roman" w:hint="eastAsia"/>
                          <w:sz w:val="21"/>
                          <w:szCs w:val="21"/>
                          <w:lang w:eastAsia="zh-CN"/>
                        </w:rPr>
                        <w:t>抑制剂</w:t>
                      </w:r>
                      <w:r w:rsidRPr="002326A6">
                        <w:rPr>
                          <w:rFonts w:hAnsi="宋体" w:cs="Times New Roman"/>
                          <w:sz w:val="21"/>
                          <w:szCs w:val="21"/>
                          <w:lang w:eastAsia="zh-CN"/>
                        </w:rPr>
                        <w:t>的</w:t>
                      </w:r>
                      <w:r w:rsidRPr="002326A6">
                        <w:rPr>
                          <w:rFonts w:hAnsi="宋体" w:cs="Times New Roman" w:hint="eastAsia"/>
                          <w:sz w:val="21"/>
                          <w:szCs w:val="21"/>
                          <w:lang w:eastAsia="zh-CN"/>
                        </w:rPr>
                        <w:t>稳态下</w:t>
                      </w:r>
                      <w:proofErr w:type="gramStart"/>
                      <w:r w:rsidRPr="002326A6">
                        <w:rPr>
                          <w:rFonts w:hAnsi="宋体" w:cs="Times New Roman"/>
                          <w:sz w:val="21"/>
                          <w:szCs w:val="21"/>
                          <w:lang w:eastAsia="zh-CN"/>
                        </w:rPr>
                        <w:t>最大未</w:t>
                      </w:r>
                      <w:proofErr w:type="gramEnd"/>
                      <w:r w:rsidRPr="002326A6">
                        <w:rPr>
                          <w:rFonts w:hAnsi="宋体" w:cs="Times New Roman"/>
                          <w:sz w:val="21"/>
                          <w:szCs w:val="21"/>
                          <w:lang w:eastAsia="zh-CN"/>
                        </w:rPr>
                        <w:t>结合血浆浓度</w:t>
                      </w:r>
                      <w:r>
                        <w:rPr>
                          <w:rFonts w:hAnsi="宋体" w:cs="Times New Roman" w:hint="eastAsia"/>
                          <w:sz w:val="21"/>
                          <w:szCs w:val="21"/>
                          <w:lang w:eastAsia="zh-CN"/>
                        </w:rPr>
                        <w:t>；</w:t>
                      </w:r>
                      <w:r w:rsidRPr="002326A6">
                        <w:rPr>
                          <w:rFonts w:cs="Times New Roman"/>
                          <w:sz w:val="21"/>
                          <w:szCs w:val="21"/>
                          <w:vertAlign w:val="superscript"/>
                          <w:lang w:eastAsia="zh-CN"/>
                        </w:rPr>
                        <w:t>*</w:t>
                      </w:r>
                    </w:p>
                    <w:p w14:paraId="57FDA606" w14:textId="0309B994" w:rsidR="00921CF9" w:rsidRPr="002326A6" w:rsidRDefault="00921CF9" w:rsidP="00F667F2">
                      <w:pPr>
                        <w:spacing w:after="0" w:line="240" w:lineRule="auto"/>
                        <w:ind w:firstLine="420"/>
                        <w:rPr>
                          <w:rFonts w:hAnsi="宋体" w:cs="Times New Roman"/>
                          <w:sz w:val="21"/>
                          <w:szCs w:val="21"/>
                          <w:lang w:eastAsia="zh-CN"/>
                        </w:rPr>
                      </w:pPr>
                      <w:r w:rsidRPr="002326A6">
                        <w:rPr>
                          <w:rFonts w:cs="Times New Roman"/>
                          <w:sz w:val="21"/>
                          <w:szCs w:val="21"/>
                          <w:lang w:eastAsia="zh-CN"/>
                        </w:rPr>
                        <w:t>I</w:t>
                      </w:r>
                      <w:r w:rsidRPr="002326A6">
                        <w:rPr>
                          <w:rFonts w:cs="Times New Roman"/>
                          <w:sz w:val="21"/>
                          <w:szCs w:val="21"/>
                          <w:vertAlign w:val="subscript"/>
                          <w:lang w:eastAsia="zh-CN"/>
                        </w:rPr>
                        <w:t>gut</w:t>
                      </w:r>
                      <w:r>
                        <w:rPr>
                          <w:rFonts w:hAnsi="宋体" w:cs="Times New Roman" w:hint="eastAsia"/>
                          <w:sz w:val="21"/>
                          <w:szCs w:val="21"/>
                          <w:lang w:eastAsia="zh-CN"/>
                        </w:rPr>
                        <w:t>：</w:t>
                      </w:r>
                      <w:r w:rsidRPr="002326A6">
                        <w:rPr>
                          <w:rFonts w:hAnsi="宋体" w:cs="Times New Roman" w:hint="eastAsia"/>
                          <w:sz w:val="21"/>
                          <w:szCs w:val="21"/>
                          <w:lang w:eastAsia="zh-CN"/>
                        </w:rPr>
                        <w:t>抑制剂</w:t>
                      </w:r>
                      <w:r w:rsidRPr="002326A6">
                        <w:rPr>
                          <w:rFonts w:hAnsi="宋体" w:cs="Times New Roman"/>
                          <w:sz w:val="21"/>
                          <w:szCs w:val="21"/>
                          <w:lang w:eastAsia="zh-CN"/>
                        </w:rPr>
                        <w:t>的肠腔内浓度，</w:t>
                      </w:r>
                      <w:r w:rsidRPr="002326A6">
                        <w:rPr>
                          <w:rFonts w:hAnsi="宋体" w:cs="Times New Roman" w:hint="eastAsia"/>
                          <w:sz w:val="21"/>
                          <w:szCs w:val="21"/>
                          <w:lang w:eastAsia="zh-CN"/>
                        </w:rPr>
                        <w:t>可以按照</w:t>
                      </w:r>
                      <w:r w:rsidRPr="002326A6">
                        <w:rPr>
                          <w:rFonts w:hAnsi="宋体" w:cs="Times New Roman"/>
                          <w:sz w:val="21"/>
                          <w:szCs w:val="21"/>
                          <w:lang w:eastAsia="zh-CN"/>
                        </w:rPr>
                        <w:t>下列公式</w:t>
                      </w:r>
                      <w:r w:rsidRPr="002326A6">
                        <w:rPr>
                          <w:rFonts w:hAnsi="宋体" w:cs="Times New Roman" w:hint="eastAsia"/>
                          <w:sz w:val="21"/>
                          <w:szCs w:val="21"/>
                          <w:lang w:eastAsia="zh-CN"/>
                        </w:rPr>
                        <w:t>计算</w:t>
                      </w:r>
                      <w:r>
                        <w:rPr>
                          <w:rFonts w:hAnsi="宋体" w:cs="Times New Roman" w:hint="eastAsia"/>
                          <w:sz w:val="21"/>
                          <w:szCs w:val="21"/>
                          <w:lang w:eastAsia="zh-CN"/>
                        </w:rPr>
                        <w:t>；</w:t>
                      </w:r>
                    </w:p>
                    <w:p w14:paraId="38D71536" w14:textId="5DF69846" w:rsidR="00921CF9" w:rsidRPr="002326A6" w:rsidRDefault="00921CF9" w:rsidP="00F667F2">
                      <w:pPr>
                        <w:spacing w:after="0" w:line="240" w:lineRule="auto"/>
                        <w:ind w:firstLine="420"/>
                        <w:rPr>
                          <w:rFonts w:cs="Times New Roman"/>
                          <w:sz w:val="21"/>
                          <w:szCs w:val="21"/>
                          <w:lang w:eastAsia="zh-CN"/>
                        </w:rPr>
                      </w:pPr>
                      <w:r w:rsidRPr="002326A6">
                        <w:rPr>
                          <w:rFonts w:cs="Times New Roman"/>
                          <w:sz w:val="21"/>
                          <w:szCs w:val="21"/>
                          <w:lang w:eastAsia="zh-CN"/>
                        </w:rPr>
                        <w:t>I</w:t>
                      </w:r>
                      <w:r w:rsidRPr="002326A6">
                        <w:rPr>
                          <w:rFonts w:cs="Times New Roman"/>
                          <w:sz w:val="21"/>
                          <w:szCs w:val="21"/>
                          <w:vertAlign w:val="subscript"/>
                          <w:lang w:eastAsia="zh-CN"/>
                        </w:rPr>
                        <w:t>gut</w:t>
                      </w:r>
                      <w:r w:rsidRPr="002326A6">
                        <w:rPr>
                          <w:rFonts w:cs="Times New Roman"/>
                          <w:sz w:val="21"/>
                          <w:szCs w:val="21"/>
                          <w:lang w:eastAsia="zh-CN"/>
                        </w:rPr>
                        <w:t>=</w:t>
                      </w:r>
                      <w:r w:rsidRPr="002326A6">
                        <w:rPr>
                          <w:rFonts w:cs="Times New Roman"/>
                          <w:sz w:val="21"/>
                          <w:szCs w:val="21"/>
                          <w:lang w:eastAsia="zh-CN"/>
                        </w:rPr>
                        <w:t>给药剂量</w:t>
                      </w:r>
                      <w:r w:rsidRPr="002326A6">
                        <w:rPr>
                          <w:rFonts w:cs="Times New Roman" w:hint="eastAsia"/>
                          <w:sz w:val="21"/>
                          <w:szCs w:val="21"/>
                          <w:lang w:eastAsia="zh-CN"/>
                        </w:rPr>
                        <w:t>/25</w:t>
                      </w:r>
                      <w:r w:rsidRPr="002326A6">
                        <w:rPr>
                          <w:rFonts w:cs="Times New Roman"/>
                          <w:sz w:val="21"/>
                          <w:szCs w:val="21"/>
                          <w:lang w:eastAsia="zh-CN"/>
                        </w:rPr>
                        <w:t>0 mL</w:t>
                      </w:r>
                      <w:r>
                        <w:rPr>
                          <w:rFonts w:cs="Times New Roman" w:hint="eastAsia"/>
                          <w:sz w:val="21"/>
                          <w:szCs w:val="21"/>
                          <w:lang w:eastAsia="zh-CN"/>
                        </w:rPr>
                        <w:t>；</w:t>
                      </w:r>
                    </w:p>
                    <w:p w14:paraId="2E559B13" w14:textId="272126BA" w:rsidR="00921CF9" w:rsidRDefault="00921CF9" w:rsidP="00F667F2">
                      <w:pPr>
                        <w:spacing w:after="0" w:line="240" w:lineRule="auto"/>
                        <w:ind w:firstLine="420"/>
                        <w:rPr>
                          <w:rFonts w:hAnsi="宋体" w:cs="Times New Roman"/>
                          <w:sz w:val="21"/>
                          <w:szCs w:val="21"/>
                          <w:lang w:eastAsia="zh-CN"/>
                        </w:rPr>
                      </w:pPr>
                      <w:r w:rsidRPr="002326A6">
                        <w:rPr>
                          <w:rFonts w:cs="Times New Roman"/>
                          <w:sz w:val="21"/>
                          <w:szCs w:val="21"/>
                          <w:lang w:eastAsia="zh-CN"/>
                        </w:rPr>
                        <w:t>K</w:t>
                      </w:r>
                      <w:r w:rsidRPr="002326A6">
                        <w:rPr>
                          <w:rFonts w:cs="Times New Roman"/>
                          <w:sz w:val="21"/>
                          <w:szCs w:val="21"/>
                          <w:vertAlign w:val="subscript"/>
                          <w:lang w:eastAsia="zh-CN"/>
                        </w:rPr>
                        <w:t>i,u</w:t>
                      </w:r>
                      <w:r>
                        <w:rPr>
                          <w:rFonts w:hAnsi="宋体" w:cs="Times New Roman" w:hint="eastAsia"/>
                          <w:sz w:val="21"/>
                          <w:szCs w:val="21"/>
                          <w:lang w:eastAsia="zh-CN"/>
                        </w:rPr>
                        <w:t>：</w:t>
                      </w:r>
                      <w:r w:rsidRPr="002326A6">
                        <w:rPr>
                          <w:rFonts w:hAnsi="宋体" w:cs="Times New Roman"/>
                          <w:sz w:val="21"/>
                          <w:szCs w:val="21"/>
                          <w:lang w:eastAsia="zh-CN"/>
                        </w:rPr>
                        <w:t>体外测定的未结合抑制常数。</w:t>
                      </w:r>
                    </w:p>
                    <w:p w14:paraId="6C7C9C9D" w14:textId="77777777" w:rsidR="00921CF9" w:rsidRPr="002326A6" w:rsidRDefault="00921CF9" w:rsidP="00145505">
                      <w:pPr>
                        <w:spacing w:after="0" w:line="240" w:lineRule="auto"/>
                        <w:ind w:firstLine="420"/>
                        <w:rPr>
                          <w:rFonts w:cs="Times New Roman"/>
                          <w:sz w:val="21"/>
                          <w:szCs w:val="21"/>
                          <w:lang w:eastAsia="zh-CN"/>
                        </w:rPr>
                      </w:pPr>
                      <w:r w:rsidRPr="002326A6">
                        <w:rPr>
                          <w:rFonts w:hAnsi="宋体" w:cs="Times New Roman"/>
                          <w:sz w:val="21"/>
                          <w:szCs w:val="21"/>
                          <w:lang w:eastAsia="zh-CN"/>
                        </w:rPr>
                        <w:t>注意：</w:t>
                      </w:r>
                      <w:r w:rsidRPr="002326A6">
                        <w:rPr>
                          <w:rFonts w:cs="Times New Roman"/>
                          <w:sz w:val="21"/>
                          <w:szCs w:val="21"/>
                          <w:lang w:eastAsia="zh-CN"/>
                        </w:rPr>
                        <w:t>I</w:t>
                      </w:r>
                      <w:r w:rsidRPr="002326A6">
                        <w:rPr>
                          <w:rFonts w:hAnsi="宋体" w:cs="Times New Roman"/>
                          <w:sz w:val="21"/>
                          <w:szCs w:val="21"/>
                          <w:lang w:eastAsia="zh-CN"/>
                        </w:rPr>
                        <w:t>和</w:t>
                      </w:r>
                      <w:r w:rsidRPr="002326A6">
                        <w:rPr>
                          <w:rFonts w:cs="Times New Roman"/>
                          <w:sz w:val="21"/>
                          <w:szCs w:val="21"/>
                          <w:lang w:eastAsia="zh-CN"/>
                        </w:rPr>
                        <w:t>K</w:t>
                      </w:r>
                      <w:r w:rsidRPr="002326A6">
                        <w:rPr>
                          <w:rFonts w:cs="Times New Roman"/>
                          <w:sz w:val="21"/>
                          <w:szCs w:val="21"/>
                          <w:vertAlign w:val="subscript"/>
                          <w:lang w:eastAsia="zh-CN"/>
                        </w:rPr>
                        <w:t>i</w:t>
                      </w:r>
                      <w:r w:rsidRPr="002326A6">
                        <w:rPr>
                          <w:rFonts w:hAnsi="宋体" w:cs="Times New Roman"/>
                          <w:sz w:val="21"/>
                          <w:szCs w:val="21"/>
                          <w:lang w:eastAsia="zh-CN"/>
                        </w:rPr>
                        <w:t>需要以相同的单位表示（例如以摩尔浓度为单位）。</w:t>
                      </w:r>
                    </w:p>
                    <w:p w14:paraId="08B5C2AE" w14:textId="03912B26" w:rsidR="00921CF9" w:rsidRDefault="00921CF9" w:rsidP="00145505">
                      <w:pPr>
                        <w:spacing w:after="0" w:line="240" w:lineRule="auto"/>
                        <w:ind w:firstLine="420"/>
                        <w:rPr>
                          <w:rFonts w:hAnsi="宋体" w:cs="Times New Roman"/>
                          <w:sz w:val="21"/>
                          <w:szCs w:val="21"/>
                          <w:lang w:eastAsia="zh-CN"/>
                        </w:rPr>
                      </w:pPr>
                      <w:r w:rsidRPr="002326A6">
                        <w:rPr>
                          <w:rFonts w:cs="Times New Roman"/>
                          <w:sz w:val="21"/>
                          <w:szCs w:val="21"/>
                          <w:vertAlign w:val="superscript"/>
                          <w:lang w:eastAsia="zh-CN"/>
                        </w:rPr>
                        <w:t>*</w:t>
                      </w:r>
                      <w:r w:rsidRPr="002326A6">
                        <w:rPr>
                          <w:rFonts w:hAnsi="宋体" w:cs="Times New Roman"/>
                          <w:sz w:val="21"/>
                          <w:szCs w:val="21"/>
                          <w:lang w:eastAsia="zh-CN"/>
                        </w:rPr>
                        <w:t>考虑到蛋白结合测定的不确定性，如果试验测定结果</w:t>
                      </w:r>
                      <w:r w:rsidRPr="002326A6">
                        <w:rPr>
                          <w:rFonts w:cs="Times New Roman"/>
                          <w:sz w:val="21"/>
                          <w:szCs w:val="21"/>
                          <w:lang w:eastAsia="zh-CN"/>
                        </w:rPr>
                        <w:t>&lt;1%</w:t>
                      </w:r>
                      <w:r w:rsidRPr="002326A6">
                        <w:rPr>
                          <w:rFonts w:hAnsi="宋体" w:cs="Times New Roman"/>
                          <w:sz w:val="21"/>
                          <w:szCs w:val="21"/>
                          <w:lang w:eastAsia="zh-CN"/>
                        </w:rPr>
                        <w:t>，则血浆中未结合的部分应设定为</w:t>
                      </w:r>
                      <w:r w:rsidRPr="002326A6">
                        <w:rPr>
                          <w:rFonts w:cs="Times New Roman"/>
                          <w:sz w:val="21"/>
                          <w:szCs w:val="21"/>
                          <w:lang w:eastAsia="zh-CN"/>
                        </w:rPr>
                        <w:t>1%</w:t>
                      </w:r>
                      <w:r w:rsidRPr="002326A6">
                        <w:rPr>
                          <w:rFonts w:hAnsi="宋体" w:cs="Times New Roman"/>
                          <w:sz w:val="21"/>
                          <w:szCs w:val="21"/>
                          <w:lang w:eastAsia="zh-CN"/>
                        </w:rPr>
                        <w:t>（血浆中未结合的部分（</w:t>
                      </w:r>
                      <w:r w:rsidRPr="002326A6">
                        <w:rPr>
                          <w:rFonts w:cs="Times New Roman"/>
                          <w:sz w:val="21"/>
                          <w:szCs w:val="21"/>
                          <w:lang w:eastAsia="zh-CN"/>
                        </w:rPr>
                        <w:t>f</w:t>
                      </w:r>
                      <w:r w:rsidRPr="002326A6">
                        <w:rPr>
                          <w:rFonts w:cs="Times New Roman"/>
                          <w:sz w:val="21"/>
                          <w:szCs w:val="21"/>
                          <w:vertAlign w:val="subscript"/>
                          <w:lang w:eastAsia="zh-CN"/>
                        </w:rPr>
                        <w:t>u, p</w:t>
                      </w:r>
                      <w:r w:rsidRPr="002326A6">
                        <w:rPr>
                          <w:rFonts w:hAnsi="宋体" w:cs="Times New Roman"/>
                          <w:sz w:val="21"/>
                          <w:szCs w:val="21"/>
                          <w:lang w:eastAsia="zh-CN"/>
                        </w:rPr>
                        <w:t>）</w:t>
                      </w:r>
                      <w:r w:rsidRPr="002326A6">
                        <w:rPr>
                          <w:rFonts w:cs="Times New Roman"/>
                          <w:sz w:val="21"/>
                          <w:szCs w:val="21"/>
                          <w:lang w:eastAsia="zh-CN"/>
                        </w:rPr>
                        <w:t>=0.01</w:t>
                      </w:r>
                      <w:r w:rsidRPr="002326A6">
                        <w:rPr>
                          <w:rFonts w:hAnsi="宋体" w:cs="Times New Roman"/>
                          <w:sz w:val="21"/>
                          <w:szCs w:val="21"/>
                          <w:lang w:eastAsia="zh-CN"/>
                        </w:rPr>
                        <w:t>）。</w:t>
                      </w:r>
                    </w:p>
                    <w:p w14:paraId="07D1247A" w14:textId="77777777" w:rsidR="00921CF9" w:rsidRPr="002326A6" w:rsidRDefault="00921CF9" w:rsidP="00F667F2">
                      <w:pPr>
                        <w:spacing w:after="0" w:line="240" w:lineRule="auto"/>
                        <w:ind w:firstLine="420"/>
                        <w:rPr>
                          <w:rFonts w:cs="Times New Roman"/>
                          <w:sz w:val="21"/>
                          <w:szCs w:val="21"/>
                          <w:lang w:eastAsia="zh-CN"/>
                        </w:rPr>
                      </w:pPr>
                    </w:p>
                  </w:txbxContent>
                </v:textbox>
                <w10:wrap anchorx="margin"/>
              </v:shape>
            </w:pict>
          </mc:Fallback>
        </mc:AlternateContent>
      </w:r>
    </w:p>
    <w:p w14:paraId="67443A48" w14:textId="77777777" w:rsidR="00F667F2" w:rsidRPr="009E464F" w:rsidRDefault="00F667F2" w:rsidP="0083505F">
      <w:pPr>
        <w:spacing w:line="500" w:lineRule="exact"/>
        <w:ind w:firstLine="420"/>
        <w:rPr>
          <w:rFonts w:cs="Times New Roman"/>
          <w:sz w:val="21"/>
          <w:szCs w:val="21"/>
          <w:lang w:eastAsia="zh-CN"/>
        </w:rPr>
      </w:pPr>
    </w:p>
    <w:p w14:paraId="3F7CB88B" w14:textId="77777777" w:rsidR="00F667F2" w:rsidRPr="009E464F" w:rsidRDefault="00F667F2" w:rsidP="0083505F">
      <w:pPr>
        <w:spacing w:line="500" w:lineRule="exact"/>
        <w:ind w:firstLine="420"/>
        <w:rPr>
          <w:rFonts w:cs="Times New Roman"/>
          <w:sz w:val="21"/>
          <w:szCs w:val="21"/>
          <w:lang w:eastAsia="zh-CN"/>
        </w:rPr>
      </w:pPr>
    </w:p>
    <w:p w14:paraId="2EC084EA" w14:textId="77777777" w:rsidR="00F667F2" w:rsidRPr="009E464F" w:rsidRDefault="00F667F2" w:rsidP="0083505F">
      <w:pPr>
        <w:spacing w:line="500" w:lineRule="exact"/>
        <w:ind w:firstLine="420"/>
        <w:rPr>
          <w:rFonts w:cs="Times New Roman"/>
          <w:sz w:val="21"/>
          <w:szCs w:val="21"/>
          <w:lang w:eastAsia="zh-CN"/>
        </w:rPr>
      </w:pPr>
    </w:p>
    <w:p w14:paraId="31F1E3C4" w14:textId="2C9158C1" w:rsidR="00145505" w:rsidRPr="009E464F" w:rsidRDefault="00145505" w:rsidP="00CB0133">
      <w:pPr>
        <w:spacing w:after="0" w:line="500" w:lineRule="exact"/>
        <w:ind w:firstLineChars="0" w:firstLine="0"/>
        <w:jc w:val="left"/>
        <w:rPr>
          <w:rFonts w:cs="Times New Roman"/>
          <w:b/>
          <w:sz w:val="21"/>
          <w:szCs w:val="21"/>
          <w:lang w:eastAsia="zh-CN"/>
        </w:rPr>
      </w:pPr>
    </w:p>
    <w:p w14:paraId="2DD4377B" w14:textId="3FDCA74A" w:rsidR="00145505" w:rsidRDefault="00145505" w:rsidP="0083505F">
      <w:pPr>
        <w:spacing w:line="500" w:lineRule="exact"/>
        <w:ind w:firstLine="420"/>
        <w:jc w:val="center"/>
        <w:rPr>
          <w:rFonts w:cs="Times New Roman"/>
          <w:lang w:eastAsia="zh-CN"/>
        </w:rPr>
      </w:pPr>
      <w:r>
        <w:rPr>
          <w:rFonts w:cs="Times New Roman"/>
          <w:noProof/>
          <w:sz w:val="21"/>
          <w:szCs w:val="21"/>
          <w:lang w:eastAsia="zh-CN"/>
        </w:rPr>
        <mc:AlternateContent>
          <mc:Choice Requires="wps">
            <w:drawing>
              <wp:anchor distT="0" distB="0" distL="114300" distR="114300" simplePos="0" relativeHeight="251705344" behindDoc="0" locked="0" layoutInCell="1" allowOverlap="1" wp14:anchorId="369332AC" wp14:editId="070F806A">
                <wp:simplePos x="0" y="0"/>
                <wp:positionH relativeFrom="margin">
                  <wp:align>center</wp:align>
                </wp:positionH>
                <wp:positionV relativeFrom="paragraph">
                  <wp:posOffset>315027</wp:posOffset>
                </wp:positionV>
                <wp:extent cx="5342021" cy="2069431"/>
                <wp:effectExtent l="0" t="0" r="11430" b="26670"/>
                <wp:wrapNone/>
                <wp:docPr id="18"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2021" cy="2069431"/>
                        </a:xfrm>
                        <a:prstGeom prst="rect">
                          <a:avLst/>
                        </a:prstGeom>
                        <a:solidFill>
                          <a:srgbClr val="FFFFFF"/>
                        </a:solidFill>
                        <a:ln w="9525">
                          <a:solidFill>
                            <a:srgbClr val="000000"/>
                          </a:solidFill>
                          <a:miter lim="800000"/>
                          <a:headEnd/>
                          <a:tailEnd/>
                        </a:ln>
                      </wps:spPr>
                      <wps:txbx>
                        <w:txbxContent>
                          <w:p w14:paraId="6475FB6D" w14:textId="77777777" w:rsidR="00921CF9" w:rsidRPr="002326A6" w:rsidRDefault="003275AF" w:rsidP="00145505">
                            <w:pPr>
                              <w:ind w:firstLine="420"/>
                              <w:rPr>
                                <w:rFonts w:cs="Times New Roman"/>
                                <w:sz w:val="21"/>
                                <w:szCs w:val="21"/>
                              </w:rPr>
                            </w:pPr>
                            <m:oMathPara>
                              <m:oMathParaPr>
                                <m:jc m:val="left"/>
                              </m:oMathParaPr>
                              <m:oMath>
                                <m:sSub>
                                  <m:sSubPr>
                                    <m:ctrlPr>
                                      <w:rPr>
                                        <w:rFonts w:ascii="Cambria Math" w:hAnsi="Cambria Math" w:cs="Times New Roman"/>
                                        <w:i/>
                                        <w:sz w:val="21"/>
                                        <w:szCs w:val="21"/>
                                      </w:rPr>
                                    </m:ctrlPr>
                                  </m:sSubPr>
                                  <m:e>
                                    <m:r>
                                      <w:rPr>
                                        <w:rFonts w:ascii="Cambria Math" w:cs="Times New Roman"/>
                                        <w:sz w:val="21"/>
                                        <w:szCs w:val="21"/>
                                      </w:rPr>
                                      <m:t>R</m:t>
                                    </m:r>
                                  </m:e>
                                  <m:sub>
                                    <m:r>
                                      <w:rPr>
                                        <w:rFonts w:ascii="Cambria Math" w:cs="Times New Roman"/>
                                        <w:sz w:val="21"/>
                                        <w:szCs w:val="21"/>
                                      </w:rPr>
                                      <m:t>2</m:t>
                                    </m:r>
                                  </m:sub>
                                </m:sSub>
                                <m:r>
                                  <w:rPr>
                                    <w:rFonts w:ascii="Cambria Math" w:cs="Times New Roman"/>
                                    <w:sz w:val="21"/>
                                    <w:szCs w:val="21"/>
                                  </w:rPr>
                                  <m:t>=</m:t>
                                </m:r>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obs</m:t>
                                    </m:r>
                                  </m:sub>
                                </m:sSub>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deg</m:t>
                                    </m:r>
                                  </m:sub>
                                </m:sSub>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deg</m:t>
                                    </m:r>
                                  </m:sub>
                                </m:sSub>
                                <m:r>
                                  <m:rPr>
                                    <m:sty m:val="p"/>
                                  </m:rPr>
                                  <w:rPr>
                                    <w:rFonts w:ascii="Cambria Math" w:cs="Times New Roman"/>
                                    <w:sz w:val="21"/>
                                    <w:szCs w:val="21"/>
                                  </w:rPr>
                                  <w:br/>
                                </m:r>
                              </m:oMath>
                              <m:oMath>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obs</m:t>
                                    </m:r>
                                  </m:sub>
                                </m:sSub>
                                <m:r>
                                  <w:rPr>
                                    <w:rFonts w:ascii="Cambria Math" w:cs="Times New Roman"/>
                                    <w:sz w:val="21"/>
                                    <w:szCs w:val="21"/>
                                  </w:rPr>
                                  <m:t>=</m:t>
                                </m:r>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inact</m:t>
                                    </m:r>
                                  </m:sub>
                                </m:sSub>
                                <m:r>
                                  <w:rPr>
                                    <w:rFonts w:ascii="Cambria Math" w:cs="Times New Roman"/>
                                    <w:sz w:val="21"/>
                                    <w:szCs w:val="21"/>
                                  </w:rPr>
                                  <m:t>×</m:t>
                                </m:r>
                                <m:r>
                                  <w:rPr>
                                    <w:rFonts w:ascii="Cambria Math" w:cs="Times New Roman"/>
                                    <w:sz w:val="21"/>
                                    <w:szCs w:val="21"/>
                                  </w:rPr>
                                  <m:t>50</m:t>
                                </m:r>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I</m:t>
                                    </m:r>
                                  </m:e>
                                  <m:sub>
                                    <m:func>
                                      <m:funcPr>
                                        <m:ctrlPr>
                                          <w:rPr>
                                            <w:rFonts w:ascii="Cambria Math" w:hAnsi="Cambria Math" w:cs="Times New Roman"/>
                                            <w:i/>
                                            <w:sz w:val="21"/>
                                            <w:szCs w:val="21"/>
                                          </w:rPr>
                                        </m:ctrlPr>
                                      </m:funcPr>
                                      <m:fName>
                                        <m:r>
                                          <w:rPr>
                                            <w:rFonts w:ascii="Cambria Math" w:cs="Times New Roman"/>
                                            <w:sz w:val="21"/>
                                            <w:szCs w:val="21"/>
                                          </w:rPr>
                                          <m:t>max,</m:t>
                                        </m:r>
                                      </m:fName>
                                      <m:e>
                                        <m:r>
                                          <w:rPr>
                                            <w:rFonts w:ascii="Cambria Math" w:cs="Times New Roman"/>
                                            <w:sz w:val="21"/>
                                            <w:szCs w:val="21"/>
                                          </w:rPr>
                                          <m:t>u</m:t>
                                        </m:r>
                                      </m:e>
                                    </m:func>
                                  </m:sub>
                                </m:sSub>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I,u</m:t>
                                    </m:r>
                                  </m:sub>
                                </m:sSub>
                                <m:r>
                                  <w:rPr>
                                    <w:rFonts w:ascii="Cambria Math" w:cs="Times New Roman"/>
                                    <w:sz w:val="21"/>
                                    <w:szCs w:val="21"/>
                                  </w:rPr>
                                  <m:t>+50</m:t>
                                </m:r>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I</m:t>
                                    </m:r>
                                  </m:e>
                                  <m:sub>
                                    <m:func>
                                      <m:funcPr>
                                        <m:ctrlPr>
                                          <w:rPr>
                                            <w:rFonts w:ascii="Cambria Math" w:hAnsi="Cambria Math" w:cs="Times New Roman"/>
                                            <w:i/>
                                            <w:sz w:val="21"/>
                                            <w:szCs w:val="21"/>
                                          </w:rPr>
                                        </m:ctrlPr>
                                      </m:funcPr>
                                      <m:fName>
                                        <m:r>
                                          <w:rPr>
                                            <w:rFonts w:ascii="Cambria Math" w:cs="Times New Roman"/>
                                            <w:sz w:val="21"/>
                                            <w:szCs w:val="21"/>
                                          </w:rPr>
                                          <m:t>max,</m:t>
                                        </m:r>
                                      </m:fName>
                                      <m:e>
                                        <m:r>
                                          <w:rPr>
                                            <w:rFonts w:ascii="Cambria Math" w:cs="Times New Roman"/>
                                            <w:sz w:val="21"/>
                                            <w:szCs w:val="21"/>
                                          </w:rPr>
                                          <m:t>u</m:t>
                                        </m:r>
                                      </m:e>
                                    </m:func>
                                  </m:sub>
                                </m:sSub>
                                <m:r>
                                  <w:rPr>
                                    <w:rFonts w:ascii="Cambria Math" w:cs="Times New Roman"/>
                                    <w:sz w:val="21"/>
                                    <w:szCs w:val="21"/>
                                  </w:rPr>
                                  <m:t>)</m:t>
                                </m:r>
                              </m:oMath>
                            </m:oMathPara>
                          </w:p>
                          <w:p w14:paraId="1D3B7152" w14:textId="770B2AB7" w:rsidR="00921CF9" w:rsidRPr="002326A6" w:rsidRDefault="00921CF9" w:rsidP="00145505">
                            <w:pPr>
                              <w:spacing w:after="0" w:line="240" w:lineRule="auto"/>
                              <w:ind w:firstLine="420"/>
                              <w:rPr>
                                <w:rFonts w:cs="Times New Roman"/>
                                <w:sz w:val="21"/>
                                <w:szCs w:val="21"/>
                                <w:lang w:eastAsia="zh-CN"/>
                              </w:rPr>
                            </w:pPr>
                            <w:r w:rsidRPr="002326A6">
                              <w:rPr>
                                <w:rFonts w:cs="Times New Roman"/>
                                <w:sz w:val="21"/>
                                <w:szCs w:val="21"/>
                                <w:lang w:eastAsia="zh-CN"/>
                              </w:rPr>
                              <w:t>k</w:t>
                            </w:r>
                            <w:r w:rsidRPr="002326A6">
                              <w:rPr>
                                <w:rFonts w:cs="Times New Roman"/>
                                <w:sz w:val="21"/>
                                <w:szCs w:val="21"/>
                                <w:vertAlign w:val="subscript"/>
                                <w:lang w:eastAsia="zh-CN"/>
                              </w:rPr>
                              <w:t>obs</w:t>
                            </w:r>
                            <w:r>
                              <w:rPr>
                                <w:rFonts w:hAnsi="宋体" w:cs="Times New Roman" w:hint="eastAsia"/>
                                <w:sz w:val="21"/>
                                <w:szCs w:val="21"/>
                                <w:lang w:eastAsia="zh-CN"/>
                              </w:rPr>
                              <w:t>：</w:t>
                            </w:r>
                            <w:r w:rsidRPr="002326A6">
                              <w:rPr>
                                <w:rFonts w:hAnsi="宋体" w:cs="Times New Roman"/>
                                <w:sz w:val="21"/>
                                <w:szCs w:val="21"/>
                                <w:lang w:eastAsia="zh-CN"/>
                              </w:rPr>
                              <w:t>受影响酶的</w:t>
                            </w:r>
                            <w:r w:rsidRPr="002326A6">
                              <w:rPr>
                                <w:rFonts w:hAnsi="宋体" w:cs="Times New Roman" w:hint="eastAsia"/>
                                <w:sz w:val="21"/>
                                <w:szCs w:val="21"/>
                                <w:lang w:eastAsia="zh-CN"/>
                              </w:rPr>
                              <w:t>表观</w:t>
                            </w:r>
                            <w:r w:rsidRPr="002326A6">
                              <w:rPr>
                                <w:rFonts w:hAnsi="宋体" w:cs="Times New Roman"/>
                                <w:sz w:val="21"/>
                                <w:szCs w:val="21"/>
                                <w:lang w:eastAsia="zh-CN"/>
                              </w:rPr>
                              <w:t>一级失活速率常数</w:t>
                            </w:r>
                            <w:r>
                              <w:rPr>
                                <w:rFonts w:hAnsi="宋体" w:cs="Times New Roman" w:hint="eastAsia"/>
                                <w:sz w:val="21"/>
                                <w:szCs w:val="21"/>
                                <w:lang w:eastAsia="zh-CN"/>
                              </w:rPr>
                              <w:t>；</w:t>
                            </w:r>
                          </w:p>
                          <w:p w14:paraId="0C771FC6" w14:textId="0272AA7E" w:rsidR="00921CF9" w:rsidRPr="002326A6" w:rsidRDefault="00921CF9" w:rsidP="00145505">
                            <w:pPr>
                              <w:spacing w:after="0" w:line="240" w:lineRule="auto"/>
                              <w:ind w:firstLine="420"/>
                              <w:rPr>
                                <w:rFonts w:cs="Times New Roman"/>
                                <w:sz w:val="21"/>
                                <w:szCs w:val="21"/>
                                <w:lang w:eastAsia="zh-CN"/>
                              </w:rPr>
                            </w:pPr>
                            <w:r w:rsidRPr="002326A6">
                              <w:rPr>
                                <w:rFonts w:cs="Times New Roman"/>
                                <w:sz w:val="21"/>
                                <w:szCs w:val="21"/>
                                <w:lang w:eastAsia="zh-CN"/>
                              </w:rPr>
                              <w:t>k</w:t>
                            </w:r>
                            <w:r w:rsidRPr="002326A6">
                              <w:rPr>
                                <w:rFonts w:cs="Times New Roman"/>
                                <w:sz w:val="21"/>
                                <w:szCs w:val="21"/>
                                <w:vertAlign w:val="subscript"/>
                                <w:lang w:eastAsia="zh-CN"/>
                              </w:rPr>
                              <w:t>deg</w:t>
                            </w:r>
                            <w:r>
                              <w:rPr>
                                <w:rFonts w:hAnsi="宋体" w:cs="Times New Roman" w:hint="eastAsia"/>
                                <w:sz w:val="21"/>
                                <w:szCs w:val="21"/>
                                <w:lang w:eastAsia="zh-CN"/>
                              </w:rPr>
                              <w:t>：</w:t>
                            </w:r>
                            <w:r w:rsidRPr="002326A6">
                              <w:rPr>
                                <w:rFonts w:hAnsi="宋体" w:cs="Times New Roman"/>
                                <w:sz w:val="21"/>
                                <w:szCs w:val="21"/>
                                <w:lang w:eastAsia="zh-CN"/>
                              </w:rPr>
                              <w:t>受影响酶的</w:t>
                            </w:r>
                            <w:r w:rsidRPr="002326A6">
                              <w:rPr>
                                <w:rFonts w:hAnsi="宋体" w:cs="Times New Roman" w:hint="eastAsia"/>
                                <w:sz w:val="21"/>
                                <w:szCs w:val="21"/>
                                <w:lang w:eastAsia="zh-CN"/>
                              </w:rPr>
                              <w:t>表观</w:t>
                            </w:r>
                            <w:r w:rsidRPr="002326A6">
                              <w:rPr>
                                <w:rFonts w:hAnsi="宋体" w:cs="Times New Roman"/>
                                <w:sz w:val="21"/>
                                <w:szCs w:val="21"/>
                                <w:lang w:eastAsia="zh-CN"/>
                              </w:rPr>
                              <w:t>一级降解速率常数</w:t>
                            </w:r>
                            <w:r>
                              <w:rPr>
                                <w:rFonts w:hAnsi="宋体" w:cs="Times New Roman" w:hint="eastAsia"/>
                                <w:sz w:val="21"/>
                                <w:szCs w:val="21"/>
                                <w:lang w:eastAsia="zh-CN"/>
                              </w:rPr>
                              <w:t>；</w:t>
                            </w:r>
                          </w:p>
                          <w:p w14:paraId="510A9F42" w14:textId="04034891" w:rsidR="00921CF9" w:rsidRPr="002326A6" w:rsidRDefault="00921CF9" w:rsidP="00145505">
                            <w:pPr>
                              <w:spacing w:after="0" w:line="240" w:lineRule="auto"/>
                              <w:ind w:firstLine="420"/>
                              <w:rPr>
                                <w:rFonts w:cs="Times New Roman"/>
                                <w:sz w:val="21"/>
                                <w:szCs w:val="21"/>
                                <w:lang w:eastAsia="zh-CN"/>
                              </w:rPr>
                            </w:pPr>
                            <w:r w:rsidRPr="002326A6">
                              <w:rPr>
                                <w:rFonts w:cs="Times New Roman"/>
                                <w:sz w:val="21"/>
                                <w:szCs w:val="21"/>
                                <w:lang w:eastAsia="zh-CN"/>
                              </w:rPr>
                              <w:t>K</w:t>
                            </w:r>
                            <w:r w:rsidRPr="002326A6">
                              <w:rPr>
                                <w:rFonts w:cs="Times New Roman"/>
                                <w:sz w:val="21"/>
                                <w:szCs w:val="21"/>
                                <w:vertAlign w:val="subscript"/>
                                <w:lang w:eastAsia="zh-CN"/>
                              </w:rPr>
                              <w:t>I</w:t>
                            </w:r>
                            <w:r w:rsidRPr="002326A6">
                              <w:rPr>
                                <w:rFonts w:cs="Times New Roman" w:hint="eastAsia"/>
                                <w:sz w:val="21"/>
                                <w:szCs w:val="21"/>
                                <w:vertAlign w:val="subscript"/>
                                <w:lang w:eastAsia="zh-CN"/>
                              </w:rPr>
                              <w:t>,</w:t>
                            </w:r>
                            <w:r w:rsidRPr="002326A6">
                              <w:rPr>
                                <w:rFonts w:cs="Times New Roman"/>
                                <w:sz w:val="21"/>
                                <w:szCs w:val="21"/>
                                <w:vertAlign w:val="subscript"/>
                                <w:lang w:eastAsia="zh-CN"/>
                              </w:rPr>
                              <w:t>u</w:t>
                            </w:r>
                            <w:r>
                              <w:rPr>
                                <w:rFonts w:hAnsi="宋体" w:cs="Times New Roman" w:hint="eastAsia"/>
                                <w:sz w:val="21"/>
                                <w:szCs w:val="21"/>
                                <w:lang w:eastAsia="zh-CN"/>
                              </w:rPr>
                              <w:t>：</w:t>
                            </w:r>
                            <w:r w:rsidRPr="002326A6">
                              <w:rPr>
                                <w:rFonts w:hAnsi="宋体" w:cs="Times New Roman"/>
                                <w:sz w:val="21"/>
                                <w:szCs w:val="21"/>
                                <w:lang w:eastAsia="zh-CN"/>
                              </w:rPr>
                              <w:t>导致半数最大失活的</w:t>
                            </w:r>
                            <w:r w:rsidRPr="002326A6">
                              <w:rPr>
                                <w:rFonts w:hAnsi="宋体" w:cs="Times New Roman" w:hint="eastAsia"/>
                                <w:sz w:val="21"/>
                                <w:szCs w:val="21"/>
                                <w:lang w:eastAsia="zh-CN"/>
                              </w:rPr>
                              <w:t>未结合</w:t>
                            </w:r>
                            <w:r w:rsidRPr="002326A6">
                              <w:rPr>
                                <w:rFonts w:hAnsi="宋体" w:cs="Times New Roman"/>
                                <w:sz w:val="21"/>
                                <w:szCs w:val="21"/>
                                <w:lang w:eastAsia="zh-CN"/>
                              </w:rPr>
                              <w:t>抑制剂浓度</w:t>
                            </w:r>
                            <w:r>
                              <w:rPr>
                                <w:rFonts w:hAnsi="宋体" w:cs="Times New Roman" w:hint="eastAsia"/>
                                <w:sz w:val="21"/>
                                <w:szCs w:val="21"/>
                                <w:lang w:eastAsia="zh-CN"/>
                              </w:rPr>
                              <w:t>；</w:t>
                            </w:r>
                          </w:p>
                          <w:p w14:paraId="1F8C86E3" w14:textId="0D039D47" w:rsidR="00921CF9" w:rsidRPr="002326A6" w:rsidRDefault="00921CF9" w:rsidP="00145505">
                            <w:pPr>
                              <w:spacing w:after="0" w:line="240" w:lineRule="auto"/>
                              <w:ind w:firstLine="420"/>
                              <w:rPr>
                                <w:rFonts w:cs="Times New Roman"/>
                                <w:sz w:val="21"/>
                                <w:szCs w:val="21"/>
                                <w:lang w:eastAsia="zh-CN"/>
                              </w:rPr>
                            </w:pPr>
                            <w:r w:rsidRPr="002326A6">
                              <w:rPr>
                                <w:rFonts w:cs="Times New Roman"/>
                                <w:sz w:val="21"/>
                                <w:szCs w:val="21"/>
                                <w:lang w:eastAsia="zh-CN"/>
                              </w:rPr>
                              <w:t>k</w:t>
                            </w:r>
                            <w:r w:rsidRPr="002326A6">
                              <w:rPr>
                                <w:rFonts w:cs="Times New Roman"/>
                                <w:sz w:val="21"/>
                                <w:szCs w:val="21"/>
                                <w:vertAlign w:val="subscript"/>
                                <w:lang w:eastAsia="zh-CN"/>
                              </w:rPr>
                              <w:t>inact</w:t>
                            </w:r>
                            <w:r>
                              <w:rPr>
                                <w:rFonts w:hAnsi="宋体" w:cs="Times New Roman" w:hint="eastAsia"/>
                                <w:sz w:val="21"/>
                                <w:szCs w:val="21"/>
                                <w:lang w:eastAsia="zh-CN"/>
                              </w:rPr>
                              <w:t>：</w:t>
                            </w:r>
                            <w:r w:rsidRPr="002326A6">
                              <w:rPr>
                                <w:rFonts w:hAnsi="宋体" w:cs="Times New Roman"/>
                                <w:sz w:val="21"/>
                                <w:szCs w:val="21"/>
                                <w:lang w:eastAsia="zh-CN"/>
                              </w:rPr>
                              <w:t>最大的灭活速率常数</w:t>
                            </w:r>
                            <w:r>
                              <w:rPr>
                                <w:rFonts w:hAnsi="宋体" w:cs="Times New Roman" w:hint="eastAsia"/>
                                <w:sz w:val="21"/>
                                <w:szCs w:val="21"/>
                                <w:lang w:eastAsia="zh-CN"/>
                              </w:rPr>
                              <w:t>；</w:t>
                            </w:r>
                          </w:p>
                          <w:p w14:paraId="6D1F791F" w14:textId="5EB5528C" w:rsidR="00921CF9" w:rsidRPr="002326A6" w:rsidRDefault="00921CF9" w:rsidP="00145505">
                            <w:pPr>
                              <w:spacing w:after="0" w:line="240" w:lineRule="auto"/>
                              <w:ind w:firstLine="420"/>
                              <w:rPr>
                                <w:rFonts w:cs="Times New Roman"/>
                                <w:sz w:val="21"/>
                                <w:szCs w:val="21"/>
                                <w:lang w:eastAsia="zh-CN"/>
                              </w:rPr>
                            </w:pPr>
                            <w:r w:rsidRPr="002326A6">
                              <w:rPr>
                                <w:rFonts w:cs="Times New Roman"/>
                                <w:sz w:val="21"/>
                                <w:szCs w:val="21"/>
                                <w:lang w:eastAsia="zh-CN"/>
                              </w:rPr>
                              <w:t>I</w:t>
                            </w:r>
                            <w:r w:rsidRPr="002326A6">
                              <w:rPr>
                                <w:rFonts w:cs="Times New Roman"/>
                                <w:sz w:val="21"/>
                                <w:szCs w:val="21"/>
                                <w:vertAlign w:val="subscript"/>
                                <w:lang w:eastAsia="zh-CN"/>
                              </w:rPr>
                              <w:t>max,u</w:t>
                            </w:r>
                            <w:r>
                              <w:rPr>
                                <w:rFonts w:hAnsi="宋体" w:cs="Times New Roman" w:hint="eastAsia"/>
                                <w:sz w:val="21"/>
                                <w:szCs w:val="21"/>
                                <w:lang w:eastAsia="zh-CN"/>
                              </w:rPr>
                              <w:t>：</w:t>
                            </w:r>
                            <w:r w:rsidRPr="002326A6">
                              <w:rPr>
                                <w:rFonts w:hAnsi="宋体" w:cs="Times New Roman" w:hint="eastAsia"/>
                                <w:sz w:val="21"/>
                                <w:szCs w:val="21"/>
                                <w:lang w:eastAsia="zh-CN"/>
                              </w:rPr>
                              <w:t>抑制剂</w:t>
                            </w:r>
                            <w:r w:rsidRPr="002326A6">
                              <w:rPr>
                                <w:rFonts w:hAnsi="宋体" w:cs="Times New Roman"/>
                                <w:sz w:val="21"/>
                                <w:szCs w:val="21"/>
                                <w:lang w:eastAsia="zh-CN"/>
                              </w:rPr>
                              <w:t>的</w:t>
                            </w:r>
                            <w:r w:rsidRPr="002326A6">
                              <w:rPr>
                                <w:rFonts w:hAnsi="宋体" w:cs="Times New Roman" w:hint="eastAsia"/>
                                <w:sz w:val="21"/>
                                <w:szCs w:val="21"/>
                                <w:lang w:eastAsia="zh-CN"/>
                              </w:rPr>
                              <w:t>稳态下</w:t>
                            </w:r>
                            <w:proofErr w:type="gramStart"/>
                            <w:r w:rsidRPr="002326A6">
                              <w:rPr>
                                <w:rFonts w:hAnsi="宋体" w:cs="Times New Roman"/>
                                <w:sz w:val="21"/>
                                <w:szCs w:val="21"/>
                                <w:lang w:eastAsia="zh-CN"/>
                              </w:rPr>
                              <w:t>最大未</w:t>
                            </w:r>
                            <w:proofErr w:type="gramEnd"/>
                            <w:r w:rsidRPr="002326A6">
                              <w:rPr>
                                <w:rFonts w:hAnsi="宋体" w:cs="Times New Roman"/>
                                <w:sz w:val="21"/>
                                <w:szCs w:val="21"/>
                                <w:lang w:eastAsia="zh-CN"/>
                              </w:rPr>
                              <w:t>结合血浆浓度</w:t>
                            </w:r>
                            <w:r>
                              <w:rPr>
                                <w:rFonts w:hAnsi="宋体" w:cs="Times New Roman" w:hint="eastAsia"/>
                                <w:sz w:val="21"/>
                                <w:szCs w:val="21"/>
                                <w:lang w:eastAsia="zh-CN"/>
                              </w:rPr>
                              <w:t>；</w:t>
                            </w:r>
                          </w:p>
                          <w:p w14:paraId="6B767F1D" w14:textId="77777777" w:rsidR="00921CF9" w:rsidRPr="002326A6" w:rsidRDefault="00921CF9" w:rsidP="00145505">
                            <w:pPr>
                              <w:spacing w:after="0" w:line="240" w:lineRule="auto"/>
                              <w:ind w:firstLine="420"/>
                              <w:rPr>
                                <w:rFonts w:cs="Times New Roman"/>
                                <w:sz w:val="21"/>
                                <w:szCs w:val="21"/>
                                <w:lang w:eastAsia="zh-CN"/>
                              </w:rPr>
                            </w:pPr>
                            <w:r w:rsidRPr="002326A6">
                              <w:rPr>
                                <w:rFonts w:hAnsi="宋体" w:cs="Times New Roman"/>
                                <w:sz w:val="21"/>
                                <w:szCs w:val="21"/>
                                <w:lang w:eastAsia="zh-CN"/>
                              </w:rPr>
                              <w:t>注意：</w:t>
                            </w:r>
                            <w:r w:rsidRPr="002326A6">
                              <w:rPr>
                                <w:rFonts w:cs="Times New Roman"/>
                                <w:sz w:val="21"/>
                                <w:szCs w:val="21"/>
                                <w:lang w:eastAsia="zh-CN"/>
                              </w:rPr>
                              <w:t>I</w:t>
                            </w:r>
                            <w:r w:rsidRPr="002326A6">
                              <w:rPr>
                                <w:rFonts w:hAnsi="宋体" w:cs="Times New Roman"/>
                                <w:sz w:val="21"/>
                                <w:szCs w:val="21"/>
                                <w:lang w:eastAsia="zh-CN"/>
                              </w:rPr>
                              <w:t>和</w:t>
                            </w:r>
                            <w:r w:rsidRPr="002326A6">
                              <w:rPr>
                                <w:rFonts w:cs="Times New Roman"/>
                                <w:sz w:val="21"/>
                                <w:szCs w:val="21"/>
                                <w:lang w:eastAsia="zh-CN"/>
                              </w:rPr>
                              <w:t>K</w:t>
                            </w:r>
                            <w:r w:rsidRPr="002326A6">
                              <w:rPr>
                                <w:rFonts w:cs="Times New Roman"/>
                                <w:sz w:val="21"/>
                                <w:szCs w:val="21"/>
                                <w:vertAlign w:val="subscript"/>
                                <w:lang w:eastAsia="zh-CN"/>
                              </w:rPr>
                              <w:t>i</w:t>
                            </w:r>
                            <w:r w:rsidRPr="002326A6">
                              <w:rPr>
                                <w:rFonts w:hAnsi="宋体" w:cs="Times New Roman"/>
                                <w:sz w:val="21"/>
                                <w:szCs w:val="21"/>
                                <w:lang w:eastAsia="zh-CN"/>
                              </w:rPr>
                              <w:t>需要以相同的单位表示（例如以摩尔浓度为单位）。</w:t>
                            </w:r>
                          </w:p>
                          <w:p w14:paraId="3BF76842" w14:textId="77777777" w:rsidR="00921CF9" w:rsidRPr="002326A6" w:rsidRDefault="00921CF9" w:rsidP="00145505">
                            <w:pPr>
                              <w:spacing w:after="0" w:line="240" w:lineRule="auto"/>
                              <w:ind w:firstLine="420"/>
                              <w:rPr>
                                <w:sz w:val="21"/>
                                <w:szCs w:val="21"/>
                                <w:lang w:eastAsia="zh-CN"/>
                              </w:rPr>
                            </w:pPr>
                            <w:r w:rsidRPr="002326A6">
                              <w:rPr>
                                <w:rFonts w:cs="Times New Roman"/>
                                <w:sz w:val="21"/>
                                <w:szCs w:val="21"/>
                                <w:vertAlign w:val="superscript"/>
                                <w:lang w:eastAsia="zh-CN"/>
                              </w:rPr>
                              <w:t>*</w:t>
                            </w:r>
                            <w:r w:rsidRPr="002326A6">
                              <w:rPr>
                                <w:rFonts w:hAnsi="宋体" w:cs="Times New Roman"/>
                                <w:sz w:val="21"/>
                                <w:szCs w:val="21"/>
                                <w:lang w:eastAsia="zh-CN"/>
                              </w:rPr>
                              <w:t>考虑到蛋白结合测定的不确定性，如果试验测定结果</w:t>
                            </w:r>
                            <w:r w:rsidRPr="002326A6">
                              <w:rPr>
                                <w:rFonts w:cs="Times New Roman"/>
                                <w:sz w:val="21"/>
                                <w:szCs w:val="21"/>
                                <w:lang w:eastAsia="zh-CN"/>
                              </w:rPr>
                              <w:t>&lt;1%</w:t>
                            </w:r>
                            <w:r w:rsidRPr="002326A6">
                              <w:rPr>
                                <w:rFonts w:hAnsi="宋体" w:cs="Times New Roman"/>
                                <w:sz w:val="21"/>
                                <w:szCs w:val="21"/>
                                <w:lang w:eastAsia="zh-CN"/>
                              </w:rPr>
                              <w:t>，则血浆中未结合的部分应设定为</w:t>
                            </w:r>
                            <w:r w:rsidRPr="002326A6">
                              <w:rPr>
                                <w:rFonts w:cs="Times New Roman"/>
                                <w:sz w:val="21"/>
                                <w:szCs w:val="21"/>
                                <w:lang w:eastAsia="zh-CN"/>
                              </w:rPr>
                              <w:t>1%</w:t>
                            </w:r>
                            <w:r w:rsidRPr="002326A6">
                              <w:rPr>
                                <w:rFonts w:hAnsi="宋体" w:cs="Times New Roman"/>
                                <w:sz w:val="21"/>
                                <w:szCs w:val="21"/>
                                <w:lang w:eastAsia="zh-CN"/>
                              </w:rPr>
                              <w:t>（血浆中未结合的部分（</w:t>
                            </w:r>
                            <w:r w:rsidRPr="002326A6">
                              <w:rPr>
                                <w:rFonts w:cs="Times New Roman"/>
                                <w:sz w:val="21"/>
                                <w:szCs w:val="21"/>
                                <w:lang w:eastAsia="zh-CN"/>
                              </w:rPr>
                              <w:t>f</w:t>
                            </w:r>
                            <w:r w:rsidRPr="002326A6">
                              <w:rPr>
                                <w:rFonts w:cs="Times New Roman"/>
                                <w:sz w:val="21"/>
                                <w:szCs w:val="21"/>
                                <w:vertAlign w:val="subscript"/>
                                <w:lang w:eastAsia="zh-CN"/>
                              </w:rPr>
                              <w:t>u, p</w:t>
                            </w:r>
                            <w:r w:rsidRPr="002326A6">
                              <w:rPr>
                                <w:rFonts w:hAnsi="宋体" w:cs="Times New Roman"/>
                                <w:sz w:val="21"/>
                                <w:szCs w:val="21"/>
                                <w:lang w:eastAsia="zh-CN"/>
                              </w:rPr>
                              <w:t>）</w:t>
                            </w:r>
                            <w:r w:rsidRPr="002326A6">
                              <w:rPr>
                                <w:rFonts w:cs="Times New Roman"/>
                                <w:sz w:val="21"/>
                                <w:szCs w:val="21"/>
                                <w:lang w:eastAsia="zh-CN"/>
                              </w:rPr>
                              <w:t>= 0.01</w:t>
                            </w:r>
                            <w:r w:rsidRPr="002326A6">
                              <w:rPr>
                                <w:rFonts w:hAnsi="宋体" w:cs="Times New Roman"/>
                                <w:sz w:val="21"/>
                                <w:szCs w:val="21"/>
                                <w:lang w:eastAsia="zh-CN"/>
                              </w:rPr>
                              <w:t>）。</w:t>
                            </w:r>
                          </w:p>
                          <w:p w14:paraId="1D677509" w14:textId="77777777" w:rsidR="00921CF9" w:rsidRDefault="00921CF9" w:rsidP="00145505">
                            <w:pPr>
                              <w:ind w:firstLine="640"/>
                              <w:rPr>
                                <w:lang w:eastAsia="zh-C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9332AC" id="文本框 4" o:spid="_x0000_s1027" type="#_x0000_t202" style="position:absolute;left:0;text-align:left;margin-left:0;margin-top:24.8pt;width:420.65pt;height:162.9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Q+PAIAAFoEAAAOAAAAZHJzL2Uyb0RvYy54bWysVM2O0zAQviPxDpbvNGm2XbZR09XSpQhp&#10;+ZEWHsBxnMbC8RjbbVIeAN6AExfuPFefg7HTlmqBCyIHy2OPv5n5vpnMr/tWka2wToIu6HiUUiI0&#10;h0rqdUHfv1s9uaLEeaYrpkCLgu6Eo9eLx4/mnclFBg2oSliCINrlnSlo473Jk8TxRrTMjcAIjZc1&#10;2JZ5NO06qSzrEL1VSZaml0kHtjIWuHAOT2+HS7qI+HUtuH9T1054ogqKufm42riWYU0Wc5avLTON&#10;5Ic02D9k0TKpMegJ6pZ5RjZW/gbVSm7BQe1HHNoE6lpyEWvAasbpg2ruG2ZErAXJceZEk/t/sPz1&#10;9q0lskLtUCnNWtRo//XL/tuP/ffPZBL46YzL0e3eoKPvn0GPvrFWZ+6Af3BEw7Jhei1urIWuEazC&#10;/MbhZXL2dMBxAaTsXkGFcdjGQwTqa9sG8pAOguio0+6kjeg94Xg4vZhkaTamhONdll7OJhdDDJYf&#10;nxvr/AsBLQmbgloUP8Kz7Z3zIR2WH11CNAdKViupVDTsulwqS7YMG2UVv1jBAzelSVfQ2TSbDgz8&#10;FSKN358gWumx45VsC3p1cmJ54O25rmI/eibVsMeUlT4QGbgbWPR92Q+aHfUpodohsxaGBseBxE0D&#10;9hMlHTZ3Qd3HDbOCEvVSozqz8WQSpiEak+nTDA17flOe3zDNEaqgnpJhu/TDBG2MlesGIw39oOEG&#10;Fa1l5DpIP2R1SB8bOEpwGLYwIed29Pr1S1j8BAAA//8DAFBLAwQUAAYACAAAACEAajs+lt8AAAAH&#10;AQAADwAAAGRycy9kb3ducmV2LnhtbEyPwU7DMBBE70j8g7VIXFDrlKRpGuJUCAlEb9AiuLrxNomw&#10;18F20/D3mBMcRzOaeVNtJqPZiM73lgQs5gkwpMaqnloBb/vHWQHMB0lKakso4Bs9bOrLi0qWyp7p&#10;FcddaFksIV9KAV0IQ8m5bzo00s/tgBS9o3VGhihdy5WT51huNL9Nkpwb2VNc6OSADx02n7uTEVBk&#10;z+OH36Yv701+1OtwsxqfvpwQ11fT/R2wgFP4C8MvfkSHOjId7ImUZ1pAPBIEZOscWHSLbJECOwhI&#10;V8sl8Lri//nrHwAAAP//AwBQSwECLQAUAAYACAAAACEAtoM4kv4AAADhAQAAEwAAAAAAAAAAAAAA&#10;AAAAAAAAW0NvbnRlbnRfVHlwZXNdLnhtbFBLAQItABQABgAIAAAAIQA4/SH/1gAAAJQBAAALAAAA&#10;AAAAAAAAAAAAAC8BAABfcmVscy8ucmVsc1BLAQItABQABgAIAAAAIQBjifQ+PAIAAFoEAAAOAAAA&#10;AAAAAAAAAAAAAC4CAABkcnMvZTJvRG9jLnhtbFBLAQItABQABgAIAAAAIQBqOz6W3wAAAAcBAAAP&#10;AAAAAAAAAAAAAAAAAJYEAABkcnMvZG93bnJldi54bWxQSwUGAAAAAAQABADzAAAAogUAAAAA&#10;">
                <v:textbox>
                  <w:txbxContent>
                    <w:p w14:paraId="6475FB6D" w14:textId="77777777" w:rsidR="00921CF9" w:rsidRPr="002326A6" w:rsidRDefault="00307339" w:rsidP="00145505">
                      <w:pPr>
                        <w:ind w:firstLine="420"/>
                        <w:rPr>
                          <w:rFonts w:cs="Times New Roman"/>
                          <w:sz w:val="21"/>
                          <w:szCs w:val="21"/>
                        </w:rPr>
                      </w:pPr>
                      <m:oMathPara>
                        <m:oMathParaPr>
                          <m:jc m:val="left"/>
                        </m:oMathParaPr>
                        <m:oMath>
                          <m:sSub>
                            <m:sSubPr>
                              <m:ctrlPr>
                                <w:rPr>
                                  <w:rFonts w:ascii="Cambria Math" w:hAnsi="Cambria Math" w:cs="Times New Roman"/>
                                  <w:i/>
                                  <w:sz w:val="21"/>
                                  <w:szCs w:val="21"/>
                                </w:rPr>
                              </m:ctrlPr>
                            </m:sSubPr>
                            <m:e>
                              <m:r>
                                <w:rPr>
                                  <w:rFonts w:ascii="Cambria Math" w:cs="Times New Roman"/>
                                  <w:sz w:val="21"/>
                                  <w:szCs w:val="21"/>
                                </w:rPr>
                                <m:t>R</m:t>
                              </m:r>
                            </m:e>
                            <m:sub>
                              <m:r>
                                <w:rPr>
                                  <w:rFonts w:ascii="Cambria Math" w:cs="Times New Roman"/>
                                  <w:sz w:val="21"/>
                                  <w:szCs w:val="21"/>
                                </w:rPr>
                                <m:t>2</m:t>
                              </m:r>
                            </m:sub>
                          </m:sSub>
                          <m:r>
                            <w:rPr>
                              <w:rFonts w:ascii="Cambria Math" w:cs="Times New Roman"/>
                              <w:sz w:val="21"/>
                              <w:szCs w:val="21"/>
                            </w:rPr>
                            <m:t>=</m:t>
                          </m:r>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obs</m:t>
                              </m:r>
                            </m:sub>
                          </m:sSub>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deg</m:t>
                              </m:r>
                            </m:sub>
                          </m:sSub>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deg</m:t>
                              </m:r>
                            </m:sub>
                          </m:sSub>
                          <m:r>
                            <m:rPr>
                              <m:sty m:val="p"/>
                            </m:rPr>
                            <w:rPr>
                              <w:rFonts w:ascii="Cambria Math" w:cs="Times New Roman"/>
                              <w:sz w:val="21"/>
                              <w:szCs w:val="21"/>
                            </w:rPr>
                            <w:br/>
                          </m:r>
                        </m:oMath>
                        <m:oMath>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obs</m:t>
                              </m:r>
                            </m:sub>
                          </m:sSub>
                          <m:r>
                            <w:rPr>
                              <w:rFonts w:ascii="Cambria Math" w:cs="Times New Roman"/>
                              <w:sz w:val="21"/>
                              <w:szCs w:val="21"/>
                            </w:rPr>
                            <m:t>=</m:t>
                          </m:r>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inact</m:t>
                              </m:r>
                            </m:sub>
                          </m:sSub>
                          <m:r>
                            <w:rPr>
                              <w:rFonts w:ascii="Cambria Math" w:cs="Times New Roman"/>
                              <w:sz w:val="21"/>
                              <w:szCs w:val="21"/>
                            </w:rPr>
                            <m:t>×</m:t>
                          </m:r>
                          <m:r>
                            <w:rPr>
                              <w:rFonts w:ascii="Cambria Math" w:cs="Times New Roman"/>
                              <w:sz w:val="21"/>
                              <w:szCs w:val="21"/>
                            </w:rPr>
                            <m:t>50</m:t>
                          </m:r>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I</m:t>
                              </m:r>
                            </m:e>
                            <m:sub>
                              <m:func>
                                <m:funcPr>
                                  <m:ctrlPr>
                                    <w:rPr>
                                      <w:rFonts w:ascii="Cambria Math" w:hAnsi="Cambria Math" w:cs="Times New Roman"/>
                                      <w:i/>
                                      <w:sz w:val="21"/>
                                      <w:szCs w:val="21"/>
                                    </w:rPr>
                                  </m:ctrlPr>
                                </m:funcPr>
                                <m:fName>
                                  <m:r>
                                    <w:rPr>
                                      <w:rFonts w:ascii="Cambria Math" w:cs="Times New Roman"/>
                                      <w:sz w:val="21"/>
                                      <w:szCs w:val="21"/>
                                    </w:rPr>
                                    <m:t>max,</m:t>
                                  </m:r>
                                </m:fName>
                                <m:e>
                                  <m:r>
                                    <w:rPr>
                                      <w:rFonts w:ascii="Cambria Math" w:cs="Times New Roman"/>
                                      <w:sz w:val="21"/>
                                      <w:szCs w:val="21"/>
                                    </w:rPr>
                                    <m:t>u</m:t>
                                  </m:r>
                                </m:e>
                              </m:func>
                            </m:sub>
                          </m:sSub>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K</m:t>
                              </m:r>
                            </m:e>
                            <m:sub>
                              <m:r>
                                <w:rPr>
                                  <w:rFonts w:ascii="Cambria Math" w:cs="Times New Roman"/>
                                  <w:sz w:val="21"/>
                                  <w:szCs w:val="21"/>
                                </w:rPr>
                                <m:t>I,u</m:t>
                              </m:r>
                            </m:sub>
                          </m:sSub>
                          <m:r>
                            <w:rPr>
                              <w:rFonts w:ascii="Cambria Math" w:cs="Times New Roman"/>
                              <w:sz w:val="21"/>
                              <w:szCs w:val="21"/>
                            </w:rPr>
                            <m:t>+50</m:t>
                          </m:r>
                          <m:r>
                            <w:rPr>
                              <w:rFonts w:ascii="Cambria Math" w:cs="Times New Roman"/>
                              <w:sz w:val="21"/>
                              <w:szCs w:val="21"/>
                            </w:rPr>
                            <m:t>×</m:t>
                          </m:r>
                          <m:sSub>
                            <m:sSubPr>
                              <m:ctrlPr>
                                <w:rPr>
                                  <w:rFonts w:ascii="Cambria Math" w:hAnsi="Cambria Math" w:cs="Times New Roman"/>
                                  <w:i/>
                                  <w:sz w:val="21"/>
                                  <w:szCs w:val="21"/>
                                </w:rPr>
                              </m:ctrlPr>
                            </m:sSubPr>
                            <m:e>
                              <m:r>
                                <w:rPr>
                                  <w:rFonts w:ascii="Cambria Math" w:cs="Times New Roman"/>
                                  <w:sz w:val="21"/>
                                  <w:szCs w:val="21"/>
                                </w:rPr>
                                <m:t>I</m:t>
                              </m:r>
                            </m:e>
                            <m:sub>
                              <m:func>
                                <m:funcPr>
                                  <m:ctrlPr>
                                    <w:rPr>
                                      <w:rFonts w:ascii="Cambria Math" w:hAnsi="Cambria Math" w:cs="Times New Roman"/>
                                      <w:i/>
                                      <w:sz w:val="21"/>
                                      <w:szCs w:val="21"/>
                                    </w:rPr>
                                  </m:ctrlPr>
                                </m:funcPr>
                                <m:fName>
                                  <m:r>
                                    <w:rPr>
                                      <w:rFonts w:ascii="Cambria Math" w:cs="Times New Roman"/>
                                      <w:sz w:val="21"/>
                                      <w:szCs w:val="21"/>
                                    </w:rPr>
                                    <m:t>max,</m:t>
                                  </m:r>
                                </m:fName>
                                <m:e>
                                  <m:r>
                                    <w:rPr>
                                      <w:rFonts w:ascii="Cambria Math" w:cs="Times New Roman"/>
                                      <w:sz w:val="21"/>
                                      <w:szCs w:val="21"/>
                                    </w:rPr>
                                    <m:t>u</m:t>
                                  </m:r>
                                </m:e>
                              </m:func>
                            </m:sub>
                          </m:sSub>
                          <m:r>
                            <w:rPr>
                              <w:rFonts w:ascii="Cambria Math" w:cs="Times New Roman"/>
                              <w:sz w:val="21"/>
                              <w:szCs w:val="21"/>
                            </w:rPr>
                            <m:t>)</m:t>
                          </m:r>
                        </m:oMath>
                      </m:oMathPara>
                    </w:p>
                    <w:p w14:paraId="1D3B7152" w14:textId="770B2AB7" w:rsidR="00921CF9" w:rsidRPr="002326A6" w:rsidRDefault="00921CF9" w:rsidP="00145505">
                      <w:pPr>
                        <w:spacing w:after="0" w:line="240" w:lineRule="auto"/>
                        <w:ind w:firstLine="420"/>
                        <w:rPr>
                          <w:rFonts w:cs="Times New Roman"/>
                          <w:sz w:val="21"/>
                          <w:szCs w:val="21"/>
                          <w:lang w:eastAsia="zh-CN"/>
                        </w:rPr>
                      </w:pPr>
                      <w:r w:rsidRPr="002326A6">
                        <w:rPr>
                          <w:rFonts w:cs="Times New Roman"/>
                          <w:sz w:val="21"/>
                          <w:szCs w:val="21"/>
                          <w:lang w:eastAsia="zh-CN"/>
                        </w:rPr>
                        <w:t>k</w:t>
                      </w:r>
                      <w:r w:rsidRPr="002326A6">
                        <w:rPr>
                          <w:rFonts w:cs="Times New Roman"/>
                          <w:sz w:val="21"/>
                          <w:szCs w:val="21"/>
                          <w:vertAlign w:val="subscript"/>
                          <w:lang w:eastAsia="zh-CN"/>
                        </w:rPr>
                        <w:t>obs</w:t>
                      </w:r>
                      <w:r>
                        <w:rPr>
                          <w:rFonts w:hAnsi="宋体" w:cs="Times New Roman" w:hint="eastAsia"/>
                          <w:sz w:val="21"/>
                          <w:szCs w:val="21"/>
                          <w:lang w:eastAsia="zh-CN"/>
                        </w:rPr>
                        <w:t>：</w:t>
                      </w:r>
                      <w:r w:rsidRPr="002326A6">
                        <w:rPr>
                          <w:rFonts w:hAnsi="宋体" w:cs="Times New Roman"/>
                          <w:sz w:val="21"/>
                          <w:szCs w:val="21"/>
                          <w:lang w:eastAsia="zh-CN"/>
                        </w:rPr>
                        <w:t>受影响酶的</w:t>
                      </w:r>
                      <w:r w:rsidRPr="002326A6">
                        <w:rPr>
                          <w:rFonts w:hAnsi="宋体" w:cs="Times New Roman" w:hint="eastAsia"/>
                          <w:sz w:val="21"/>
                          <w:szCs w:val="21"/>
                          <w:lang w:eastAsia="zh-CN"/>
                        </w:rPr>
                        <w:t>表观</w:t>
                      </w:r>
                      <w:r w:rsidRPr="002326A6">
                        <w:rPr>
                          <w:rFonts w:hAnsi="宋体" w:cs="Times New Roman"/>
                          <w:sz w:val="21"/>
                          <w:szCs w:val="21"/>
                          <w:lang w:eastAsia="zh-CN"/>
                        </w:rPr>
                        <w:t>一级失活速率常数</w:t>
                      </w:r>
                      <w:r>
                        <w:rPr>
                          <w:rFonts w:hAnsi="宋体" w:cs="Times New Roman" w:hint="eastAsia"/>
                          <w:sz w:val="21"/>
                          <w:szCs w:val="21"/>
                          <w:lang w:eastAsia="zh-CN"/>
                        </w:rPr>
                        <w:t>；</w:t>
                      </w:r>
                    </w:p>
                    <w:p w14:paraId="0C771FC6" w14:textId="0272AA7E" w:rsidR="00921CF9" w:rsidRPr="002326A6" w:rsidRDefault="00921CF9" w:rsidP="00145505">
                      <w:pPr>
                        <w:spacing w:after="0" w:line="240" w:lineRule="auto"/>
                        <w:ind w:firstLine="420"/>
                        <w:rPr>
                          <w:rFonts w:cs="Times New Roman"/>
                          <w:sz w:val="21"/>
                          <w:szCs w:val="21"/>
                          <w:lang w:eastAsia="zh-CN"/>
                        </w:rPr>
                      </w:pPr>
                      <w:r w:rsidRPr="002326A6">
                        <w:rPr>
                          <w:rFonts w:cs="Times New Roman"/>
                          <w:sz w:val="21"/>
                          <w:szCs w:val="21"/>
                          <w:lang w:eastAsia="zh-CN"/>
                        </w:rPr>
                        <w:t>k</w:t>
                      </w:r>
                      <w:r w:rsidRPr="002326A6">
                        <w:rPr>
                          <w:rFonts w:cs="Times New Roman"/>
                          <w:sz w:val="21"/>
                          <w:szCs w:val="21"/>
                          <w:vertAlign w:val="subscript"/>
                          <w:lang w:eastAsia="zh-CN"/>
                        </w:rPr>
                        <w:t>deg</w:t>
                      </w:r>
                      <w:r>
                        <w:rPr>
                          <w:rFonts w:hAnsi="宋体" w:cs="Times New Roman" w:hint="eastAsia"/>
                          <w:sz w:val="21"/>
                          <w:szCs w:val="21"/>
                          <w:lang w:eastAsia="zh-CN"/>
                        </w:rPr>
                        <w:t>：</w:t>
                      </w:r>
                      <w:r w:rsidRPr="002326A6">
                        <w:rPr>
                          <w:rFonts w:hAnsi="宋体" w:cs="Times New Roman"/>
                          <w:sz w:val="21"/>
                          <w:szCs w:val="21"/>
                          <w:lang w:eastAsia="zh-CN"/>
                        </w:rPr>
                        <w:t>受影响酶的</w:t>
                      </w:r>
                      <w:r w:rsidRPr="002326A6">
                        <w:rPr>
                          <w:rFonts w:hAnsi="宋体" w:cs="Times New Roman" w:hint="eastAsia"/>
                          <w:sz w:val="21"/>
                          <w:szCs w:val="21"/>
                          <w:lang w:eastAsia="zh-CN"/>
                        </w:rPr>
                        <w:t>表观</w:t>
                      </w:r>
                      <w:r w:rsidRPr="002326A6">
                        <w:rPr>
                          <w:rFonts w:hAnsi="宋体" w:cs="Times New Roman"/>
                          <w:sz w:val="21"/>
                          <w:szCs w:val="21"/>
                          <w:lang w:eastAsia="zh-CN"/>
                        </w:rPr>
                        <w:t>一级降解速率常数</w:t>
                      </w:r>
                      <w:r>
                        <w:rPr>
                          <w:rFonts w:hAnsi="宋体" w:cs="Times New Roman" w:hint="eastAsia"/>
                          <w:sz w:val="21"/>
                          <w:szCs w:val="21"/>
                          <w:lang w:eastAsia="zh-CN"/>
                        </w:rPr>
                        <w:t>；</w:t>
                      </w:r>
                    </w:p>
                    <w:p w14:paraId="510A9F42" w14:textId="04034891" w:rsidR="00921CF9" w:rsidRPr="002326A6" w:rsidRDefault="00921CF9" w:rsidP="00145505">
                      <w:pPr>
                        <w:spacing w:after="0" w:line="240" w:lineRule="auto"/>
                        <w:ind w:firstLine="420"/>
                        <w:rPr>
                          <w:rFonts w:cs="Times New Roman"/>
                          <w:sz w:val="21"/>
                          <w:szCs w:val="21"/>
                          <w:lang w:eastAsia="zh-CN"/>
                        </w:rPr>
                      </w:pPr>
                      <w:r w:rsidRPr="002326A6">
                        <w:rPr>
                          <w:rFonts w:cs="Times New Roman"/>
                          <w:sz w:val="21"/>
                          <w:szCs w:val="21"/>
                          <w:lang w:eastAsia="zh-CN"/>
                        </w:rPr>
                        <w:t>K</w:t>
                      </w:r>
                      <w:r w:rsidRPr="002326A6">
                        <w:rPr>
                          <w:rFonts w:cs="Times New Roman"/>
                          <w:sz w:val="21"/>
                          <w:szCs w:val="21"/>
                          <w:vertAlign w:val="subscript"/>
                          <w:lang w:eastAsia="zh-CN"/>
                        </w:rPr>
                        <w:t>I</w:t>
                      </w:r>
                      <w:r w:rsidRPr="002326A6">
                        <w:rPr>
                          <w:rFonts w:cs="Times New Roman" w:hint="eastAsia"/>
                          <w:sz w:val="21"/>
                          <w:szCs w:val="21"/>
                          <w:vertAlign w:val="subscript"/>
                          <w:lang w:eastAsia="zh-CN"/>
                        </w:rPr>
                        <w:t>,</w:t>
                      </w:r>
                      <w:r w:rsidRPr="002326A6">
                        <w:rPr>
                          <w:rFonts w:cs="Times New Roman"/>
                          <w:sz w:val="21"/>
                          <w:szCs w:val="21"/>
                          <w:vertAlign w:val="subscript"/>
                          <w:lang w:eastAsia="zh-CN"/>
                        </w:rPr>
                        <w:t>u</w:t>
                      </w:r>
                      <w:r>
                        <w:rPr>
                          <w:rFonts w:hAnsi="宋体" w:cs="Times New Roman" w:hint="eastAsia"/>
                          <w:sz w:val="21"/>
                          <w:szCs w:val="21"/>
                          <w:lang w:eastAsia="zh-CN"/>
                        </w:rPr>
                        <w:t>：</w:t>
                      </w:r>
                      <w:r w:rsidRPr="002326A6">
                        <w:rPr>
                          <w:rFonts w:hAnsi="宋体" w:cs="Times New Roman"/>
                          <w:sz w:val="21"/>
                          <w:szCs w:val="21"/>
                          <w:lang w:eastAsia="zh-CN"/>
                        </w:rPr>
                        <w:t>导致半数最大失活的</w:t>
                      </w:r>
                      <w:r w:rsidRPr="002326A6">
                        <w:rPr>
                          <w:rFonts w:hAnsi="宋体" w:cs="Times New Roman" w:hint="eastAsia"/>
                          <w:sz w:val="21"/>
                          <w:szCs w:val="21"/>
                          <w:lang w:eastAsia="zh-CN"/>
                        </w:rPr>
                        <w:t>未结合</w:t>
                      </w:r>
                      <w:r w:rsidRPr="002326A6">
                        <w:rPr>
                          <w:rFonts w:hAnsi="宋体" w:cs="Times New Roman"/>
                          <w:sz w:val="21"/>
                          <w:szCs w:val="21"/>
                          <w:lang w:eastAsia="zh-CN"/>
                        </w:rPr>
                        <w:t>抑制剂浓度</w:t>
                      </w:r>
                      <w:r>
                        <w:rPr>
                          <w:rFonts w:hAnsi="宋体" w:cs="Times New Roman" w:hint="eastAsia"/>
                          <w:sz w:val="21"/>
                          <w:szCs w:val="21"/>
                          <w:lang w:eastAsia="zh-CN"/>
                        </w:rPr>
                        <w:t>；</w:t>
                      </w:r>
                    </w:p>
                    <w:p w14:paraId="1F8C86E3" w14:textId="0D039D47" w:rsidR="00921CF9" w:rsidRPr="002326A6" w:rsidRDefault="00921CF9" w:rsidP="00145505">
                      <w:pPr>
                        <w:spacing w:after="0" w:line="240" w:lineRule="auto"/>
                        <w:ind w:firstLine="420"/>
                        <w:rPr>
                          <w:rFonts w:cs="Times New Roman"/>
                          <w:sz w:val="21"/>
                          <w:szCs w:val="21"/>
                          <w:lang w:eastAsia="zh-CN"/>
                        </w:rPr>
                      </w:pPr>
                      <w:r w:rsidRPr="002326A6">
                        <w:rPr>
                          <w:rFonts w:cs="Times New Roman"/>
                          <w:sz w:val="21"/>
                          <w:szCs w:val="21"/>
                          <w:lang w:eastAsia="zh-CN"/>
                        </w:rPr>
                        <w:t>k</w:t>
                      </w:r>
                      <w:r w:rsidRPr="002326A6">
                        <w:rPr>
                          <w:rFonts w:cs="Times New Roman"/>
                          <w:sz w:val="21"/>
                          <w:szCs w:val="21"/>
                          <w:vertAlign w:val="subscript"/>
                          <w:lang w:eastAsia="zh-CN"/>
                        </w:rPr>
                        <w:t>inact</w:t>
                      </w:r>
                      <w:r>
                        <w:rPr>
                          <w:rFonts w:hAnsi="宋体" w:cs="Times New Roman" w:hint="eastAsia"/>
                          <w:sz w:val="21"/>
                          <w:szCs w:val="21"/>
                          <w:lang w:eastAsia="zh-CN"/>
                        </w:rPr>
                        <w:t>：</w:t>
                      </w:r>
                      <w:r w:rsidRPr="002326A6">
                        <w:rPr>
                          <w:rFonts w:hAnsi="宋体" w:cs="Times New Roman"/>
                          <w:sz w:val="21"/>
                          <w:szCs w:val="21"/>
                          <w:lang w:eastAsia="zh-CN"/>
                        </w:rPr>
                        <w:t>最大的灭活速率常数</w:t>
                      </w:r>
                      <w:r>
                        <w:rPr>
                          <w:rFonts w:hAnsi="宋体" w:cs="Times New Roman" w:hint="eastAsia"/>
                          <w:sz w:val="21"/>
                          <w:szCs w:val="21"/>
                          <w:lang w:eastAsia="zh-CN"/>
                        </w:rPr>
                        <w:t>；</w:t>
                      </w:r>
                    </w:p>
                    <w:p w14:paraId="6D1F791F" w14:textId="5EB5528C" w:rsidR="00921CF9" w:rsidRPr="002326A6" w:rsidRDefault="00921CF9" w:rsidP="00145505">
                      <w:pPr>
                        <w:spacing w:after="0" w:line="240" w:lineRule="auto"/>
                        <w:ind w:firstLine="420"/>
                        <w:rPr>
                          <w:rFonts w:cs="Times New Roman"/>
                          <w:sz w:val="21"/>
                          <w:szCs w:val="21"/>
                          <w:lang w:eastAsia="zh-CN"/>
                        </w:rPr>
                      </w:pPr>
                      <w:r w:rsidRPr="002326A6">
                        <w:rPr>
                          <w:rFonts w:cs="Times New Roman"/>
                          <w:sz w:val="21"/>
                          <w:szCs w:val="21"/>
                          <w:lang w:eastAsia="zh-CN"/>
                        </w:rPr>
                        <w:t>I</w:t>
                      </w:r>
                      <w:r w:rsidRPr="002326A6">
                        <w:rPr>
                          <w:rFonts w:cs="Times New Roman"/>
                          <w:sz w:val="21"/>
                          <w:szCs w:val="21"/>
                          <w:vertAlign w:val="subscript"/>
                          <w:lang w:eastAsia="zh-CN"/>
                        </w:rPr>
                        <w:t>max,u</w:t>
                      </w:r>
                      <w:r>
                        <w:rPr>
                          <w:rFonts w:hAnsi="宋体" w:cs="Times New Roman" w:hint="eastAsia"/>
                          <w:sz w:val="21"/>
                          <w:szCs w:val="21"/>
                          <w:lang w:eastAsia="zh-CN"/>
                        </w:rPr>
                        <w:t>：</w:t>
                      </w:r>
                      <w:r w:rsidRPr="002326A6">
                        <w:rPr>
                          <w:rFonts w:hAnsi="宋体" w:cs="Times New Roman" w:hint="eastAsia"/>
                          <w:sz w:val="21"/>
                          <w:szCs w:val="21"/>
                          <w:lang w:eastAsia="zh-CN"/>
                        </w:rPr>
                        <w:t>抑制剂</w:t>
                      </w:r>
                      <w:r w:rsidRPr="002326A6">
                        <w:rPr>
                          <w:rFonts w:hAnsi="宋体" w:cs="Times New Roman"/>
                          <w:sz w:val="21"/>
                          <w:szCs w:val="21"/>
                          <w:lang w:eastAsia="zh-CN"/>
                        </w:rPr>
                        <w:t>的</w:t>
                      </w:r>
                      <w:r w:rsidRPr="002326A6">
                        <w:rPr>
                          <w:rFonts w:hAnsi="宋体" w:cs="Times New Roman" w:hint="eastAsia"/>
                          <w:sz w:val="21"/>
                          <w:szCs w:val="21"/>
                          <w:lang w:eastAsia="zh-CN"/>
                        </w:rPr>
                        <w:t>稳态下</w:t>
                      </w:r>
                      <w:proofErr w:type="gramStart"/>
                      <w:r w:rsidRPr="002326A6">
                        <w:rPr>
                          <w:rFonts w:hAnsi="宋体" w:cs="Times New Roman"/>
                          <w:sz w:val="21"/>
                          <w:szCs w:val="21"/>
                          <w:lang w:eastAsia="zh-CN"/>
                        </w:rPr>
                        <w:t>最大未</w:t>
                      </w:r>
                      <w:proofErr w:type="gramEnd"/>
                      <w:r w:rsidRPr="002326A6">
                        <w:rPr>
                          <w:rFonts w:hAnsi="宋体" w:cs="Times New Roman"/>
                          <w:sz w:val="21"/>
                          <w:szCs w:val="21"/>
                          <w:lang w:eastAsia="zh-CN"/>
                        </w:rPr>
                        <w:t>结合血浆浓度</w:t>
                      </w:r>
                      <w:r>
                        <w:rPr>
                          <w:rFonts w:hAnsi="宋体" w:cs="Times New Roman" w:hint="eastAsia"/>
                          <w:sz w:val="21"/>
                          <w:szCs w:val="21"/>
                          <w:lang w:eastAsia="zh-CN"/>
                        </w:rPr>
                        <w:t>；</w:t>
                      </w:r>
                    </w:p>
                    <w:p w14:paraId="6B767F1D" w14:textId="77777777" w:rsidR="00921CF9" w:rsidRPr="002326A6" w:rsidRDefault="00921CF9" w:rsidP="00145505">
                      <w:pPr>
                        <w:spacing w:after="0" w:line="240" w:lineRule="auto"/>
                        <w:ind w:firstLine="420"/>
                        <w:rPr>
                          <w:rFonts w:cs="Times New Roman"/>
                          <w:sz w:val="21"/>
                          <w:szCs w:val="21"/>
                          <w:lang w:eastAsia="zh-CN"/>
                        </w:rPr>
                      </w:pPr>
                      <w:r w:rsidRPr="002326A6">
                        <w:rPr>
                          <w:rFonts w:hAnsi="宋体" w:cs="Times New Roman"/>
                          <w:sz w:val="21"/>
                          <w:szCs w:val="21"/>
                          <w:lang w:eastAsia="zh-CN"/>
                        </w:rPr>
                        <w:t>注意：</w:t>
                      </w:r>
                      <w:r w:rsidRPr="002326A6">
                        <w:rPr>
                          <w:rFonts w:cs="Times New Roman"/>
                          <w:sz w:val="21"/>
                          <w:szCs w:val="21"/>
                          <w:lang w:eastAsia="zh-CN"/>
                        </w:rPr>
                        <w:t>I</w:t>
                      </w:r>
                      <w:r w:rsidRPr="002326A6">
                        <w:rPr>
                          <w:rFonts w:hAnsi="宋体" w:cs="Times New Roman"/>
                          <w:sz w:val="21"/>
                          <w:szCs w:val="21"/>
                          <w:lang w:eastAsia="zh-CN"/>
                        </w:rPr>
                        <w:t>和</w:t>
                      </w:r>
                      <w:r w:rsidRPr="002326A6">
                        <w:rPr>
                          <w:rFonts w:cs="Times New Roman"/>
                          <w:sz w:val="21"/>
                          <w:szCs w:val="21"/>
                          <w:lang w:eastAsia="zh-CN"/>
                        </w:rPr>
                        <w:t>K</w:t>
                      </w:r>
                      <w:r w:rsidRPr="002326A6">
                        <w:rPr>
                          <w:rFonts w:cs="Times New Roman"/>
                          <w:sz w:val="21"/>
                          <w:szCs w:val="21"/>
                          <w:vertAlign w:val="subscript"/>
                          <w:lang w:eastAsia="zh-CN"/>
                        </w:rPr>
                        <w:t>i</w:t>
                      </w:r>
                      <w:r w:rsidRPr="002326A6">
                        <w:rPr>
                          <w:rFonts w:hAnsi="宋体" w:cs="Times New Roman"/>
                          <w:sz w:val="21"/>
                          <w:szCs w:val="21"/>
                          <w:lang w:eastAsia="zh-CN"/>
                        </w:rPr>
                        <w:t>需要以相同的单位表示（例如以摩尔浓度为单位）。</w:t>
                      </w:r>
                    </w:p>
                    <w:p w14:paraId="3BF76842" w14:textId="77777777" w:rsidR="00921CF9" w:rsidRPr="002326A6" w:rsidRDefault="00921CF9" w:rsidP="00145505">
                      <w:pPr>
                        <w:spacing w:after="0" w:line="240" w:lineRule="auto"/>
                        <w:ind w:firstLine="420"/>
                        <w:rPr>
                          <w:sz w:val="21"/>
                          <w:szCs w:val="21"/>
                          <w:lang w:eastAsia="zh-CN"/>
                        </w:rPr>
                      </w:pPr>
                      <w:r w:rsidRPr="002326A6">
                        <w:rPr>
                          <w:rFonts w:cs="Times New Roman"/>
                          <w:sz w:val="21"/>
                          <w:szCs w:val="21"/>
                          <w:vertAlign w:val="superscript"/>
                          <w:lang w:eastAsia="zh-CN"/>
                        </w:rPr>
                        <w:t>*</w:t>
                      </w:r>
                      <w:r w:rsidRPr="002326A6">
                        <w:rPr>
                          <w:rFonts w:hAnsi="宋体" w:cs="Times New Roman"/>
                          <w:sz w:val="21"/>
                          <w:szCs w:val="21"/>
                          <w:lang w:eastAsia="zh-CN"/>
                        </w:rPr>
                        <w:t>考虑到蛋白结合测定的不确定性，如果试验测定结果</w:t>
                      </w:r>
                      <w:r w:rsidRPr="002326A6">
                        <w:rPr>
                          <w:rFonts w:cs="Times New Roman"/>
                          <w:sz w:val="21"/>
                          <w:szCs w:val="21"/>
                          <w:lang w:eastAsia="zh-CN"/>
                        </w:rPr>
                        <w:t>&lt;1%</w:t>
                      </w:r>
                      <w:r w:rsidRPr="002326A6">
                        <w:rPr>
                          <w:rFonts w:hAnsi="宋体" w:cs="Times New Roman"/>
                          <w:sz w:val="21"/>
                          <w:szCs w:val="21"/>
                          <w:lang w:eastAsia="zh-CN"/>
                        </w:rPr>
                        <w:t>，则血浆中未结合的部分应设定为</w:t>
                      </w:r>
                      <w:r w:rsidRPr="002326A6">
                        <w:rPr>
                          <w:rFonts w:cs="Times New Roman"/>
                          <w:sz w:val="21"/>
                          <w:szCs w:val="21"/>
                          <w:lang w:eastAsia="zh-CN"/>
                        </w:rPr>
                        <w:t>1%</w:t>
                      </w:r>
                      <w:r w:rsidRPr="002326A6">
                        <w:rPr>
                          <w:rFonts w:hAnsi="宋体" w:cs="Times New Roman"/>
                          <w:sz w:val="21"/>
                          <w:szCs w:val="21"/>
                          <w:lang w:eastAsia="zh-CN"/>
                        </w:rPr>
                        <w:t>（血浆中未结合的部分（</w:t>
                      </w:r>
                      <w:r w:rsidRPr="002326A6">
                        <w:rPr>
                          <w:rFonts w:cs="Times New Roman"/>
                          <w:sz w:val="21"/>
                          <w:szCs w:val="21"/>
                          <w:lang w:eastAsia="zh-CN"/>
                        </w:rPr>
                        <w:t>f</w:t>
                      </w:r>
                      <w:r w:rsidRPr="002326A6">
                        <w:rPr>
                          <w:rFonts w:cs="Times New Roman"/>
                          <w:sz w:val="21"/>
                          <w:szCs w:val="21"/>
                          <w:vertAlign w:val="subscript"/>
                          <w:lang w:eastAsia="zh-CN"/>
                        </w:rPr>
                        <w:t>u, p</w:t>
                      </w:r>
                      <w:r w:rsidRPr="002326A6">
                        <w:rPr>
                          <w:rFonts w:hAnsi="宋体" w:cs="Times New Roman"/>
                          <w:sz w:val="21"/>
                          <w:szCs w:val="21"/>
                          <w:lang w:eastAsia="zh-CN"/>
                        </w:rPr>
                        <w:t>）</w:t>
                      </w:r>
                      <w:r w:rsidRPr="002326A6">
                        <w:rPr>
                          <w:rFonts w:cs="Times New Roman"/>
                          <w:sz w:val="21"/>
                          <w:szCs w:val="21"/>
                          <w:lang w:eastAsia="zh-CN"/>
                        </w:rPr>
                        <w:t>= 0.01</w:t>
                      </w:r>
                      <w:r w:rsidRPr="002326A6">
                        <w:rPr>
                          <w:rFonts w:hAnsi="宋体" w:cs="Times New Roman"/>
                          <w:sz w:val="21"/>
                          <w:szCs w:val="21"/>
                          <w:lang w:eastAsia="zh-CN"/>
                        </w:rPr>
                        <w:t>）。</w:t>
                      </w:r>
                    </w:p>
                    <w:p w14:paraId="1D677509" w14:textId="77777777" w:rsidR="00921CF9" w:rsidRDefault="00921CF9" w:rsidP="00145505">
                      <w:pPr>
                        <w:ind w:firstLine="640"/>
                        <w:rPr>
                          <w:lang w:eastAsia="zh-CN"/>
                        </w:rPr>
                      </w:pPr>
                    </w:p>
                  </w:txbxContent>
                </v:textbox>
                <w10:wrap anchorx="margin"/>
              </v:shape>
            </w:pict>
          </mc:Fallback>
        </mc:AlternateContent>
      </w:r>
      <w:r w:rsidRPr="009E464F">
        <w:rPr>
          <w:rFonts w:cs="Times New Roman"/>
          <w:b/>
          <w:sz w:val="21"/>
          <w:szCs w:val="21"/>
          <w:lang w:eastAsia="zh-CN"/>
        </w:rPr>
        <w:t>图</w:t>
      </w:r>
      <w:r>
        <w:rPr>
          <w:rFonts w:cs="Times New Roman"/>
          <w:b/>
          <w:sz w:val="21"/>
          <w:szCs w:val="21"/>
          <w:lang w:eastAsia="zh-CN"/>
        </w:rPr>
        <w:t>2</w:t>
      </w:r>
      <w:r>
        <w:rPr>
          <w:rFonts w:cs="Times New Roman" w:hint="eastAsia"/>
          <w:b/>
          <w:sz w:val="21"/>
          <w:szCs w:val="21"/>
          <w:lang w:eastAsia="zh-CN"/>
        </w:rPr>
        <w:t xml:space="preserve"> </w:t>
      </w:r>
      <w:r w:rsidRPr="009E464F">
        <w:rPr>
          <w:rFonts w:cs="Times New Roman"/>
          <w:b/>
          <w:sz w:val="21"/>
          <w:szCs w:val="21"/>
          <w:lang w:eastAsia="zh-CN"/>
        </w:rPr>
        <w:t>TDI</w:t>
      </w:r>
      <w:r w:rsidRPr="009E464F">
        <w:rPr>
          <w:rFonts w:cs="Times New Roman"/>
          <w:b/>
          <w:sz w:val="21"/>
          <w:szCs w:val="21"/>
          <w:lang w:eastAsia="zh-CN"/>
        </w:rPr>
        <w:t>基础模型中</w:t>
      </w:r>
      <w:r w:rsidRPr="009E464F">
        <w:rPr>
          <w:rFonts w:cs="Times New Roman"/>
          <w:b/>
          <w:sz w:val="21"/>
          <w:szCs w:val="21"/>
          <w:lang w:eastAsia="zh-CN"/>
        </w:rPr>
        <w:t>R</w:t>
      </w:r>
      <w:r w:rsidRPr="009E464F">
        <w:rPr>
          <w:rFonts w:cs="Times New Roman"/>
          <w:b/>
          <w:sz w:val="21"/>
          <w:szCs w:val="21"/>
          <w:lang w:eastAsia="zh-CN"/>
        </w:rPr>
        <w:t>值的计算公式</w:t>
      </w:r>
    </w:p>
    <w:p w14:paraId="5754462F" w14:textId="3B1178FA" w:rsidR="00145505" w:rsidRPr="00145505" w:rsidRDefault="00145505" w:rsidP="0083505F">
      <w:pPr>
        <w:spacing w:line="500" w:lineRule="exact"/>
        <w:ind w:firstLine="640"/>
        <w:rPr>
          <w:rFonts w:cs="Times New Roman"/>
          <w:lang w:eastAsia="zh-CN"/>
        </w:rPr>
      </w:pPr>
    </w:p>
    <w:p w14:paraId="4B75793B" w14:textId="5E50A6DA" w:rsidR="00145505" w:rsidRDefault="00145505" w:rsidP="0083505F">
      <w:pPr>
        <w:spacing w:after="0" w:line="500" w:lineRule="exact"/>
        <w:ind w:firstLine="422"/>
        <w:jc w:val="center"/>
        <w:rPr>
          <w:rFonts w:cs="Times New Roman"/>
          <w:b/>
          <w:sz w:val="21"/>
          <w:szCs w:val="21"/>
          <w:lang w:eastAsia="zh-CN"/>
        </w:rPr>
      </w:pPr>
    </w:p>
    <w:p w14:paraId="1D5E6AFF" w14:textId="77777777" w:rsidR="00F667F2" w:rsidRPr="009E464F" w:rsidRDefault="00F667F2" w:rsidP="0083505F">
      <w:pPr>
        <w:spacing w:after="0" w:line="500" w:lineRule="exact"/>
        <w:ind w:firstLine="420"/>
        <w:jc w:val="center"/>
        <w:rPr>
          <w:rFonts w:cs="Times New Roman"/>
          <w:sz w:val="21"/>
          <w:szCs w:val="21"/>
          <w:lang w:eastAsia="zh-CN"/>
        </w:rPr>
      </w:pPr>
    </w:p>
    <w:p w14:paraId="4A3B76C1" w14:textId="7A9E56CC" w:rsidR="00F667F2" w:rsidRPr="009E464F" w:rsidRDefault="00F667F2" w:rsidP="0083505F">
      <w:pPr>
        <w:spacing w:line="500" w:lineRule="exact"/>
        <w:ind w:firstLine="420"/>
        <w:rPr>
          <w:rFonts w:cs="Times New Roman"/>
          <w:sz w:val="21"/>
          <w:szCs w:val="21"/>
          <w:lang w:eastAsia="zh-CN"/>
        </w:rPr>
      </w:pPr>
    </w:p>
    <w:p w14:paraId="664793D7" w14:textId="77777777" w:rsidR="00F667F2" w:rsidRPr="009E464F" w:rsidRDefault="00F667F2" w:rsidP="0083505F">
      <w:pPr>
        <w:spacing w:line="500" w:lineRule="exact"/>
        <w:ind w:firstLine="420"/>
        <w:rPr>
          <w:rFonts w:cs="Times New Roman"/>
          <w:sz w:val="21"/>
          <w:szCs w:val="21"/>
          <w:lang w:eastAsia="zh-CN"/>
        </w:rPr>
      </w:pPr>
    </w:p>
    <w:p w14:paraId="3B337492" w14:textId="5362626A" w:rsidR="00F667F2" w:rsidRPr="009E464F" w:rsidRDefault="00F667F2" w:rsidP="00CB0133">
      <w:pPr>
        <w:spacing w:after="0"/>
        <w:ind w:firstLine="640"/>
        <w:rPr>
          <w:rFonts w:cs="Times New Roman"/>
          <w:lang w:eastAsia="zh-CN"/>
        </w:rPr>
      </w:pPr>
      <w:r w:rsidRPr="009E464F">
        <w:rPr>
          <w:rFonts w:cs="Times New Roman"/>
          <w:lang w:eastAsia="zh-CN"/>
        </w:rPr>
        <w:lastRenderedPageBreak/>
        <w:t>如果</w:t>
      </w:r>
      <w:r w:rsidRPr="009E464F">
        <w:rPr>
          <w:rFonts w:cs="Times New Roman"/>
          <w:lang w:eastAsia="zh-CN"/>
        </w:rPr>
        <w:t>R</w:t>
      </w:r>
      <w:r w:rsidRPr="009E464F">
        <w:rPr>
          <w:rFonts w:cs="Times New Roman"/>
          <w:vertAlign w:val="subscript"/>
          <w:lang w:eastAsia="zh-CN"/>
        </w:rPr>
        <w:t>1</w:t>
      </w:r>
      <w:r w:rsidRPr="009E464F">
        <w:rPr>
          <w:rFonts w:cs="Times New Roman"/>
          <w:lang w:eastAsia="zh-CN"/>
        </w:rPr>
        <w:t>≥1.02</w:t>
      </w:r>
      <w:r w:rsidRPr="009E464F">
        <w:rPr>
          <w:rFonts w:cs="Times New Roman"/>
          <w:lang w:eastAsia="zh-CN"/>
        </w:rPr>
        <w:t>，</w:t>
      </w:r>
      <w:r w:rsidRPr="009E464F">
        <w:rPr>
          <w:rFonts w:cs="Times New Roman"/>
          <w:lang w:eastAsia="zh-CN"/>
        </w:rPr>
        <w:t>R</w:t>
      </w:r>
      <w:r w:rsidRPr="009E464F">
        <w:rPr>
          <w:rFonts w:cs="Times New Roman"/>
          <w:vertAlign w:val="subscript"/>
          <w:lang w:eastAsia="zh-CN"/>
        </w:rPr>
        <w:t>2</w:t>
      </w:r>
      <w:r w:rsidRPr="009E464F">
        <w:rPr>
          <w:rFonts w:cs="Times New Roman"/>
          <w:lang w:eastAsia="zh-CN"/>
        </w:rPr>
        <w:t>≥1.25</w:t>
      </w:r>
      <w:r w:rsidRPr="009E464F">
        <w:rPr>
          <w:rFonts w:cs="Times New Roman"/>
          <w:lang w:eastAsia="zh-CN"/>
        </w:rPr>
        <w:t>或</w:t>
      </w:r>
      <w:r w:rsidRPr="009E464F">
        <w:rPr>
          <w:rFonts w:cs="Times New Roman"/>
          <w:lang w:eastAsia="zh-CN"/>
        </w:rPr>
        <w:t>R</w:t>
      </w:r>
      <w:r w:rsidRPr="009E464F">
        <w:rPr>
          <w:rFonts w:cs="Times New Roman"/>
          <w:vertAlign w:val="subscript"/>
          <w:lang w:eastAsia="zh-CN"/>
        </w:rPr>
        <w:t>1,gut</w:t>
      </w:r>
      <w:r w:rsidRPr="009E464F">
        <w:rPr>
          <w:rFonts w:cs="Times New Roman"/>
          <w:lang w:eastAsia="zh-CN"/>
        </w:rPr>
        <w:t>≥11</w:t>
      </w:r>
      <w:r w:rsidRPr="009E464F">
        <w:rPr>
          <w:rFonts w:cs="Times New Roman"/>
          <w:lang w:eastAsia="zh-CN"/>
        </w:rPr>
        <w:t>，</w:t>
      </w:r>
      <w:r w:rsidR="00415CB2">
        <w:rPr>
          <w:rFonts w:cs="Times New Roman" w:hint="eastAsia"/>
          <w:lang w:eastAsia="zh-CN"/>
        </w:rPr>
        <w:t>则</w:t>
      </w:r>
      <w:r w:rsidRPr="009E464F">
        <w:rPr>
          <w:rFonts w:cs="Times New Roman"/>
          <w:lang w:eastAsia="zh-CN"/>
        </w:rPr>
        <w:t>应通过采用机制模型或敏感指针底物的临床药物相互作用研究来进一步确认潜在的药物相互作用。如果根据静态或动态机制模型（例如</w:t>
      </w:r>
      <w:r w:rsidRPr="009E464F">
        <w:rPr>
          <w:rFonts w:cs="Times New Roman"/>
          <w:lang w:eastAsia="zh-CN"/>
        </w:rPr>
        <w:t>PBPK</w:t>
      </w:r>
      <w:r w:rsidRPr="009E464F">
        <w:rPr>
          <w:rFonts w:cs="Times New Roman"/>
          <w:lang w:eastAsia="zh-CN"/>
        </w:rPr>
        <w:t>模型）预测存在和不存在</w:t>
      </w:r>
      <w:proofErr w:type="gramStart"/>
      <w:r w:rsidRPr="009E464F">
        <w:rPr>
          <w:rFonts w:cs="Times New Roman"/>
          <w:lang w:eastAsia="zh-CN"/>
        </w:rPr>
        <w:t>在研</w:t>
      </w:r>
      <w:proofErr w:type="gramEnd"/>
      <w:r w:rsidRPr="009E464F">
        <w:rPr>
          <w:rFonts w:cs="Times New Roman"/>
          <w:lang w:eastAsia="zh-CN"/>
        </w:rPr>
        <w:t>药物时敏感指针底物的</w:t>
      </w:r>
      <w:r w:rsidRPr="009E464F">
        <w:rPr>
          <w:rFonts w:cs="Times New Roman"/>
          <w:lang w:eastAsia="zh-CN"/>
        </w:rPr>
        <w:t>AUC</w:t>
      </w:r>
      <w:r w:rsidRPr="009E464F">
        <w:rPr>
          <w:rFonts w:cs="Times New Roman"/>
          <w:lang w:eastAsia="zh-CN"/>
        </w:rPr>
        <w:t>比值（</w:t>
      </w:r>
      <w:r w:rsidRPr="009E464F">
        <w:rPr>
          <w:rFonts w:cs="Times New Roman"/>
          <w:lang w:eastAsia="zh-CN"/>
        </w:rPr>
        <w:t>AUCR</w:t>
      </w:r>
      <w:r w:rsidRPr="009E464F">
        <w:rPr>
          <w:rFonts w:cs="Times New Roman"/>
          <w:lang w:eastAsia="zh-CN"/>
        </w:rPr>
        <w:t>）</w:t>
      </w:r>
      <w:r w:rsidRPr="009E464F">
        <w:rPr>
          <w:rFonts w:cs="Times New Roman"/>
          <w:lang w:eastAsia="zh-CN"/>
        </w:rPr>
        <w:t>≥1.25</w:t>
      </w:r>
      <w:r w:rsidRPr="009E464F">
        <w:rPr>
          <w:rFonts w:cs="Times New Roman"/>
          <w:lang w:eastAsia="zh-CN"/>
        </w:rPr>
        <w:t>，则应使用敏感指针底物开展临床药物相互作用研究。</w:t>
      </w:r>
    </w:p>
    <w:p w14:paraId="400BD404" w14:textId="77777777" w:rsidR="00F667F2" w:rsidRPr="009E464F" w:rsidRDefault="00F667F2" w:rsidP="00CB0133">
      <w:pPr>
        <w:spacing w:after="0"/>
        <w:ind w:firstLine="640"/>
        <w:rPr>
          <w:rFonts w:cs="Times New Roman"/>
          <w:lang w:eastAsia="zh-CN"/>
        </w:rPr>
      </w:pPr>
      <w:r w:rsidRPr="009E464F">
        <w:rPr>
          <w:rFonts w:cs="Times New Roman"/>
          <w:lang w:eastAsia="zh-CN"/>
        </w:rPr>
        <w:t>当静态机制模型或</w:t>
      </w:r>
      <w:r w:rsidRPr="009E464F">
        <w:rPr>
          <w:rFonts w:cs="Times New Roman"/>
          <w:lang w:eastAsia="zh-CN"/>
        </w:rPr>
        <w:t>PBPK</w:t>
      </w:r>
      <w:r w:rsidRPr="009E464F">
        <w:rPr>
          <w:rFonts w:cs="Times New Roman"/>
          <w:lang w:eastAsia="zh-CN"/>
        </w:rPr>
        <w:t>模型用于预测由于代谢酶活性被抑制引起的药物相互作用时，模型应仅包括抑制机制（即该模型预测不应该同时包括诱导和抑制两种机制）来确定所评估的在</w:t>
      </w:r>
      <w:proofErr w:type="gramStart"/>
      <w:r w:rsidRPr="009E464F">
        <w:rPr>
          <w:rFonts w:cs="Times New Roman"/>
          <w:lang w:eastAsia="zh-CN"/>
        </w:rPr>
        <w:t>研</w:t>
      </w:r>
      <w:proofErr w:type="gramEnd"/>
      <w:r w:rsidRPr="009E464F">
        <w:rPr>
          <w:rFonts w:cs="Times New Roman"/>
          <w:lang w:eastAsia="zh-CN"/>
        </w:rPr>
        <w:t>药物抑制代谢酶的能力。</w:t>
      </w:r>
    </w:p>
    <w:p w14:paraId="20D1622A" w14:textId="3E689FD4" w:rsidR="00AC7FD1" w:rsidRPr="009E464F" w:rsidRDefault="00415CB2" w:rsidP="00CB0133">
      <w:pPr>
        <w:spacing w:after="0"/>
        <w:ind w:firstLine="640"/>
        <w:rPr>
          <w:rFonts w:cs="Times New Roman"/>
          <w:lang w:eastAsia="zh-CN"/>
        </w:rPr>
      </w:pPr>
      <w:r w:rsidRPr="009E464F">
        <w:rPr>
          <w:rFonts w:cs="Times New Roman"/>
          <w:lang w:eastAsia="zh-CN"/>
        </w:rPr>
        <w:t>评估在</w:t>
      </w:r>
      <w:proofErr w:type="gramStart"/>
      <w:r w:rsidRPr="009E464F">
        <w:rPr>
          <w:rFonts w:cs="Times New Roman"/>
          <w:lang w:eastAsia="zh-CN"/>
        </w:rPr>
        <w:t>研</w:t>
      </w:r>
      <w:proofErr w:type="gramEnd"/>
      <w:r w:rsidRPr="009E464F">
        <w:rPr>
          <w:rFonts w:cs="Times New Roman"/>
          <w:lang w:eastAsia="zh-CN"/>
        </w:rPr>
        <w:t>药物是否是代谢酶抑制剂的体外试验的具体要求详见附录</w:t>
      </w:r>
      <w:r w:rsidRPr="009E464F">
        <w:rPr>
          <w:rFonts w:cs="Times New Roman"/>
          <w:lang w:eastAsia="zh-CN"/>
        </w:rPr>
        <w:t>3</w:t>
      </w:r>
      <w:r w:rsidRPr="009E464F">
        <w:rPr>
          <w:rFonts w:cs="Times New Roman"/>
          <w:lang w:eastAsia="zh-CN"/>
        </w:rPr>
        <w:t>。</w:t>
      </w:r>
    </w:p>
    <w:p w14:paraId="7C08A1DE" w14:textId="3F77F076" w:rsidR="00ED7AE1" w:rsidRPr="00CB0133" w:rsidRDefault="00A66268" w:rsidP="00CB0133">
      <w:pPr>
        <w:widowControl w:val="0"/>
        <w:autoSpaceDE w:val="0"/>
        <w:autoSpaceDN w:val="0"/>
        <w:adjustRightInd w:val="0"/>
        <w:spacing w:after="0"/>
        <w:ind w:firstLine="640"/>
        <w:rPr>
          <w:rFonts w:eastAsia="楷体" w:cs="Times New Roman"/>
          <w:color w:val="000000"/>
          <w:szCs w:val="32"/>
          <w:lang w:eastAsia="zh-CN"/>
        </w:rPr>
      </w:pPr>
      <w:r>
        <w:rPr>
          <w:rFonts w:eastAsia="楷体" w:cs="Times New Roman"/>
          <w:color w:val="000000"/>
          <w:szCs w:val="32"/>
          <w:lang w:eastAsia="zh-CN"/>
        </w:rPr>
        <w:t>3.</w:t>
      </w:r>
      <w:r w:rsidR="00ED7AE1" w:rsidRPr="00CB0133">
        <w:rPr>
          <w:rFonts w:eastAsia="楷体" w:cs="Times New Roman"/>
          <w:color w:val="000000"/>
          <w:szCs w:val="32"/>
          <w:lang w:eastAsia="zh-CN"/>
        </w:rPr>
        <w:t>评估在</w:t>
      </w:r>
      <w:proofErr w:type="gramStart"/>
      <w:r w:rsidR="00ED7AE1" w:rsidRPr="00CB0133">
        <w:rPr>
          <w:rFonts w:eastAsia="楷体" w:cs="Times New Roman"/>
          <w:color w:val="000000"/>
          <w:szCs w:val="32"/>
          <w:lang w:eastAsia="zh-CN"/>
        </w:rPr>
        <w:t>研</w:t>
      </w:r>
      <w:proofErr w:type="gramEnd"/>
      <w:r w:rsidR="00ED7AE1" w:rsidRPr="00CB0133">
        <w:rPr>
          <w:rFonts w:eastAsia="楷体" w:cs="Times New Roman"/>
          <w:color w:val="000000"/>
          <w:szCs w:val="32"/>
          <w:lang w:eastAsia="zh-CN"/>
        </w:rPr>
        <w:t>药物是否为代谢酶的诱导剂</w:t>
      </w:r>
    </w:p>
    <w:p w14:paraId="0DA76E3D" w14:textId="5A47E158" w:rsidR="0010799A" w:rsidRDefault="00415CB2" w:rsidP="00CB0133">
      <w:pPr>
        <w:spacing w:after="0"/>
        <w:ind w:firstLine="640"/>
        <w:rPr>
          <w:rFonts w:cs="Times New Roman"/>
          <w:lang w:eastAsia="zh-CN"/>
        </w:rPr>
      </w:pPr>
      <w:r>
        <w:rPr>
          <w:rFonts w:cs="Times New Roman" w:hint="eastAsia"/>
          <w:lang w:eastAsia="zh-CN"/>
        </w:rPr>
        <w:t>（</w:t>
      </w:r>
      <w:r>
        <w:rPr>
          <w:rFonts w:cs="Times New Roman" w:hint="eastAsia"/>
          <w:lang w:eastAsia="zh-CN"/>
        </w:rPr>
        <w:t>1</w:t>
      </w:r>
      <w:r>
        <w:rPr>
          <w:rFonts w:cs="Times New Roman" w:hint="eastAsia"/>
          <w:lang w:eastAsia="zh-CN"/>
        </w:rPr>
        <w:t>）</w:t>
      </w:r>
      <w:r>
        <w:rPr>
          <w:rFonts w:cs="Times New Roman"/>
          <w:lang w:eastAsia="zh-CN"/>
        </w:rPr>
        <w:t>研究</w:t>
      </w:r>
      <w:r w:rsidR="0010799A">
        <w:rPr>
          <w:rFonts w:cs="Times New Roman" w:hint="eastAsia"/>
          <w:lang w:eastAsia="zh-CN"/>
        </w:rPr>
        <w:t>内容</w:t>
      </w:r>
    </w:p>
    <w:p w14:paraId="7236C5D2" w14:textId="337E419A" w:rsidR="00415CB2" w:rsidRPr="00446341" w:rsidRDefault="00415CB2" w:rsidP="00CB0133">
      <w:pPr>
        <w:spacing w:after="0"/>
        <w:ind w:firstLine="640"/>
        <w:rPr>
          <w:rFonts w:cs="Times New Roman"/>
          <w:lang w:eastAsia="zh-CN"/>
        </w:rPr>
      </w:pPr>
      <w:r w:rsidRPr="009E464F">
        <w:rPr>
          <w:rFonts w:cs="Times New Roman"/>
          <w:lang w:eastAsia="zh-CN"/>
        </w:rPr>
        <w:t>应评估在</w:t>
      </w:r>
      <w:proofErr w:type="gramStart"/>
      <w:r w:rsidRPr="009E464F">
        <w:rPr>
          <w:rFonts w:cs="Times New Roman"/>
          <w:lang w:eastAsia="zh-CN"/>
        </w:rPr>
        <w:t>研</w:t>
      </w:r>
      <w:proofErr w:type="gramEnd"/>
      <w:r w:rsidRPr="009E464F">
        <w:rPr>
          <w:rFonts w:cs="Times New Roman"/>
          <w:lang w:eastAsia="zh-CN"/>
        </w:rPr>
        <w:t>药物是否会诱导主要的</w:t>
      </w:r>
      <w:r w:rsidRPr="009E464F">
        <w:rPr>
          <w:rFonts w:cs="Times New Roman"/>
          <w:lang w:eastAsia="zh-CN"/>
        </w:rPr>
        <w:t>CYP</w:t>
      </w:r>
      <w:r w:rsidRPr="009E464F">
        <w:rPr>
          <w:rFonts w:cs="Times New Roman"/>
          <w:lang w:eastAsia="zh-CN"/>
        </w:rPr>
        <w:t>同工酶</w:t>
      </w:r>
      <w:r w:rsidRPr="009E464F">
        <w:rPr>
          <w:rFonts w:cs="Times New Roman"/>
          <w:lang w:eastAsia="zh-CN"/>
        </w:rPr>
        <w:t>CYP1A2</w:t>
      </w:r>
      <w:r w:rsidRPr="009E464F">
        <w:rPr>
          <w:rFonts w:cs="Times New Roman"/>
          <w:lang w:eastAsia="zh-CN"/>
        </w:rPr>
        <w:t>、</w:t>
      </w:r>
      <w:r w:rsidRPr="009E464F">
        <w:rPr>
          <w:rFonts w:cs="Times New Roman"/>
          <w:lang w:eastAsia="zh-CN"/>
        </w:rPr>
        <w:t>CYP2B6</w:t>
      </w:r>
      <w:r w:rsidRPr="009E464F">
        <w:rPr>
          <w:rFonts w:cs="Times New Roman"/>
          <w:lang w:eastAsia="zh-CN"/>
        </w:rPr>
        <w:t>、</w:t>
      </w:r>
      <w:r w:rsidRPr="009E464F">
        <w:rPr>
          <w:rFonts w:cs="Times New Roman"/>
          <w:lang w:eastAsia="zh-CN"/>
        </w:rPr>
        <w:t>CYP2C8</w:t>
      </w:r>
      <w:r w:rsidRPr="009E464F">
        <w:rPr>
          <w:rFonts w:cs="Times New Roman"/>
          <w:lang w:eastAsia="zh-CN"/>
        </w:rPr>
        <w:t>、</w:t>
      </w:r>
      <w:r w:rsidRPr="009E464F">
        <w:rPr>
          <w:rFonts w:cs="Times New Roman"/>
          <w:lang w:eastAsia="zh-CN"/>
        </w:rPr>
        <w:t>CYP2C9</w:t>
      </w:r>
      <w:r w:rsidRPr="009E464F">
        <w:rPr>
          <w:rFonts w:cs="Times New Roman"/>
          <w:lang w:eastAsia="zh-CN"/>
        </w:rPr>
        <w:t>、</w:t>
      </w:r>
      <w:r w:rsidRPr="009E464F">
        <w:rPr>
          <w:rFonts w:cs="Times New Roman"/>
          <w:lang w:eastAsia="zh-CN"/>
        </w:rPr>
        <w:t>CYP2C19</w:t>
      </w:r>
      <w:r w:rsidRPr="009E464F">
        <w:rPr>
          <w:rFonts w:cs="Times New Roman"/>
          <w:lang w:eastAsia="zh-CN"/>
        </w:rPr>
        <w:t>和</w:t>
      </w:r>
      <w:r w:rsidRPr="009E464F">
        <w:rPr>
          <w:rFonts w:cs="Times New Roman"/>
          <w:lang w:eastAsia="zh-CN"/>
        </w:rPr>
        <w:t>CYP3A4</w:t>
      </w:r>
      <w:r w:rsidRPr="009E464F">
        <w:rPr>
          <w:rFonts w:cs="Times New Roman"/>
          <w:lang w:eastAsia="zh-CN"/>
        </w:rPr>
        <w:t>。</w:t>
      </w:r>
      <w:r w:rsidR="009912EF">
        <w:rPr>
          <w:rFonts w:cs="Times New Roman"/>
          <w:lang w:eastAsia="zh-CN"/>
        </w:rPr>
        <w:t>因</w:t>
      </w:r>
      <w:r w:rsidR="009912EF">
        <w:rPr>
          <w:rFonts w:cs="Times New Roman" w:hint="eastAsia"/>
          <w:lang w:eastAsia="zh-CN"/>
        </w:rPr>
        <w:t>对</w:t>
      </w:r>
      <w:r w:rsidR="009912EF" w:rsidRPr="001353EF">
        <w:rPr>
          <w:rFonts w:cs="Times New Roman"/>
          <w:lang w:eastAsia="zh-CN"/>
        </w:rPr>
        <w:t>CYP3A4/5</w:t>
      </w:r>
      <w:r w:rsidR="009912EF" w:rsidRPr="001353EF">
        <w:rPr>
          <w:rFonts w:cs="Times New Roman"/>
          <w:lang w:eastAsia="zh-CN"/>
        </w:rPr>
        <w:t>和</w:t>
      </w:r>
      <w:r w:rsidR="009912EF" w:rsidRPr="001353EF">
        <w:rPr>
          <w:rFonts w:cs="Times New Roman"/>
          <w:lang w:eastAsia="zh-CN"/>
        </w:rPr>
        <w:t>CYP2C</w:t>
      </w:r>
      <w:r w:rsidR="009912EF">
        <w:rPr>
          <w:rFonts w:cs="Times New Roman" w:hint="eastAsia"/>
          <w:lang w:eastAsia="zh-CN"/>
        </w:rPr>
        <w:t>的</w:t>
      </w:r>
      <w:r w:rsidR="009912EF">
        <w:rPr>
          <w:rFonts w:cs="Times New Roman"/>
          <w:lang w:eastAsia="zh-CN"/>
        </w:rPr>
        <w:t>诱导</w:t>
      </w:r>
      <w:r w:rsidR="009912EF">
        <w:rPr>
          <w:rFonts w:cs="Times New Roman" w:hint="eastAsia"/>
          <w:lang w:eastAsia="zh-CN"/>
        </w:rPr>
        <w:t>作用</w:t>
      </w:r>
      <w:r w:rsidR="009912EF" w:rsidRPr="001353EF">
        <w:rPr>
          <w:rFonts w:cs="Times New Roman"/>
          <w:lang w:eastAsia="zh-CN"/>
        </w:rPr>
        <w:t>都</w:t>
      </w:r>
      <w:r w:rsidR="009912EF">
        <w:rPr>
          <w:rFonts w:cs="Times New Roman" w:hint="eastAsia"/>
          <w:lang w:eastAsia="zh-CN"/>
        </w:rPr>
        <w:t>需要</w:t>
      </w:r>
      <w:proofErr w:type="gramStart"/>
      <w:r w:rsidR="009912EF" w:rsidRPr="001353EF">
        <w:rPr>
          <w:rFonts w:cs="Times New Roman"/>
          <w:lang w:eastAsia="zh-CN"/>
        </w:rPr>
        <w:t>激活孕烷</w:t>
      </w:r>
      <w:proofErr w:type="gramEnd"/>
      <w:r w:rsidR="009912EF" w:rsidRPr="001353EF">
        <w:rPr>
          <w:rFonts w:cs="Times New Roman"/>
          <w:lang w:eastAsia="zh-CN"/>
        </w:rPr>
        <w:t>X</w:t>
      </w:r>
      <w:r w:rsidR="009912EF" w:rsidRPr="001353EF">
        <w:rPr>
          <w:rFonts w:cs="Times New Roman"/>
          <w:lang w:eastAsia="zh-CN"/>
        </w:rPr>
        <w:t>受体（</w:t>
      </w:r>
      <w:proofErr w:type="spellStart"/>
      <w:r w:rsidR="009912EF" w:rsidRPr="001353EF">
        <w:rPr>
          <w:rFonts w:cs="Times New Roman" w:hint="eastAsia"/>
          <w:lang w:eastAsia="zh-CN"/>
        </w:rPr>
        <w:t>P</w:t>
      </w:r>
      <w:r w:rsidR="009912EF" w:rsidRPr="001353EF">
        <w:rPr>
          <w:rFonts w:cs="Times New Roman"/>
          <w:lang w:eastAsia="zh-CN"/>
        </w:rPr>
        <w:t>regnane</w:t>
      </w:r>
      <w:proofErr w:type="spellEnd"/>
      <w:r w:rsidR="009912EF" w:rsidRPr="001353EF">
        <w:rPr>
          <w:rFonts w:cs="Times New Roman"/>
          <w:lang w:eastAsia="zh-CN"/>
        </w:rPr>
        <w:t xml:space="preserve"> X receptor</w:t>
      </w:r>
      <w:r w:rsidR="009912EF" w:rsidRPr="001353EF">
        <w:rPr>
          <w:rFonts w:cs="Times New Roman" w:hint="eastAsia"/>
          <w:lang w:eastAsia="zh-CN"/>
        </w:rPr>
        <w:t>，</w:t>
      </w:r>
      <w:r w:rsidR="009912EF" w:rsidRPr="001353EF">
        <w:rPr>
          <w:rFonts w:cs="Times New Roman"/>
          <w:lang w:eastAsia="zh-CN"/>
        </w:rPr>
        <w:t>PXR</w:t>
      </w:r>
      <w:r w:rsidR="009912EF">
        <w:rPr>
          <w:rFonts w:cs="Times New Roman"/>
          <w:lang w:eastAsia="zh-CN"/>
        </w:rPr>
        <w:t>）</w:t>
      </w:r>
      <w:r w:rsidR="009912EF">
        <w:rPr>
          <w:rFonts w:cs="Times New Roman" w:hint="eastAsia"/>
          <w:lang w:eastAsia="zh-CN"/>
        </w:rPr>
        <w:t>，</w:t>
      </w:r>
      <w:r w:rsidR="009912EF">
        <w:rPr>
          <w:rFonts w:cs="Times New Roman"/>
          <w:lang w:eastAsia="zh-CN"/>
        </w:rPr>
        <w:t>故</w:t>
      </w:r>
      <w:r w:rsidR="009912EF">
        <w:rPr>
          <w:rFonts w:cs="Times New Roman" w:hint="eastAsia"/>
          <w:lang w:eastAsia="zh-CN"/>
        </w:rPr>
        <w:t>研究初期，可</w:t>
      </w:r>
      <w:r w:rsidR="009912EF" w:rsidRPr="0083505F">
        <w:rPr>
          <w:rFonts w:cs="Times New Roman" w:hint="eastAsia"/>
          <w:lang w:eastAsia="zh-CN"/>
        </w:rPr>
        <w:t>只评估</w:t>
      </w:r>
      <w:r w:rsidR="009912EF" w:rsidRPr="0083505F">
        <w:rPr>
          <w:rFonts w:cs="Times New Roman"/>
          <w:lang w:eastAsia="zh-CN"/>
        </w:rPr>
        <w:t>CYP1A2</w:t>
      </w:r>
      <w:r w:rsidR="009912EF" w:rsidRPr="0083505F">
        <w:rPr>
          <w:rFonts w:cs="Times New Roman" w:hint="eastAsia"/>
          <w:lang w:eastAsia="zh-CN"/>
        </w:rPr>
        <w:t>，</w:t>
      </w:r>
      <w:r w:rsidR="009912EF" w:rsidRPr="0083505F">
        <w:rPr>
          <w:rFonts w:cs="Times New Roman"/>
          <w:lang w:eastAsia="zh-CN"/>
        </w:rPr>
        <w:t>CYP2B6</w:t>
      </w:r>
      <w:r w:rsidR="009912EF" w:rsidRPr="0083505F">
        <w:rPr>
          <w:rFonts w:cs="Times New Roman" w:hint="eastAsia"/>
          <w:lang w:eastAsia="zh-CN"/>
        </w:rPr>
        <w:t>和</w:t>
      </w:r>
      <w:r w:rsidR="009912EF" w:rsidRPr="0083505F">
        <w:rPr>
          <w:rFonts w:cs="Times New Roman"/>
          <w:lang w:eastAsia="zh-CN"/>
        </w:rPr>
        <w:t>CYP3A4/5</w:t>
      </w:r>
      <w:r w:rsidR="009912EF" w:rsidRPr="0083505F">
        <w:rPr>
          <w:rFonts w:cs="Times New Roman" w:hint="eastAsia"/>
          <w:lang w:eastAsia="zh-CN"/>
        </w:rPr>
        <w:t>。</w:t>
      </w:r>
      <w:r w:rsidR="009912EF">
        <w:rPr>
          <w:rFonts w:cs="Times New Roman" w:hint="eastAsia"/>
          <w:lang w:eastAsia="zh-CN"/>
        </w:rPr>
        <w:t>若未</w:t>
      </w:r>
      <w:r w:rsidR="009912EF">
        <w:rPr>
          <w:rFonts w:cs="Times New Roman"/>
          <w:lang w:eastAsia="zh-CN"/>
        </w:rPr>
        <w:t>见</w:t>
      </w:r>
      <w:r w:rsidR="009912EF">
        <w:rPr>
          <w:rFonts w:cs="Times New Roman" w:hint="eastAsia"/>
          <w:lang w:eastAsia="zh-CN"/>
        </w:rPr>
        <w:t>对</w:t>
      </w:r>
      <w:r w:rsidR="009912EF" w:rsidRPr="0083505F">
        <w:rPr>
          <w:rFonts w:cs="Times New Roman"/>
          <w:lang w:eastAsia="zh-CN"/>
        </w:rPr>
        <w:t>CYP3A4/5</w:t>
      </w:r>
      <w:r w:rsidR="009912EF" w:rsidRPr="0083505F">
        <w:rPr>
          <w:rFonts w:cs="Times New Roman" w:hint="eastAsia"/>
          <w:lang w:eastAsia="zh-CN"/>
        </w:rPr>
        <w:t>酶的诱导，则可不必再评价</w:t>
      </w:r>
      <w:r w:rsidR="009912EF">
        <w:rPr>
          <w:rFonts w:cs="Times New Roman" w:hint="eastAsia"/>
          <w:lang w:eastAsia="zh-CN"/>
        </w:rPr>
        <w:t>对</w:t>
      </w:r>
      <w:r w:rsidR="009912EF" w:rsidRPr="0083505F">
        <w:rPr>
          <w:rFonts w:cs="Times New Roman"/>
          <w:lang w:eastAsia="zh-CN"/>
        </w:rPr>
        <w:t>CYP2C</w:t>
      </w:r>
      <w:r w:rsidR="009912EF" w:rsidRPr="0083505F">
        <w:rPr>
          <w:rFonts w:cs="Times New Roman" w:hint="eastAsia"/>
          <w:lang w:eastAsia="zh-CN"/>
        </w:rPr>
        <w:t>酶的诱导</w:t>
      </w:r>
      <w:r w:rsidR="00EC0E5C">
        <w:rPr>
          <w:rFonts w:cs="Times New Roman" w:hint="eastAsia"/>
          <w:lang w:eastAsia="zh-CN"/>
        </w:rPr>
        <w:t>作用</w:t>
      </w:r>
      <w:r w:rsidR="009912EF" w:rsidRPr="0083505F">
        <w:rPr>
          <w:rFonts w:cs="Times New Roman" w:hint="eastAsia"/>
          <w:lang w:eastAsia="zh-CN"/>
        </w:rPr>
        <w:t>。</w:t>
      </w:r>
      <w:r w:rsidR="00EC0E5C">
        <w:rPr>
          <w:rFonts w:cs="Times New Roman" w:hint="eastAsia"/>
          <w:lang w:eastAsia="zh-CN"/>
        </w:rPr>
        <w:t>但若</w:t>
      </w:r>
      <w:r w:rsidR="00EC0E5C">
        <w:rPr>
          <w:rFonts w:cs="Times New Roman"/>
          <w:lang w:eastAsia="zh-CN"/>
        </w:rPr>
        <w:t>在</w:t>
      </w:r>
      <w:proofErr w:type="gramStart"/>
      <w:r w:rsidR="00EC0E5C">
        <w:rPr>
          <w:rFonts w:cs="Times New Roman"/>
          <w:lang w:eastAsia="zh-CN"/>
        </w:rPr>
        <w:t>研</w:t>
      </w:r>
      <w:proofErr w:type="gramEnd"/>
      <w:r w:rsidR="00EC0E5C">
        <w:rPr>
          <w:rFonts w:cs="Times New Roman" w:hint="eastAsia"/>
          <w:lang w:eastAsia="zh-CN"/>
        </w:rPr>
        <w:t>药物</w:t>
      </w:r>
      <w:r w:rsidR="009912EF" w:rsidRPr="0083505F">
        <w:rPr>
          <w:rFonts w:cs="Times New Roman" w:hint="eastAsia"/>
          <w:lang w:eastAsia="zh-CN"/>
        </w:rPr>
        <w:t>可以诱导</w:t>
      </w:r>
      <w:r w:rsidR="009912EF" w:rsidRPr="0083505F">
        <w:rPr>
          <w:rFonts w:cs="Times New Roman"/>
          <w:lang w:eastAsia="zh-CN"/>
        </w:rPr>
        <w:t>CYP3A4/5</w:t>
      </w:r>
      <w:r w:rsidR="009912EF" w:rsidRPr="0083505F">
        <w:rPr>
          <w:rFonts w:cs="Times New Roman" w:hint="eastAsia"/>
          <w:lang w:eastAsia="zh-CN"/>
        </w:rPr>
        <w:t>，则应评估</w:t>
      </w:r>
      <w:r w:rsidR="00EC0E5C">
        <w:rPr>
          <w:rFonts w:cs="Times New Roman" w:hint="eastAsia"/>
          <w:lang w:eastAsia="zh-CN"/>
        </w:rPr>
        <w:t>其</w:t>
      </w:r>
      <w:r w:rsidR="009912EF" w:rsidRPr="0083505F">
        <w:rPr>
          <w:rFonts w:cs="Times New Roman" w:hint="eastAsia"/>
          <w:lang w:eastAsia="zh-CN"/>
        </w:rPr>
        <w:t>诱导</w:t>
      </w:r>
      <w:r w:rsidR="009912EF" w:rsidRPr="0083505F">
        <w:rPr>
          <w:rFonts w:cs="Times New Roman"/>
          <w:lang w:eastAsia="zh-CN"/>
        </w:rPr>
        <w:t>CYP2C</w:t>
      </w:r>
      <w:r w:rsidR="00EC0E5C">
        <w:rPr>
          <w:rFonts w:cs="Times New Roman" w:hint="eastAsia"/>
          <w:lang w:eastAsia="zh-CN"/>
        </w:rPr>
        <w:t>的可能性</w:t>
      </w:r>
      <w:r w:rsidR="009912EF" w:rsidRPr="0083505F">
        <w:rPr>
          <w:rFonts w:cs="Times New Roman" w:hint="eastAsia"/>
          <w:lang w:eastAsia="zh-CN"/>
        </w:rPr>
        <w:t>。</w:t>
      </w:r>
    </w:p>
    <w:p w14:paraId="3A4FF303" w14:textId="129CE48F" w:rsidR="00415CB2" w:rsidRDefault="00415CB2" w:rsidP="00CB0133">
      <w:pPr>
        <w:spacing w:after="0"/>
        <w:ind w:firstLine="640"/>
        <w:rPr>
          <w:rFonts w:cs="Times New Roman"/>
          <w:lang w:eastAsia="zh-CN"/>
        </w:rPr>
      </w:pPr>
      <w:r w:rsidRPr="009E464F">
        <w:rPr>
          <w:rFonts w:cs="Times New Roman"/>
          <w:lang w:eastAsia="zh-CN"/>
        </w:rPr>
        <w:lastRenderedPageBreak/>
        <w:t>（</w:t>
      </w:r>
      <w:r w:rsidRPr="009E464F">
        <w:rPr>
          <w:rFonts w:cs="Times New Roman"/>
          <w:lang w:eastAsia="zh-CN"/>
        </w:rPr>
        <w:t>2</w:t>
      </w:r>
      <w:r w:rsidRPr="009E464F">
        <w:rPr>
          <w:rFonts w:cs="Times New Roman"/>
          <w:lang w:eastAsia="zh-CN"/>
        </w:rPr>
        <w:t>）</w:t>
      </w:r>
      <w:r>
        <w:rPr>
          <w:rFonts w:cs="Times New Roman" w:hint="eastAsia"/>
          <w:lang w:eastAsia="zh-CN"/>
        </w:rPr>
        <w:t>数据分析</w:t>
      </w:r>
    </w:p>
    <w:p w14:paraId="062ECF7B" w14:textId="434CA76D" w:rsidR="00B04AF8" w:rsidRPr="009E464F" w:rsidRDefault="00B04AF8" w:rsidP="00CB0133">
      <w:pPr>
        <w:spacing w:after="0"/>
        <w:ind w:firstLine="640"/>
        <w:rPr>
          <w:rFonts w:cs="Times New Roman"/>
          <w:lang w:eastAsia="zh-CN"/>
        </w:rPr>
      </w:pPr>
      <w:r w:rsidRPr="009E464F">
        <w:rPr>
          <w:rFonts w:cs="Times New Roman"/>
          <w:lang w:eastAsia="zh-CN"/>
        </w:rPr>
        <w:t>评估在</w:t>
      </w:r>
      <w:proofErr w:type="gramStart"/>
      <w:r w:rsidRPr="009E464F">
        <w:rPr>
          <w:rFonts w:cs="Times New Roman"/>
          <w:lang w:eastAsia="zh-CN"/>
        </w:rPr>
        <w:t>研</w:t>
      </w:r>
      <w:proofErr w:type="gramEnd"/>
      <w:r w:rsidRPr="009E464F">
        <w:rPr>
          <w:rFonts w:cs="Times New Roman"/>
          <w:lang w:eastAsia="zh-CN"/>
        </w:rPr>
        <w:t>药物诱导代谢</w:t>
      </w:r>
      <w:proofErr w:type="gramStart"/>
      <w:r w:rsidRPr="009E464F">
        <w:rPr>
          <w:rFonts w:cs="Times New Roman"/>
          <w:lang w:eastAsia="zh-CN"/>
        </w:rPr>
        <w:t>酶</w:t>
      </w:r>
      <w:r>
        <w:rPr>
          <w:rFonts w:cs="Times New Roman" w:hint="eastAsia"/>
          <w:lang w:eastAsia="zh-CN"/>
        </w:rPr>
        <w:t>潜</w:t>
      </w:r>
      <w:r w:rsidRPr="009E464F">
        <w:rPr>
          <w:rFonts w:cs="Times New Roman"/>
          <w:lang w:eastAsia="zh-CN"/>
        </w:rPr>
        <w:t>力</w:t>
      </w:r>
      <w:proofErr w:type="gramEnd"/>
      <w:r w:rsidRPr="009E464F">
        <w:rPr>
          <w:rFonts w:cs="Times New Roman"/>
          <w:lang w:eastAsia="zh-CN"/>
        </w:rPr>
        <w:t>的方法主要有以下三种：</w:t>
      </w:r>
    </w:p>
    <w:p w14:paraId="6F2DFBF5" w14:textId="28CC3F04" w:rsidR="00BC3B08" w:rsidRPr="009E464F" w:rsidRDefault="00B04AF8" w:rsidP="00CB0133">
      <w:pPr>
        <w:spacing w:after="0"/>
        <w:ind w:firstLine="640"/>
        <w:rPr>
          <w:rFonts w:cs="Times New Roman"/>
          <w:lang w:eastAsia="zh-CN"/>
        </w:rPr>
      </w:pPr>
      <w:r w:rsidRPr="009E464F">
        <w:rPr>
          <w:rFonts w:cs="Times New Roman"/>
          <w:lang w:eastAsia="zh-CN"/>
        </w:rPr>
        <w:t>倍数变化方法</w:t>
      </w:r>
      <w:r>
        <w:rPr>
          <w:rFonts w:cs="Times New Roman" w:hint="eastAsia"/>
          <w:lang w:eastAsia="zh-CN"/>
        </w:rPr>
        <w:t>（</w:t>
      </w:r>
      <w:r>
        <w:rPr>
          <w:rFonts w:cs="Times New Roman"/>
          <w:lang w:eastAsia="zh-CN"/>
        </w:rPr>
        <w:t>Fold-change method</w:t>
      </w:r>
      <w:r>
        <w:rPr>
          <w:rFonts w:cs="Times New Roman" w:hint="eastAsia"/>
          <w:lang w:eastAsia="zh-CN"/>
        </w:rPr>
        <w:t>）</w:t>
      </w:r>
      <w:r w:rsidRPr="009E464F">
        <w:rPr>
          <w:rFonts w:cs="Times New Roman"/>
          <w:lang w:eastAsia="zh-CN"/>
        </w:rPr>
        <w:t>：采用由已知的阳性和阴性对照药物确定的阈值来校准体外系统，考察</w:t>
      </w:r>
      <w:r w:rsidRPr="009E464F">
        <w:rPr>
          <w:rFonts w:cs="Times New Roman"/>
          <w:lang w:eastAsia="zh-CN"/>
        </w:rPr>
        <w:t>CYP</w:t>
      </w:r>
      <w:r w:rsidRPr="009E464F">
        <w:rPr>
          <w:rFonts w:cs="Times New Roman"/>
          <w:lang w:eastAsia="zh-CN"/>
        </w:rPr>
        <w:t>酶诱导试验后</w:t>
      </w:r>
      <w:r w:rsidRPr="009E464F">
        <w:rPr>
          <w:rFonts w:cs="Times New Roman"/>
          <w:lang w:eastAsia="zh-CN"/>
        </w:rPr>
        <w:t>mRNA</w:t>
      </w:r>
      <w:r w:rsidRPr="009E464F">
        <w:rPr>
          <w:rFonts w:cs="Times New Roman"/>
          <w:lang w:eastAsia="zh-CN"/>
        </w:rPr>
        <w:t>水平的倍数变化。如</w:t>
      </w:r>
      <w:r>
        <w:rPr>
          <w:rFonts w:cs="Times New Roman" w:hint="eastAsia"/>
          <w:lang w:eastAsia="zh-CN"/>
        </w:rPr>
        <w:t>：</w:t>
      </w:r>
      <w:r w:rsidRPr="009E464F">
        <w:rPr>
          <w:rFonts w:cs="Times New Roman"/>
          <w:lang w:eastAsia="zh-CN"/>
        </w:rPr>
        <w:t>与对照相比，如果在</w:t>
      </w:r>
      <w:proofErr w:type="gramStart"/>
      <w:r w:rsidRPr="009E464F">
        <w:rPr>
          <w:rFonts w:cs="Times New Roman"/>
          <w:lang w:eastAsia="zh-CN"/>
        </w:rPr>
        <w:t>研</w:t>
      </w:r>
      <w:proofErr w:type="gramEnd"/>
      <w:r w:rsidRPr="009E464F">
        <w:rPr>
          <w:rFonts w:cs="Times New Roman"/>
          <w:lang w:eastAsia="zh-CN"/>
        </w:rPr>
        <w:t>药物可以导致</w:t>
      </w:r>
      <w:r w:rsidRPr="009E464F">
        <w:rPr>
          <w:rFonts w:cs="Times New Roman"/>
          <w:lang w:eastAsia="zh-CN"/>
        </w:rPr>
        <w:t>mRNA</w:t>
      </w:r>
      <w:r w:rsidRPr="009E464F">
        <w:rPr>
          <w:rFonts w:cs="Times New Roman"/>
          <w:lang w:eastAsia="zh-CN"/>
        </w:rPr>
        <w:t>增加一倍以上并且呈现浓度依赖性，则认为诱导是阳性结果；如果</w:t>
      </w:r>
      <w:r w:rsidRPr="009E464F">
        <w:rPr>
          <w:rFonts w:cs="Times New Roman"/>
          <w:lang w:eastAsia="zh-CN"/>
        </w:rPr>
        <w:t>mRNA</w:t>
      </w:r>
      <w:r w:rsidRPr="009E464F">
        <w:rPr>
          <w:rFonts w:cs="Times New Roman"/>
          <w:lang w:eastAsia="zh-CN"/>
        </w:rPr>
        <w:t>增加不到一倍，但是其增加比例</w:t>
      </w:r>
      <w:r w:rsidRPr="009E464F">
        <w:rPr>
          <w:rFonts w:cs="Times New Roman"/>
          <w:lang w:eastAsia="zh-CN"/>
        </w:rPr>
        <w:t>≥</w:t>
      </w:r>
      <w:r w:rsidRPr="009E464F">
        <w:rPr>
          <w:rFonts w:cs="Times New Roman"/>
          <w:lang w:eastAsia="zh-CN"/>
        </w:rPr>
        <w:t>阳性对照药物的</w:t>
      </w:r>
      <w:r w:rsidRPr="009E464F">
        <w:rPr>
          <w:rFonts w:cs="Times New Roman"/>
          <w:lang w:eastAsia="zh-CN"/>
        </w:rPr>
        <w:t>20</w:t>
      </w:r>
      <w:r w:rsidRPr="009E464F">
        <w:rPr>
          <w:rFonts w:cs="Times New Roman"/>
          <w:lang w:eastAsia="zh-CN"/>
        </w:rPr>
        <w:t>％时，不能排除阳性可能，需进一步试验确认。</w:t>
      </w:r>
    </w:p>
    <w:p w14:paraId="40DBB617" w14:textId="2B159078" w:rsidR="00B04AF8" w:rsidRPr="009E464F" w:rsidRDefault="00B04AF8" w:rsidP="00CB0133">
      <w:pPr>
        <w:spacing w:after="0"/>
        <w:ind w:firstLine="640"/>
        <w:rPr>
          <w:rFonts w:cs="Times New Roman"/>
          <w:lang w:eastAsia="zh-CN"/>
        </w:rPr>
      </w:pPr>
      <w:r w:rsidRPr="009E464F">
        <w:rPr>
          <w:rFonts w:cs="Times New Roman"/>
          <w:lang w:eastAsia="zh-CN"/>
        </w:rPr>
        <w:t>相关性方法</w:t>
      </w:r>
      <w:r>
        <w:rPr>
          <w:rFonts w:cs="Times New Roman" w:hint="eastAsia"/>
          <w:lang w:eastAsia="zh-CN"/>
        </w:rPr>
        <w:t>（</w:t>
      </w:r>
      <w:r>
        <w:rPr>
          <w:rFonts w:cs="Times New Roman"/>
          <w:lang w:eastAsia="zh-CN"/>
        </w:rPr>
        <w:t>Correlation method</w:t>
      </w:r>
      <w:r>
        <w:rPr>
          <w:rFonts w:cs="Times New Roman" w:hint="eastAsia"/>
          <w:lang w:eastAsia="zh-CN"/>
        </w:rPr>
        <w:t>）</w:t>
      </w:r>
      <w:r w:rsidRPr="009E464F">
        <w:rPr>
          <w:rFonts w:cs="Times New Roman"/>
          <w:lang w:eastAsia="zh-CN"/>
        </w:rPr>
        <w:t>：采用已知阳性（如已知相同同工酶的诱导剂）和阴性对照所定义的预测阳性标准的相关性方法，如图</w:t>
      </w:r>
      <w:r w:rsidR="00BC3B08">
        <w:rPr>
          <w:rFonts w:cs="Times New Roman"/>
          <w:lang w:eastAsia="zh-CN"/>
        </w:rPr>
        <w:t>3</w:t>
      </w:r>
      <w:r w:rsidRPr="009E464F">
        <w:rPr>
          <w:rFonts w:cs="Times New Roman"/>
          <w:lang w:eastAsia="zh-CN"/>
        </w:rPr>
        <w:t>所示。</w:t>
      </w:r>
    </w:p>
    <w:p w14:paraId="4727D1D6" w14:textId="244F53EE" w:rsidR="00B04AF8" w:rsidRPr="009E464F" w:rsidRDefault="00B04AF8" w:rsidP="0083505F">
      <w:pPr>
        <w:spacing w:after="0" w:line="500" w:lineRule="exact"/>
        <w:ind w:firstLine="422"/>
        <w:jc w:val="center"/>
        <w:rPr>
          <w:rFonts w:cs="Times New Roman"/>
          <w:b/>
          <w:sz w:val="21"/>
          <w:szCs w:val="21"/>
          <w:lang w:eastAsia="zh-CN"/>
        </w:rPr>
      </w:pPr>
      <w:r w:rsidRPr="009E464F">
        <w:rPr>
          <w:rFonts w:cs="Times New Roman"/>
          <w:b/>
          <w:sz w:val="21"/>
          <w:szCs w:val="21"/>
          <w:lang w:eastAsia="zh-CN"/>
        </w:rPr>
        <w:t>图</w:t>
      </w:r>
      <w:r w:rsidR="00BC3B08">
        <w:rPr>
          <w:rFonts w:cs="Times New Roman"/>
          <w:b/>
          <w:sz w:val="21"/>
          <w:szCs w:val="21"/>
          <w:lang w:eastAsia="zh-CN"/>
        </w:rPr>
        <w:t xml:space="preserve">3 </w:t>
      </w:r>
      <w:r w:rsidR="00BC3B08">
        <w:rPr>
          <w:rFonts w:cs="Times New Roman" w:hint="eastAsia"/>
          <w:b/>
          <w:sz w:val="21"/>
          <w:szCs w:val="21"/>
          <w:lang w:eastAsia="zh-CN"/>
        </w:rPr>
        <w:t>评估</w:t>
      </w:r>
      <w:r w:rsidR="00BC3B08">
        <w:rPr>
          <w:rFonts w:cs="Times New Roman"/>
          <w:b/>
          <w:sz w:val="21"/>
          <w:szCs w:val="21"/>
          <w:lang w:eastAsia="zh-CN"/>
        </w:rPr>
        <w:t>在</w:t>
      </w:r>
      <w:proofErr w:type="gramStart"/>
      <w:r w:rsidR="00BC3B08">
        <w:rPr>
          <w:rFonts w:cs="Times New Roman"/>
          <w:b/>
          <w:sz w:val="21"/>
          <w:szCs w:val="21"/>
          <w:lang w:eastAsia="zh-CN"/>
        </w:rPr>
        <w:t>研</w:t>
      </w:r>
      <w:proofErr w:type="gramEnd"/>
      <w:r w:rsidR="00BC3B08">
        <w:rPr>
          <w:rFonts w:cs="Times New Roman"/>
          <w:b/>
          <w:sz w:val="21"/>
          <w:szCs w:val="21"/>
          <w:lang w:eastAsia="zh-CN"/>
        </w:rPr>
        <w:t>药物诱导代谢</w:t>
      </w:r>
      <w:proofErr w:type="gramStart"/>
      <w:r w:rsidR="00BC3B08">
        <w:rPr>
          <w:rFonts w:cs="Times New Roman"/>
          <w:b/>
          <w:sz w:val="21"/>
          <w:szCs w:val="21"/>
          <w:lang w:eastAsia="zh-CN"/>
        </w:rPr>
        <w:t>酶潜力</w:t>
      </w:r>
      <w:proofErr w:type="gramEnd"/>
      <w:r w:rsidR="00BC3B08">
        <w:rPr>
          <w:rFonts w:cs="Times New Roman"/>
          <w:b/>
          <w:sz w:val="21"/>
          <w:szCs w:val="21"/>
          <w:lang w:eastAsia="zh-CN"/>
        </w:rPr>
        <w:t>的</w:t>
      </w:r>
      <w:r w:rsidR="00BC3B08">
        <w:rPr>
          <w:rFonts w:cs="Times New Roman"/>
          <w:b/>
          <w:sz w:val="21"/>
          <w:szCs w:val="21"/>
          <w:lang w:eastAsia="zh-CN"/>
        </w:rPr>
        <w:t xml:space="preserve"> </w:t>
      </w:r>
      <w:r w:rsidRPr="009E464F">
        <w:rPr>
          <w:rFonts w:cs="Times New Roman"/>
          <w:b/>
          <w:sz w:val="21"/>
          <w:szCs w:val="21"/>
          <w:lang w:eastAsia="zh-CN"/>
        </w:rPr>
        <w:t>相关计算方法</w:t>
      </w:r>
    </w:p>
    <w:p w14:paraId="5DA9D821" w14:textId="6F870BB2" w:rsidR="00B04AF8" w:rsidRPr="009E464F" w:rsidRDefault="00A3135A" w:rsidP="0083505F">
      <w:pPr>
        <w:spacing w:line="500" w:lineRule="exact"/>
        <w:ind w:firstLine="422"/>
        <w:rPr>
          <w:rFonts w:cs="Times New Roman"/>
          <w:b/>
          <w:sz w:val="21"/>
          <w:szCs w:val="21"/>
          <w:lang w:eastAsia="zh-CN"/>
        </w:rPr>
      </w:pPr>
      <w:r>
        <w:rPr>
          <w:rFonts w:cs="Times New Roman"/>
          <w:b/>
          <w:noProof/>
          <w:sz w:val="21"/>
          <w:szCs w:val="21"/>
          <w:lang w:eastAsia="zh-CN"/>
        </w:rPr>
        <mc:AlternateContent>
          <mc:Choice Requires="wps">
            <w:drawing>
              <wp:anchor distT="0" distB="0" distL="114300" distR="114300" simplePos="0" relativeHeight="251700224" behindDoc="0" locked="0" layoutInCell="1" allowOverlap="1" wp14:anchorId="0BFAFC24" wp14:editId="14E68E41">
                <wp:simplePos x="0" y="0"/>
                <wp:positionH relativeFrom="margin">
                  <wp:align>center</wp:align>
                </wp:positionH>
                <wp:positionV relativeFrom="paragraph">
                  <wp:posOffset>9592</wp:posOffset>
                </wp:positionV>
                <wp:extent cx="5370830" cy="2009104"/>
                <wp:effectExtent l="0" t="0" r="20320" b="10795"/>
                <wp:wrapNone/>
                <wp:docPr id="12"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0830" cy="2009104"/>
                        </a:xfrm>
                        <a:prstGeom prst="rect">
                          <a:avLst/>
                        </a:prstGeom>
                        <a:solidFill>
                          <a:srgbClr val="FFFFFF"/>
                        </a:solidFill>
                        <a:ln w="9525">
                          <a:solidFill>
                            <a:srgbClr val="000000"/>
                          </a:solidFill>
                          <a:miter lim="800000"/>
                          <a:headEnd/>
                          <a:tailEnd/>
                        </a:ln>
                      </wps:spPr>
                      <wps:txbx>
                        <w:txbxContent>
                          <w:p w14:paraId="23F21E01" w14:textId="77777777" w:rsidR="00921CF9" w:rsidRPr="00BB7230" w:rsidRDefault="00921CF9" w:rsidP="0083505F">
                            <w:pPr>
                              <w:spacing w:after="0"/>
                              <w:ind w:firstLineChars="0" w:firstLine="0"/>
                              <w:rPr>
                                <w:rFonts w:cs="Times New Roman"/>
                                <w:sz w:val="21"/>
                                <w:szCs w:val="21"/>
                                <w:lang w:eastAsia="zh-CN"/>
                              </w:rPr>
                            </w:pPr>
                            <w:r w:rsidRPr="00BB7230">
                              <w:rPr>
                                <w:rFonts w:hAnsi="宋体" w:cs="Times New Roman"/>
                                <w:sz w:val="21"/>
                                <w:szCs w:val="21"/>
                                <w:lang w:eastAsia="zh-CN"/>
                              </w:rPr>
                              <w:t>相关</w:t>
                            </w:r>
                            <w:r w:rsidRPr="00BB7230">
                              <w:rPr>
                                <w:rFonts w:hAnsi="宋体" w:cs="Times New Roman" w:hint="eastAsia"/>
                                <w:sz w:val="21"/>
                                <w:szCs w:val="21"/>
                                <w:lang w:eastAsia="zh-CN"/>
                              </w:rPr>
                              <w:t>性</w:t>
                            </w:r>
                            <w:r w:rsidRPr="00BB7230">
                              <w:rPr>
                                <w:rFonts w:hAnsi="宋体" w:cs="Times New Roman"/>
                                <w:sz w:val="21"/>
                                <w:szCs w:val="21"/>
                                <w:lang w:eastAsia="zh-CN"/>
                              </w:rPr>
                              <w:t>方法</w:t>
                            </w:r>
                            <w:r w:rsidRPr="00BB7230">
                              <w:rPr>
                                <w:rFonts w:cs="Times New Roman"/>
                                <w:sz w:val="21"/>
                                <w:szCs w:val="21"/>
                                <w:lang w:eastAsia="zh-CN"/>
                              </w:rPr>
                              <w:t>1</w:t>
                            </w:r>
                            <w:r w:rsidRPr="00BB7230">
                              <w:rPr>
                                <w:rFonts w:hAnsi="宋体" w:cs="Times New Roman"/>
                                <w:sz w:val="21"/>
                                <w:szCs w:val="21"/>
                                <w:lang w:eastAsia="zh-CN"/>
                              </w:rPr>
                              <w:t>：使用</w:t>
                            </w:r>
                            <w:r w:rsidRPr="00BB7230">
                              <w:rPr>
                                <w:rFonts w:cs="Times New Roman"/>
                                <w:sz w:val="21"/>
                                <w:szCs w:val="21"/>
                                <w:lang w:eastAsia="zh-CN"/>
                              </w:rPr>
                              <w:t>(E</w:t>
                            </w:r>
                            <w:r w:rsidRPr="00BB7230">
                              <w:rPr>
                                <w:rFonts w:cs="Times New Roman"/>
                                <w:sz w:val="21"/>
                                <w:szCs w:val="21"/>
                                <w:vertAlign w:val="subscript"/>
                                <w:lang w:eastAsia="zh-CN"/>
                              </w:rPr>
                              <w:t>max</w:t>
                            </w:r>
                            <w:r w:rsidRPr="00BB7230">
                              <w:rPr>
                                <w:rFonts w:cs="Times New Roman"/>
                                <w:sz w:val="21"/>
                                <w:szCs w:val="21"/>
                                <w:lang w:eastAsia="zh-CN"/>
                              </w:rPr>
                              <w:t>×I</w:t>
                            </w:r>
                            <w:r w:rsidRPr="00BB7230">
                              <w:rPr>
                                <w:rFonts w:cs="Times New Roman"/>
                                <w:sz w:val="21"/>
                                <w:szCs w:val="21"/>
                                <w:vertAlign w:val="subscript"/>
                                <w:lang w:eastAsia="zh-CN"/>
                              </w:rPr>
                              <w:t>max,u</w:t>
                            </w:r>
                            <w:r w:rsidRPr="00BB7230">
                              <w:rPr>
                                <w:rFonts w:cs="Times New Roman"/>
                                <w:sz w:val="21"/>
                                <w:szCs w:val="21"/>
                                <w:lang w:eastAsia="zh-CN"/>
                              </w:rPr>
                              <w:t>)/(EC</w:t>
                            </w:r>
                            <w:r w:rsidRPr="00BB7230">
                              <w:rPr>
                                <w:rFonts w:cs="Times New Roman"/>
                                <w:sz w:val="21"/>
                                <w:szCs w:val="21"/>
                                <w:vertAlign w:val="subscript"/>
                                <w:lang w:eastAsia="zh-CN"/>
                              </w:rPr>
                              <w:t>50</w:t>
                            </w:r>
                            <w:r w:rsidRPr="00BB7230">
                              <w:rPr>
                                <w:rFonts w:cs="Times New Roman"/>
                                <w:sz w:val="21"/>
                                <w:szCs w:val="21"/>
                                <w:lang w:eastAsia="zh-CN"/>
                              </w:rPr>
                              <w:t>+I</w:t>
                            </w:r>
                            <w:r w:rsidRPr="00BB7230">
                              <w:rPr>
                                <w:rFonts w:cs="Times New Roman"/>
                                <w:sz w:val="21"/>
                                <w:szCs w:val="21"/>
                                <w:vertAlign w:val="subscript"/>
                                <w:lang w:eastAsia="zh-CN"/>
                              </w:rPr>
                              <w:t>max,u</w:t>
                            </w:r>
                            <w:r w:rsidRPr="00BB7230">
                              <w:rPr>
                                <w:rFonts w:cs="Times New Roman"/>
                                <w:sz w:val="21"/>
                                <w:szCs w:val="21"/>
                                <w:lang w:eastAsia="zh-CN"/>
                              </w:rPr>
                              <w:t>)</w:t>
                            </w:r>
                            <w:r w:rsidRPr="00BB7230">
                              <w:rPr>
                                <w:rFonts w:hAnsi="宋体" w:cs="Times New Roman"/>
                                <w:sz w:val="21"/>
                                <w:szCs w:val="21"/>
                                <w:lang w:eastAsia="zh-CN"/>
                              </w:rPr>
                              <w:t>计算相对诱导得分（</w:t>
                            </w:r>
                            <w:r w:rsidRPr="00BB7230">
                              <w:rPr>
                                <w:rFonts w:cs="Times New Roman"/>
                                <w:sz w:val="21"/>
                                <w:szCs w:val="21"/>
                                <w:lang w:eastAsia="zh-CN"/>
                              </w:rPr>
                              <w:t>RIS</w:t>
                            </w:r>
                            <w:r w:rsidRPr="00BB7230">
                              <w:rPr>
                                <w:rFonts w:hAnsi="宋体" w:cs="Times New Roman"/>
                                <w:sz w:val="21"/>
                                <w:szCs w:val="21"/>
                                <w:lang w:eastAsia="zh-CN"/>
                              </w:rPr>
                              <w:t>）</w:t>
                            </w:r>
                          </w:p>
                          <w:p w14:paraId="1A75C7C9" w14:textId="77777777" w:rsidR="00921CF9" w:rsidRPr="00BB7230" w:rsidRDefault="00921CF9" w:rsidP="0083505F">
                            <w:pPr>
                              <w:spacing w:after="0"/>
                              <w:ind w:firstLineChars="0" w:firstLine="0"/>
                              <w:rPr>
                                <w:rFonts w:cs="Times New Roman"/>
                                <w:sz w:val="21"/>
                                <w:szCs w:val="21"/>
                                <w:lang w:eastAsia="zh-CN"/>
                              </w:rPr>
                            </w:pPr>
                            <w:r w:rsidRPr="00BB7230">
                              <w:rPr>
                                <w:rFonts w:hAnsi="宋体" w:cs="Times New Roman"/>
                                <w:sz w:val="21"/>
                                <w:szCs w:val="21"/>
                                <w:lang w:eastAsia="zh-CN"/>
                              </w:rPr>
                              <w:t>相关</w:t>
                            </w:r>
                            <w:r w:rsidRPr="00BB7230">
                              <w:rPr>
                                <w:rFonts w:hAnsi="宋体" w:cs="Times New Roman" w:hint="eastAsia"/>
                                <w:sz w:val="21"/>
                                <w:szCs w:val="21"/>
                                <w:lang w:eastAsia="zh-CN"/>
                              </w:rPr>
                              <w:t>性</w:t>
                            </w:r>
                            <w:r w:rsidRPr="00BB7230">
                              <w:rPr>
                                <w:rFonts w:hAnsi="宋体" w:cs="Times New Roman"/>
                                <w:sz w:val="21"/>
                                <w:szCs w:val="21"/>
                                <w:lang w:eastAsia="zh-CN"/>
                              </w:rPr>
                              <w:t>方法</w:t>
                            </w:r>
                            <w:r w:rsidRPr="00BB7230">
                              <w:rPr>
                                <w:rFonts w:cs="Times New Roman"/>
                                <w:sz w:val="21"/>
                                <w:szCs w:val="21"/>
                                <w:lang w:eastAsia="zh-CN"/>
                              </w:rPr>
                              <w:t>2</w:t>
                            </w:r>
                            <w:r w:rsidRPr="00BB7230">
                              <w:rPr>
                                <w:rFonts w:hAnsi="宋体" w:cs="Times New Roman"/>
                                <w:sz w:val="21"/>
                                <w:szCs w:val="21"/>
                                <w:lang w:eastAsia="zh-CN"/>
                              </w:rPr>
                              <w:t>：计算</w:t>
                            </w:r>
                            <w:r w:rsidRPr="00BB7230">
                              <w:rPr>
                                <w:rFonts w:cs="Times New Roman"/>
                                <w:sz w:val="21"/>
                                <w:szCs w:val="21"/>
                                <w:lang w:eastAsia="zh-CN"/>
                              </w:rPr>
                              <w:t>I</w:t>
                            </w:r>
                            <w:r w:rsidRPr="00BB7230">
                              <w:rPr>
                                <w:rFonts w:cs="Times New Roman"/>
                                <w:sz w:val="21"/>
                                <w:szCs w:val="21"/>
                                <w:vertAlign w:val="subscript"/>
                                <w:lang w:eastAsia="zh-CN"/>
                              </w:rPr>
                              <w:t>max,u</w:t>
                            </w:r>
                            <w:r w:rsidRPr="00BB7230">
                              <w:rPr>
                                <w:rFonts w:cs="Times New Roman"/>
                                <w:sz w:val="21"/>
                                <w:szCs w:val="21"/>
                                <w:lang w:eastAsia="zh-CN"/>
                              </w:rPr>
                              <w:t>/EC</w:t>
                            </w:r>
                            <w:r w:rsidRPr="00BB7230">
                              <w:rPr>
                                <w:rFonts w:cs="Times New Roman"/>
                                <w:sz w:val="21"/>
                                <w:szCs w:val="21"/>
                                <w:vertAlign w:val="subscript"/>
                                <w:lang w:eastAsia="zh-CN"/>
                              </w:rPr>
                              <w:t>50</w:t>
                            </w:r>
                            <w:r w:rsidRPr="00BB7230">
                              <w:rPr>
                                <w:rFonts w:hAnsi="宋体" w:cs="Times New Roman"/>
                                <w:sz w:val="21"/>
                                <w:szCs w:val="21"/>
                                <w:lang w:eastAsia="zh-CN"/>
                              </w:rPr>
                              <w:t>值</w:t>
                            </w:r>
                          </w:p>
                          <w:p w14:paraId="337E1F12" w14:textId="77777777" w:rsidR="00921CF9" w:rsidRPr="00BB7230" w:rsidRDefault="00921CF9" w:rsidP="0083505F">
                            <w:pPr>
                              <w:spacing w:after="0" w:line="240" w:lineRule="auto"/>
                              <w:ind w:firstLine="420"/>
                              <w:rPr>
                                <w:rFonts w:cs="Times New Roman"/>
                                <w:sz w:val="21"/>
                                <w:szCs w:val="21"/>
                                <w:lang w:eastAsia="zh-CN"/>
                              </w:rPr>
                            </w:pPr>
                            <w:r w:rsidRPr="00BB7230">
                              <w:rPr>
                                <w:rFonts w:hAnsi="宋体" w:cs="Times New Roman"/>
                                <w:sz w:val="21"/>
                                <w:szCs w:val="21"/>
                                <w:lang w:eastAsia="zh-CN"/>
                              </w:rPr>
                              <w:t>根据对于一组已知的相同酶的诱导物</w:t>
                            </w:r>
                            <w:r w:rsidRPr="00BB7230">
                              <w:rPr>
                                <w:rFonts w:cs="Times New Roman"/>
                                <w:sz w:val="21"/>
                                <w:szCs w:val="21"/>
                                <w:lang w:eastAsia="zh-CN"/>
                              </w:rPr>
                              <w:t>RIS</w:t>
                            </w:r>
                            <w:r w:rsidRPr="00BB7230">
                              <w:rPr>
                                <w:rFonts w:hAnsi="宋体" w:cs="Times New Roman"/>
                                <w:sz w:val="21"/>
                                <w:szCs w:val="21"/>
                                <w:lang w:eastAsia="zh-CN"/>
                              </w:rPr>
                              <w:t>评分或</w:t>
                            </w:r>
                            <w:r w:rsidRPr="00BB7230">
                              <w:rPr>
                                <w:rFonts w:cs="Times New Roman"/>
                                <w:sz w:val="21"/>
                                <w:szCs w:val="21"/>
                                <w:lang w:eastAsia="zh-CN"/>
                              </w:rPr>
                              <w:t>I</w:t>
                            </w:r>
                            <w:r w:rsidRPr="00BB7230">
                              <w:rPr>
                                <w:rFonts w:cs="Times New Roman"/>
                                <w:sz w:val="21"/>
                                <w:szCs w:val="21"/>
                                <w:vertAlign w:val="subscript"/>
                                <w:lang w:eastAsia="zh-CN"/>
                              </w:rPr>
                              <w:t xml:space="preserve">max,u </w:t>
                            </w:r>
                            <w:r w:rsidRPr="00BB7230">
                              <w:rPr>
                                <w:rFonts w:cs="Times New Roman"/>
                                <w:sz w:val="21"/>
                                <w:szCs w:val="21"/>
                                <w:lang w:eastAsia="zh-CN"/>
                              </w:rPr>
                              <w:t>/EC</w:t>
                            </w:r>
                            <w:r w:rsidRPr="00BB7230">
                              <w:rPr>
                                <w:rFonts w:cs="Times New Roman"/>
                                <w:sz w:val="21"/>
                                <w:szCs w:val="21"/>
                                <w:vertAlign w:val="subscript"/>
                                <w:lang w:eastAsia="zh-CN"/>
                              </w:rPr>
                              <w:t>50</w:t>
                            </w:r>
                            <w:r w:rsidRPr="00BB7230">
                              <w:rPr>
                                <w:rFonts w:hAnsi="宋体" w:cs="Times New Roman"/>
                                <w:sz w:val="21"/>
                                <w:szCs w:val="21"/>
                                <w:lang w:eastAsia="zh-CN"/>
                              </w:rPr>
                              <w:t>的校准曲线，确定</w:t>
                            </w:r>
                            <w:r w:rsidRPr="00BB7230">
                              <w:rPr>
                                <w:rFonts w:hAnsi="宋体" w:cs="Times New Roman" w:hint="eastAsia"/>
                                <w:sz w:val="21"/>
                                <w:szCs w:val="21"/>
                                <w:lang w:eastAsia="zh-CN"/>
                              </w:rPr>
                              <w:t>在</w:t>
                            </w:r>
                            <w:proofErr w:type="gramStart"/>
                            <w:r w:rsidRPr="00BB7230">
                              <w:rPr>
                                <w:rFonts w:hAnsi="宋体" w:cs="Times New Roman" w:hint="eastAsia"/>
                                <w:sz w:val="21"/>
                                <w:szCs w:val="21"/>
                                <w:lang w:eastAsia="zh-CN"/>
                              </w:rPr>
                              <w:t>研</w:t>
                            </w:r>
                            <w:proofErr w:type="gramEnd"/>
                            <w:r w:rsidRPr="00BB7230">
                              <w:rPr>
                                <w:rFonts w:hAnsi="宋体" w:cs="Times New Roman" w:hint="eastAsia"/>
                                <w:sz w:val="21"/>
                                <w:szCs w:val="21"/>
                                <w:lang w:eastAsia="zh-CN"/>
                              </w:rPr>
                              <w:t>药物在人体内的</w:t>
                            </w:r>
                            <w:r w:rsidRPr="00BB7230">
                              <w:rPr>
                                <w:rFonts w:hAnsi="宋体" w:cs="Times New Roman"/>
                                <w:sz w:val="21"/>
                                <w:szCs w:val="21"/>
                                <w:lang w:eastAsia="zh-CN"/>
                              </w:rPr>
                              <w:t>诱导</w:t>
                            </w:r>
                            <w:r w:rsidRPr="00BB7230">
                              <w:rPr>
                                <w:rFonts w:hAnsi="宋体" w:cs="Times New Roman" w:hint="eastAsia"/>
                                <w:sz w:val="21"/>
                                <w:szCs w:val="21"/>
                                <w:lang w:eastAsia="zh-CN"/>
                              </w:rPr>
                              <w:t>程度</w:t>
                            </w:r>
                            <w:r w:rsidRPr="00BB7230">
                              <w:rPr>
                                <w:rFonts w:hAnsi="宋体" w:cs="Times New Roman"/>
                                <w:sz w:val="21"/>
                                <w:szCs w:val="21"/>
                                <w:lang w:eastAsia="zh-CN"/>
                              </w:rPr>
                              <w:t>（例如，在存在和不存在诱导剂的情况下</w:t>
                            </w:r>
                            <w:r w:rsidRPr="00BB7230">
                              <w:rPr>
                                <w:rFonts w:hAnsi="宋体" w:cs="Times New Roman" w:hint="eastAsia"/>
                                <w:sz w:val="21"/>
                                <w:szCs w:val="21"/>
                                <w:lang w:eastAsia="zh-CN"/>
                              </w:rPr>
                              <w:t>指针底</w:t>
                            </w:r>
                            <w:r w:rsidRPr="00BB7230">
                              <w:rPr>
                                <w:rFonts w:hAnsi="宋体" w:cs="Times New Roman"/>
                                <w:sz w:val="21"/>
                                <w:szCs w:val="21"/>
                                <w:lang w:eastAsia="zh-CN"/>
                              </w:rPr>
                              <w:t>物的</w:t>
                            </w:r>
                            <w:r w:rsidRPr="00BB7230">
                              <w:rPr>
                                <w:rFonts w:cs="Times New Roman"/>
                                <w:sz w:val="21"/>
                                <w:szCs w:val="21"/>
                                <w:lang w:eastAsia="zh-CN"/>
                              </w:rPr>
                              <w:t>AUC</w:t>
                            </w:r>
                            <w:r w:rsidRPr="00BB7230">
                              <w:rPr>
                                <w:rFonts w:hAnsi="宋体" w:cs="Times New Roman"/>
                                <w:sz w:val="21"/>
                                <w:szCs w:val="21"/>
                                <w:lang w:eastAsia="zh-CN"/>
                              </w:rPr>
                              <w:t>比</w:t>
                            </w:r>
                            <w:r w:rsidRPr="00BB7230">
                              <w:rPr>
                                <w:rFonts w:hAnsi="宋体" w:cs="Times New Roman" w:hint="eastAsia"/>
                                <w:sz w:val="21"/>
                                <w:szCs w:val="21"/>
                                <w:lang w:eastAsia="zh-CN"/>
                              </w:rPr>
                              <w:t>值</w:t>
                            </w:r>
                            <w:r w:rsidRPr="00BB7230">
                              <w:rPr>
                                <w:rFonts w:hAnsi="宋体" w:cs="Times New Roman"/>
                                <w:sz w:val="21"/>
                                <w:szCs w:val="21"/>
                                <w:lang w:eastAsia="zh-CN"/>
                              </w:rPr>
                              <w:t>）。</w:t>
                            </w:r>
                          </w:p>
                          <w:p w14:paraId="087AC019" w14:textId="3FDC0ED6"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E</w:t>
                            </w:r>
                            <w:r w:rsidRPr="00BB7230">
                              <w:rPr>
                                <w:rFonts w:cs="Times New Roman"/>
                                <w:sz w:val="21"/>
                                <w:szCs w:val="21"/>
                                <w:vertAlign w:val="subscript"/>
                                <w:lang w:eastAsia="zh-CN"/>
                              </w:rPr>
                              <w:t>max</w:t>
                            </w:r>
                            <w:r>
                              <w:rPr>
                                <w:rFonts w:hAnsi="宋体" w:cs="Times New Roman" w:hint="eastAsia"/>
                                <w:sz w:val="21"/>
                                <w:szCs w:val="21"/>
                                <w:lang w:eastAsia="zh-CN"/>
                              </w:rPr>
                              <w:t>：</w:t>
                            </w:r>
                            <w:r w:rsidRPr="00BB7230">
                              <w:rPr>
                                <w:rFonts w:hAnsi="宋体" w:cs="Times New Roman"/>
                                <w:sz w:val="21"/>
                                <w:szCs w:val="21"/>
                                <w:lang w:eastAsia="zh-CN"/>
                              </w:rPr>
                              <w:t>体外测定的最大诱导效应</w:t>
                            </w:r>
                            <w:r>
                              <w:rPr>
                                <w:rFonts w:hAnsi="宋体" w:cs="Times New Roman" w:hint="eastAsia"/>
                                <w:sz w:val="21"/>
                                <w:szCs w:val="21"/>
                                <w:lang w:eastAsia="zh-CN"/>
                              </w:rPr>
                              <w:t>；</w:t>
                            </w:r>
                          </w:p>
                          <w:p w14:paraId="6828284A" w14:textId="30095319"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EC</w:t>
                            </w:r>
                            <w:r w:rsidRPr="00BB7230">
                              <w:rPr>
                                <w:rFonts w:cs="Times New Roman"/>
                                <w:sz w:val="21"/>
                                <w:szCs w:val="21"/>
                                <w:vertAlign w:val="subscript"/>
                                <w:lang w:eastAsia="zh-CN"/>
                              </w:rPr>
                              <w:t>50</w:t>
                            </w:r>
                            <w:r>
                              <w:rPr>
                                <w:rFonts w:hAnsi="宋体" w:cs="Times New Roman" w:hint="eastAsia"/>
                                <w:sz w:val="21"/>
                                <w:szCs w:val="21"/>
                                <w:lang w:eastAsia="zh-CN"/>
                              </w:rPr>
                              <w:t>：</w:t>
                            </w:r>
                            <w:r w:rsidRPr="00BB7230">
                              <w:rPr>
                                <w:rFonts w:hAnsi="宋体" w:cs="Times New Roman"/>
                                <w:sz w:val="21"/>
                                <w:szCs w:val="21"/>
                                <w:lang w:eastAsia="zh-CN"/>
                              </w:rPr>
                              <w:t>引起体外半数最大</w:t>
                            </w:r>
                            <w:r w:rsidRPr="00BB7230">
                              <w:rPr>
                                <w:rFonts w:hAnsi="宋体" w:cs="Times New Roman" w:hint="eastAsia"/>
                                <w:sz w:val="21"/>
                                <w:szCs w:val="21"/>
                                <w:lang w:eastAsia="zh-CN"/>
                              </w:rPr>
                              <w:t>诱导</w:t>
                            </w:r>
                            <w:r w:rsidRPr="00BB7230">
                              <w:rPr>
                                <w:rFonts w:hAnsi="宋体" w:cs="Times New Roman"/>
                                <w:sz w:val="21"/>
                                <w:szCs w:val="21"/>
                                <w:lang w:eastAsia="zh-CN"/>
                              </w:rPr>
                              <w:t>效应的浓度</w:t>
                            </w:r>
                            <w:r>
                              <w:rPr>
                                <w:rFonts w:hAnsi="宋体" w:cs="Times New Roman" w:hint="eastAsia"/>
                                <w:sz w:val="21"/>
                                <w:szCs w:val="21"/>
                                <w:lang w:eastAsia="zh-CN"/>
                              </w:rPr>
                              <w:t>；</w:t>
                            </w:r>
                          </w:p>
                          <w:p w14:paraId="679E9B56" w14:textId="70C5ADA3"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I</w:t>
                            </w:r>
                            <w:r w:rsidRPr="00BB7230">
                              <w:rPr>
                                <w:rFonts w:cs="Times New Roman"/>
                                <w:sz w:val="21"/>
                                <w:szCs w:val="21"/>
                                <w:vertAlign w:val="subscript"/>
                                <w:lang w:eastAsia="zh-CN"/>
                              </w:rPr>
                              <w:t>max,u</w:t>
                            </w:r>
                            <w:r>
                              <w:rPr>
                                <w:rFonts w:hAnsi="宋体" w:cs="Times New Roman" w:hint="eastAsia"/>
                                <w:sz w:val="21"/>
                                <w:szCs w:val="21"/>
                                <w:lang w:eastAsia="zh-CN"/>
                              </w:rPr>
                              <w:t>：</w:t>
                            </w:r>
                            <w:r w:rsidRPr="00BB7230">
                              <w:rPr>
                                <w:rFonts w:hAnsi="宋体" w:cs="Times New Roman" w:hint="eastAsia"/>
                                <w:sz w:val="21"/>
                                <w:szCs w:val="21"/>
                                <w:lang w:eastAsia="zh-CN"/>
                              </w:rPr>
                              <w:t>诱导剂</w:t>
                            </w:r>
                            <w:r w:rsidRPr="00BB7230">
                              <w:rPr>
                                <w:rFonts w:hAnsi="宋体" w:cs="Times New Roman"/>
                                <w:sz w:val="21"/>
                                <w:szCs w:val="21"/>
                                <w:lang w:eastAsia="zh-CN"/>
                              </w:rPr>
                              <w:t>的</w:t>
                            </w:r>
                            <w:proofErr w:type="gramStart"/>
                            <w:r w:rsidRPr="00BB7230">
                              <w:rPr>
                                <w:rFonts w:hAnsi="宋体" w:cs="Times New Roman"/>
                                <w:sz w:val="21"/>
                                <w:szCs w:val="21"/>
                                <w:lang w:eastAsia="zh-CN"/>
                              </w:rPr>
                              <w:t>最大未</w:t>
                            </w:r>
                            <w:proofErr w:type="gramEnd"/>
                            <w:r w:rsidRPr="00BB7230">
                              <w:rPr>
                                <w:rFonts w:hAnsi="宋体" w:cs="Times New Roman"/>
                                <w:sz w:val="21"/>
                                <w:szCs w:val="21"/>
                                <w:lang w:eastAsia="zh-CN"/>
                              </w:rPr>
                              <w:t>结合血浆浓度。</w:t>
                            </w:r>
                            <w:r w:rsidRPr="00BB7230">
                              <w:rPr>
                                <w:rFonts w:cs="Times New Roman"/>
                                <w:sz w:val="21"/>
                                <w:szCs w:val="21"/>
                                <w:vertAlign w:val="superscript"/>
                                <w:lang w:eastAsia="zh-CN"/>
                              </w:rPr>
                              <w:t>*</w:t>
                            </w:r>
                          </w:p>
                          <w:p w14:paraId="4ABA2721" w14:textId="77777777" w:rsidR="00921CF9" w:rsidRPr="00BB7230" w:rsidRDefault="00921CF9" w:rsidP="00B04AF8">
                            <w:pPr>
                              <w:spacing w:after="0" w:line="240" w:lineRule="auto"/>
                              <w:ind w:firstLine="420"/>
                              <w:rPr>
                                <w:sz w:val="21"/>
                                <w:szCs w:val="21"/>
                                <w:lang w:eastAsia="zh-CN"/>
                              </w:rPr>
                            </w:pPr>
                            <w:r w:rsidRPr="00BB7230">
                              <w:rPr>
                                <w:rFonts w:cs="Times New Roman"/>
                                <w:sz w:val="21"/>
                                <w:szCs w:val="21"/>
                                <w:vertAlign w:val="superscript"/>
                                <w:lang w:eastAsia="zh-CN"/>
                              </w:rPr>
                              <w:t>*</w:t>
                            </w:r>
                            <w:r w:rsidRPr="00BB7230">
                              <w:rPr>
                                <w:rFonts w:hAnsi="宋体" w:cs="Times New Roman"/>
                                <w:sz w:val="21"/>
                                <w:szCs w:val="21"/>
                                <w:lang w:eastAsia="zh-CN"/>
                              </w:rPr>
                              <w:t>考虑到蛋白结合测定的不确定性，如果试验测定结果</w:t>
                            </w:r>
                            <w:r w:rsidRPr="00BB7230">
                              <w:rPr>
                                <w:rFonts w:cs="Times New Roman"/>
                                <w:sz w:val="21"/>
                                <w:szCs w:val="21"/>
                                <w:lang w:eastAsia="zh-CN"/>
                              </w:rPr>
                              <w:t>&lt;1%</w:t>
                            </w:r>
                            <w:r w:rsidRPr="00BB7230">
                              <w:rPr>
                                <w:rFonts w:hAnsi="宋体" w:cs="Times New Roman"/>
                                <w:sz w:val="21"/>
                                <w:szCs w:val="21"/>
                                <w:lang w:eastAsia="zh-CN"/>
                              </w:rPr>
                              <w:t>，则血浆中未结合的部分应设定为</w:t>
                            </w:r>
                            <w:r w:rsidRPr="00BB7230">
                              <w:rPr>
                                <w:rFonts w:cs="Times New Roman"/>
                                <w:sz w:val="21"/>
                                <w:szCs w:val="21"/>
                                <w:lang w:eastAsia="zh-CN"/>
                              </w:rPr>
                              <w:t>1%</w:t>
                            </w:r>
                            <w:r w:rsidRPr="00BB7230">
                              <w:rPr>
                                <w:rFonts w:hAnsi="宋体" w:cs="Times New Roman"/>
                                <w:sz w:val="21"/>
                                <w:szCs w:val="21"/>
                                <w:lang w:eastAsia="zh-CN"/>
                              </w:rPr>
                              <w:t>（血浆中未结合的部分（</w:t>
                            </w:r>
                            <w:r w:rsidRPr="00BB7230">
                              <w:rPr>
                                <w:rFonts w:cs="Times New Roman"/>
                                <w:sz w:val="21"/>
                                <w:szCs w:val="21"/>
                                <w:lang w:eastAsia="zh-CN"/>
                              </w:rPr>
                              <w:t>f</w:t>
                            </w:r>
                            <w:r w:rsidRPr="00BB7230">
                              <w:rPr>
                                <w:rFonts w:cs="Times New Roman"/>
                                <w:sz w:val="21"/>
                                <w:szCs w:val="21"/>
                                <w:vertAlign w:val="subscript"/>
                                <w:lang w:eastAsia="zh-CN"/>
                              </w:rPr>
                              <w:t>u, p</w:t>
                            </w:r>
                            <w:r w:rsidRPr="00BB7230">
                              <w:rPr>
                                <w:rFonts w:hAnsi="宋体" w:cs="Times New Roman"/>
                                <w:sz w:val="21"/>
                                <w:szCs w:val="21"/>
                                <w:lang w:eastAsia="zh-CN"/>
                              </w:rPr>
                              <w:t>）</w:t>
                            </w:r>
                            <w:r w:rsidRPr="00BB7230">
                              <w:rPr>
                                <w:rFonts w:cs="Times New Roman"/>
                                <w:sz w:val="21"/>
                                <w:szCs w:val="21"/>
                                <w:lang w:eastAsia="zh-CN"/>
                              </w:rPr>
                              <w:t>= 0.01</w:t>
                            </w:r>
                            <w:r w:rsidRPr="00BB7230">
                              <w:rPr>
                                <w:rFonts w:hAnsi="宋体" w:cs="Times New Roman"/>
                                <w:sz w:val="21"/>
                                <w:szCs w:val="21"/>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AFC24" id="文本框 5" o:spid="_x0000_s1028" type="#_x0000_t202" style="position:absolute;left:0;text-align:left;margin-left:0;margin-top:.75pt;width:422.9pt;height:158.2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QNPQIAAFoEAAAOAAAAZHJzL2Uyb0RvYy54bWysVM2O0zAQviPxDpbvNGm3Zduo6WrpUoS0&#10;/EgLD+A4TmLheIztNlkeYHkDTly481x9DsZOt1v+LogcLI9n/M34+2ayvOhbRXbCOgk6p+NRSonQ&#10;HEqp65y+f7d5MqfEeaZLpkCLnN4KRy9Wjx8tO5OJCTSgSmEJgmiXdSanjfcmSxLHG9EyNwIjNDor&#10;sC3zaNo6KS3rEL1VySRNnyYd2NJY4MI5PL0anHQV8atKcP+mqpzwROUUa/NxtXEtwpqsliyrLTON&#10;5Icy2D9U0TKpMekR6op5RrZW/gbVSm7BQeVHHNoEqkpyEd+Arxmnv7zmpmFGxLcgOc4caXL/D5a/&#10;3r21RJao3YQSzVrUaP/l8/7r9/23OzIL/HTGZRh2YzDQ98+gx9j4VmeugX9wRMO6YboWl9ZC1whW&#10;Yn3jcDM5uTrguABSdK+gxDxs6yEC9ZVtA3lIB0F01On2qI3oPeF4ODs7T+dn6OLoQ+UX43Qac7Ds&#10;/rqxzr8Q0JKwyalF8SM82107H8ph2X1IyOZAyXIjlYqGrYu1smTHsFE28Tug/xSmNOlyuphNZgMD&#10;f4VI4/cniFZ67Hgl25zOj0EsC7w912XsR8+kGvZYstIHIgN3A4u+L/qo2SQkCCQXUN4isxaGBseB&#10;xE0D9hMlHTZ3Tt3HLbOCEvVSozqL8XQapiEa09n5BA176ilOPUxzhMqpp2TYrv0wQVtjZd1gpqEf&#10;NFyiopWMXD9UdSgfGzhKcBi2MCGndox6+CWsfgAAAP//AwBQSwMEFAAGAAgAAAAhACKSlBjdAAAA&#10;BgEAAA8AAABkcnMvZG93bnJldi54bWxMj81OwzAQhO9IvIO1SFwQdUr/0hCnQkggeoOC4OrG2yTC&#10;XgfbTcPbs5zgODurmW/KzeisGDDEzpOC6SQDgVR701Gj4O314ToHEZMmo60nVPCNETbV+VmpC+NP&#10;9ILDLjWCQygWWkGbUl9IGesWnY4T3yOxd/DB6cQyNNIEfeJwZ+VNli2l0x1xQ6t7vG+x/twdnYJ8&#10;/jR8xO3s+b1eHuw6Xa2Gx6+g1OXFeHcLIuGY/p7hF5/RoWKmvT+SicIq4CGJrwsQbObzBe/YK5hN&#10;V2uQVSn/41c/AAAA//8DAFBLAQItABQABgAIAAAAIQC2gziS/gAAAOEBAAATAAAAAAAAAAAAAAAA&#10;AAAAAABbQ29udGVudF9UeXBlc10ueG1sUEsBAi0AFAAGAAgAAAAhADj9If/WAAAAlAEAAAsAAAAA&#10;AAAAAAAAAAAALwEAAF9yZWxzLy5yZWxzUEsBAi0AFAAGAAgAAAAhAH6XdA09AgAAWgQAAA4AAAAA&#10;AAAAAAAAAAAALgIAAGRycy9lMm9Eb2MueG1sUEsBAi0AFAAGAAgAAAAhACKSlBjdAAAABgEAAA8A&#10;AAAAAAAAAAAAAAAAlwQAAGRycy9kb3ducmV2LnhtbFBLBQYAAAAABAAEAPMAAAChBQAAAAA=&#10;">
                <v:textbox>
                  <w:txbxContent>
                    <w:p w14:paraId="23F21E01" w14:textId="77777777" w:rsidR="00921CF9" w:rsidRPr="00BB7230" w:rsidRDefault="00921CF9" w:rsidP="0083505F">
                      <w:pPr>
                        <w:spacing w:after="0"/>
                        <w:ind w:firstLineChars="0" w:firstLine="0"/>
                        <w:rPr>
                          <w:rFonts w:cs="Times New Roman"/>
                          <w:sz w:val="21"/>
                          <w:szCs w:val="21"/>
                          <w:lang w:eastAsia="zh-CN"/>
                        </w:rPr>
                      </w:pPr>
                      <w:r w:rsidRPr="00BB7230">
                        <w:rPr>
                          <w:rFonts w:hAnsi="宋体" w:cs="Times New Roman"/>
                          <w:sz w:val="21"/>
                          <w:szCs w:val="21"/>
                          <w:lang w:eastAsia="zh-CN"/>
                        </w:rPr>
                        <w:t>相关</w:t>
                      </w:r>
                      <w:r w:rsidRPr="00BB7230">
                        <w:rPr>
                          <w:rFonts w:hAnsi="宋体" w:cs="Times New Roman" w:hint="eastAsia"/>
                          <w:sz w:val="21"/>
                          <w:szCs w:val="21"/>
                          <w:lang w:eastAsia="zh-CN"/>
                        </w:rPr>
                        <w:t>性</w:t>
                      </w:r>
                      <w:r w:rsidRPr="00BB7230">
                        <w:rPr>
                          <w:rFonts w:hAnsi="宋体" w:cs="Times New Roman"/>
                          <w:sz w:val="21"/>
                          <w:szCs w:val="21"/>
                          <w:lang w:eastAsia="zh-CN"/>
                        </w:rPr>
                        <w:t>方法</w:t>
                      </w:r>
                      <w:r w:rsidRPr="00BB7230">
                        <w:rPr>
                          <w:rFonts w:cs="Times New Roman"/>
                          <w:sz w:val="21"/>
                          <w:szCs w:val="21"/>
                          <w:lang w:eastAsia="zh-CN"/>
                        </w:rPr>
                        <w:t>1</w:t>
                      </w:r>
                      <w:r w:rsidRPr="00BB7230">
                        <w:rPr>
                          <w:rFonts w:hAnsi="宋体" w:cs="Times New Roman"/>
                          <w:sz w:val="21"/>
                          <w:szCs w:val="21"/>
                          <w:lang w:eastAsia="zh-CN"/>
                        </w:rPr>
                        <w:t>：使用</w:t>
                      </w:r>
                      <w:r w:rsidRPr="00BB7230">
                        <w:rPr>
                          <w:rFonts w:cs="Times New Roman"/>
                          <w:sz w:val="21"/>
                          <w:szCs w:val="21"/>
                          <w:lang w:eastAsia="zh-CN"/>
                        </w:rPr>
                        <w:t>(E</w:t>
                      </w:r>
                      <w:r w:rsidRPr="00BB7230">
                        <w:rPr>
                          <w:rFonts w:cs="Times New Roman"/>
                          <w:sz w:val="21"/>
                          <w:szCs w:val="21"/>
                          <w:vertAlign w:val="subscript"/>
                          <w:lang w:eastAsia="zh-CN"/>
                        </w:rPr>
                        <w:t>max</w:t>
                      </w:r>
                      <w:r w:rsidRPr="00BB7230">
                        <w:rPr>
                          <w:rFonts w:cs="Times New Roman"/>
                          <w:sz w:val="21"/>
                          <w:szCs w:val="21"/>
                          <w:lang w:eastAsia="zh-CN"/>
                        </w:rPr>
                        <w:t>×I</w:t>
                      </w:r>
                      <w:r w:rsidRPr="00BB7230">
                        <w:rPr>
                          <w:rFonts w:cs="Times New Roman"/>
                          <w:sz w:val="21"/>
                          <w:szCs w:val="21"/>
                          <w:vertAlign w:val="subscript"/>
                          <w:lang w:eastAsia="zh-CN"/>
                        </w:rPr>
                        <w:t>max,u</w:t>
                      </w:r>
                      <w:r w:rsidRPr="00BB7230">
                        <w:rPr>
                          <w:rFonts w:cs="Times New Roman"/>
                          <w:sz w:val="21"/>
                          <w:szCs w:val="21"/>
                          <w:lang w:eastAsia="zh-CN"/>
                        </w:rPr>
                        <w:t>)/(EC</w:t>
                      </w:r>
                      <w:r w:rsidRPr="00BB7230">
                        <w:rPr>
                          <w:rFonts w:cs="Times New Roman"/>
                          <w:sz w:val="21"/>
                          <w:szCs w:val="21"/>
                          <w:vertAlign w:val="subscript"/>
                          <w:lang w:eastAsia="zh-CN"/>
                        </w:rPr>
                        <w:t>50</w:t>
                      </w:r>
                      <w:r w:rsidRPr="00BB7230">
                        <w:rPr>
                          <w:rFonts w:cs="Times New Roman"/>
                          <w:sz w:val="21"/>
                          <w:szCs w:val="21"/>
                          <w:lang w:eastAsia="zh-CN"/>
                        </w:rPr>
                        <w:t>+I</w:t>
                      </w:r>
                      <w:r w:rsidRPr="00BB7230">
                        <w:rPr>
                          <w:rFonts w:cs="Times New Roman"/>
                          <w:sz w:val="21"/>
                          <w:szCs w:val="21"/>
                          <w:vertAlign w:val="subscript"/>
                          <w:lang w:eastAsia="zh-CN"/>
                        </w:rPr>
                        <w:t>max,u</w:t>
                      </w:r>
                      <w:r w:rsidRPr="00BB7230">
                        <w:rPr>
                          <w:rFonts w:cs="Times New Roman"/>
                          <w:sz w:val="21"/>
                          <w:szCs w:val="21"/>
                          <w:lang w:eastAsia="zh-CN"/>
                        </w:rPr>
                        <w:t>)</w:t>
                      </w:r>
                      <w:r w:rsidRPr="00BB7230">
                        <w:rPr>
                          <w:rFonts w:hAnsi="宋体" w:cs="Times New Roman"/>
                          <w:sz w:val="21"/>
                          <w:szCs w:val="21"/>
                          <w:lang w:eastAsia="zh-CN"/>
                        </w:rPr>
                        <w:t>计算相对诱导得分（</w:t>
                      </w:r>
                      <w:r w:rsidRPr="00BB7230">
                        <w:rPr>
                          <w:rFonts w:cs="Times New Roman"/>
                          <w:sz w:val="21"/>
                          <w:szCs w:val="21"/>
                          <w:lang w:eastAsia="zh-CN"/>
                        </w:rPr>
                        <w:t>RIS</w:t>
                      </w:r>
                      <w:r w:rsidRPr="00BB7230">
                        <w:rPr>
                          <w:rFonts w:hAnsi="宋体" w:cs="Times New Roman"/>
                          <w:sz w:val="21"/>
                          <w:szCs w:val="21"/>
                          <w:lang w:eastAsia="zh-CN"/>
                        </w:rPr>
                        <w:t>）</w:t>
                      </w:r>
                    </w:p>
                    <w:p w14:paraId="1A75C7C9" w14:textId="77777777" w:rsidR="00921CF9" w:rsidRPr="00BB7230" w:rsidRDefault="00921CF9" w:rsidP="0083505F">
                      <w:pPr>
                        <w:spacing w:after="0"/>
                        <w:ind w:firstLineChars="0" w:firstLine="0"/>
                        <w:rPr>
                          <w:rFonts w:cs="Times New Roman"/>
                          <w:sz w:val="21"/>
                          <w:szCs w:val="21"/>
                          <w:lang w:eastAsia="zh-CN"/>
                        </w:rPr>
                      </w:pPr>
                      <w:r w:rsidRPr="00BB7230">
                        <w:rPr>
                          <w:rFonts w:hAnsi="宋体" w:cs="Times New Roman"/>
                          <w:sz w:val="21"/>
                          <w:szCs w:val="21"/>
                          <w:lang w:eastAsia="zh-CN"/>
                        </w:rPr>
                        <w:t>相关</w:t>
                      </w:r>
                      <w:r w:rsidRPr="00BB7230">
                        <w:rPr>
                          <w:rFonts w:hAnsi="宋体" w:cs="Times New Roman" w:hint="eastAsia"/>
                          <w:sz w:val="21"/>
                          <w:szCs w:val="21"/>
                          <w:lang w:eastAsia="zh-CN"/>
                        </w:rPr>
                        <w:t>性</w:t>
                      </w:r>
                      <w:r w:rsidRPr="00BB7230">
                        <w:rPr>
                          <w:rFonts w:hAnsi="宋体" w:cs="Times New Roman"/>
                          <w:sz w:val="21"/>
                          <w:szCs w:val="21"/>
                          <w:lang w:eastAsia="zh-CN"/>
                        </w:rPr>
                        <w:t>方法</w:t>
                      </w:r>
                      <w:r w:rsidRPr="00BB7230">
                        <w:rPr>
                          <w:rFonts w:cs="Times New Roman"/>
                          <w:sz w:val="21"/>
                          <w:szCs w:val="21"/>
                          <w:lang w:eastAsia="zh-CN"/>
                        </w:rPr>
                        <w:t>2</w:t>
                      </w:r>
                      <w:r w:rsidRPr="00BB7230">
                        <w:rPr>
                          <w:rFonts w:hAnsi="宋体" w:cs="Times New Roman"/>
                          <w:sz w:val="21"/>
                          <w:szCs w:val="21"/>
                          <w:lang w:eastAsia="zh-CN"/>
                        </w:rPr>
                        <w:t>：计算</w:t>
                      </w:r>
                      <w:r w:rsidRPr="00BB7230">
                        <w:rPr>
                          <w:rFonts w:cs="Times New Roman"/>
                          <w:sz w:val="21"/>
                          <w:szCs w:val="21"/>
                          <w:lang w:eastAsia="zh-CN"/>
                        </w:rPr>
                        <w:t>I</w:t>
                      </w:r>
                      <w:r w:rsidRPr="00BB7230">
                        <w:rPr>
                          <w:rFonts w:cs="Times New Roman"/>
                          <w:sz w:val="21"/>
                          <w:szCs w:val="21"/>
                          <w:vertAlign w:val="subscript"/>
                          <w:lang w:eastAsia="zh-CN"/>
                        </w:rPr>
                        <w:t>max,u</w:t>
                      </w:r>
                      <w:r w:rsidRPr="00BB7230">
                        <w:rPr>
                          <w:rFonts w:cs="Times New Roman"/>
                          <w:sz w:val="21"/>
                          <w:szCs w:val="21"/>
                          <w:lang w:eastAsia="zh-CN"/>
                        </w:rPr>
                        <w:t>/EC</w:t>
                      </w:r>
                      <w:r w:rsidRPr="00BB7230">
                        <w:rPr>
                          <w:rFonts w:cs="Times New Roman"/>
                          <w:sz w:val="21"/>
                          <w:szCs w:val="21"/>
                          <w:vertAlign w:val="subscript"/>
                          <w:lang w:eastAsia="zh-CN"/>
                        </w:rPr>
                        <w:t>50</w:t>
                      </w:r>
                      <w:r w:rsidRPr="00BB7230">
                        <w:rPr>
                          <w:rFonts w:hAnsi="宋体" w:cs="Times New Roman"/>
                          <w:sz w:val="21"/>
                          <w:szCs w:val="21"/>
                          <w:lang w:eastAsia="zh-CN"/>
                        </w:rPr>
                        <w:t>值</w:t>
                      </w:r>
                    </w:p>
                    <w:p w14:paraId="337E1F12" w14:textId="77777777" w:rsidR="00921CF9" w:rsidRPr="00BB7230" w:rsidRDefault="00921CF9" w:rsidP="0083505F">
                      <w:pPr>
                        <w:spacing w:after="0" w:line="240" w:lineRule="auto"/>
                        <w:ind w:firstLine="420"/>
                        <w:rPr>
                          <w:rFonts w:cs="Times New Roman"/>
                          <w:sz w:val="21"/>
                          <w:szCs w:val="21"/>
                          <w:lang w:eastAsia="zh-CN"/>
                        </w:rPr>
                      </w:pPr>
                      <w:r w:rsidRPr="00BB7230">
                        <w:rPr>
                          <w:rFonts w:hAnsi="宋体" w:cs="Times New Roman"/>
                          <w:sz w:val="21"/>
                          <w:szCs w:val="21"/>
                          <w:lang w:eastAsia="zh-CN"/>
                        </w:rPr>
                        <w:t>根据对于一组已知的相同酶的诱导物</w:t>
                      </w:r>
                      <w:r w:rsidRPr="00BB7230">
                        <w:rPr>
                          <w:rFonts w:cs="Times New Roman"/>
                          <w:sz w:val="21"/>
                          <w:szCs w:val="21"/>
                          <w:lang w:eastAsia="zh-CN"/>
                        </w:rPr>
                        <w:t>RIS</w:t>
                      </w:r>
                      <w:r w:rsidRPr="00BB7230">
                        <w:rPr>
                          <w:rFonts w:hAnsi="宋体" w:cs="Times New Roman"/>
                          <w:sz w:val="21"/>
                          <w:szCs w:val="21"/>
                          <w:lang w:eastAsia="zh-CN"/>
                        </w:rPr>
                        <w:t>评分或</w:t>
                      </w:r>
                      <w:r w:rsidRPr="00BB7230">
                        <w:rPr>
                          <w:rFonts w:cs="Times New Roman"/>
                          <w:sz w:val="21"/>
                          <w:szCs w:val="21"/>
                          <w:lang w:eastAsia="zh-CN"/>
                        </w:rPr>
                        <w:t>I</w:t>
                      </w:r>
                      <w:r w:rsidRPr="00BB7230">
                        <w:rPr>
                          <w:rFonts w:cs="Times New Roman"/>
                          <w:sz w:val="21"/>
                          <w:szCs w:val="21"/>
                          <w:vertAlign w:val="subscript"/>
                          <w:lang w:eastAsia="zh-CN"/>
                        </w:rPr>
                        <w:t xml:space="preserve">max,u </w:t>
                      </w:r>
                      <w:r w:rsidRPr="00BB7230">
                        <w:rPr>
                          <w:rFonts w:cs="Times New Roman"/>
                          <w:sz w:val="21"/>
                          <w:szCs w:val="21"/>
                          <w:lang w:eastAsia="zh-CN"/>
                        </w:rPr>
                        <w:t>/EC</w:t>
                      </w:r>
                      <w:r w:rsidRPr="00BB7230">
                        <w:rPr>
                          <w:rFonts w:cs="Times New Roman"/>
                          <w:sz w:val="21"/>
                          <w:szCs w:val="21"/>
                          <w:vertAlign w:val="subscript"/>
                          <w:lang w:eastAsia="zh-CN"/>
                        </w:rPr>
                        <w:t>50</w:t>
                      </w:r>
                      <w:r w:rsidRPr="00BB7230">
                        <w:rPr>
                          <w:rFonts w:hAnsi="宋体" w:cs="Times New Roman"/>
                          <w:sz w:val="21"/>
                          <w:szCs w:val="21"/>
                          <w:lang w:eastAsia="zh-CN"/>
                        </w:rPr>
                        <w:t>的校准曲线，确定</w:t>
                      </w:r>
                      <w:r w:rsidRPr="00BB7230">
                        <w:rPr>
                          <w:rFonts w:hAnsi="宋体" w:cs="Times New Roman" w:hint="eastAsia"/>
                          <w:sz w:val="21"/>
                          <w:szCs w:val="21"/>
                          <w:lang w:eastAsia="zh-CN"/>
                        </w:rPr>
                        <w:t>在</w:t>
                      </w:r>
                      <w:proofErr w:type="gramStart"/>
                      <w:r w:rsidRPr="00BB7230">
                        <w:rPr>
                          <w:rFonts w:hAnsi="宋体" w:cs="Times New Roman" w:hint="eastAsia"/>
                          <w:sz w:val="21"/>
                          <w:szCs w:val="21"/>
                          <w:lang w:eastAsia="zh-CN"/>
                        </w:rPr>
                        <w:t>研</w:t>
                      </w:r>
                      <w:proofErr w:type="gramEnd"/>
                      <w:r w:rsidRPr="00BB7230">
                        <w:rPr>
                          <w:rFonts w:hAnsi="宋体" w:cs="Times New Roman" w:hint="eastAsia"/>
                          <w:sz w:val="21"/>
                          <w:szCs w:val="21"/>
                          <w:lang w:eastAsia="zh-CN"/>
                        </w:rPr>
                        <w:t>药物在人体内的</w:t>
                      </w:r>
                      <w:r w:rsidRPr="00BB7230">
                        <w:rPr>
                          <w:rFonts w:hAnsi="宋体" w:cs="Times New Roman"/>
                          <w:sz w:val="21"/>
                          <w:szCs w:val="21"/>
                          <w:lang w:eastAsia="zh-CN"/>
                        </w:rPr>
                        <w:t>诱导</w:t>
                      </w:r>
                      <w:r w:rsidRPr="00BB7230">
                        <w:rPr>
                          <w:rFonts w:hAnsi="宋体" w:cs="Times New Roman" w:hint="eastAsia"/>
                          <w:sz w:val="21"/>
                          <w:szCs w:val="21"/>
                          <w:lang w:eastAsia="zh-CN"/>
                        </w:rPr>
                        <w:t>程度</w:t>
                      </w:r>
                      <w:r w:rsidRPr="00BB7230">
                        <w:rPr>
                          <w:rFonts w:hAnsi="宋体" w:cs="Times New Roman"/>
                          <w:sz w:val="21"/>
                          <w:szCs w:val="21"/>
                          <w:lang w:eastAsia="zh-CN"/>
                        </w:rPr>
                        <w:t>（例如，在存在和不存在诱导剂的情况下</w:t>
                      </w:r>
                      <w:r w:rsidRPr="00BB7230">
                        <w:rPr>
                          <w:rFonts w:hAnsi="宋体" w:cs="Times New Roman" w:hint="eastAsia"/>
                          <w:sz w:val="21"/>
                          <w:szCs w:val="21"/>
                          <w:lang w:eastAsia="zh-CN"/>
                        </w:rPr>
                        <w:t>指针底</w:t>
                      </w:r>
                      <w:r w:rsidRPr="00BB7230">
                        <w:rPr>
                          <w:rFonts w:hAnsi="宋体" w:cs="Times New Roman"/>
                          <w:sz w:val="21"/>
                          <w:szCs w:val="21"/>
                          <w:lang w:eastAsia="zh-CN"/>
                        </w:rPr>
                        <w:t>物的</w:t>
                      </w:r>
                      <w:r w:rsidRPr="00BB7230">
                        <w:rPr>
                          <w:rFonts w:cs="Times New Roman"/>
                          <w:sz w:val="21"/>
                          <w:szCs w:val="21"/>
                          <w:lang w:eastAsia="zh-CN"/>
                        </w:rPr>
                        <w:t>AUC</w:t>
                      </w:r>
                      <w:r w:rsidRPr="00BB7230">
                        <w:rPr>
                          <w:rFonts w:hAnsi="宋体" w:cs="Times New Roman"/>
                          <w:sz w:val="21"/>
                          <w:szCs w:val="21"/>
                          <w:lang w:eastAsia="zh-CN"/>
                        </w:rPr>
                        <w:t>比</w:t>
                      </w:r>
                      <w:r w:rsidRPr="00BB7230">
                        <w:rPr>
                          <w:rFonts w:hAnsi="宋体" w:cs="Times New Roman" w:hint="eastAsia"/>
                          <w:sz w:val="21"/>
                          <w:szCs w:val="21"/>
                          <w:lang w:eastAsia="zh-CN"/>
                        </w:rPr>
                        <w:t>值</w:t>
                      </w:r>
                      <w:r w:rsidRPr="00BB7230">
                        <w:rPr>
                          <w:rFonts w:hAnsi="宋体" w:cs="Times New Roman"/>
                          <w:sz w:val="21"/>
                          <w:szCs w:val="21"/>
                          <w:lang w:eastAsia="zh-CN"/>
                        </w:rPr>
                        <w:t>）。</w:t>
                      </w:r>
                    </w:p>
                    <w:p w14:paraId="087AC019" w14:textId="3FDC0ED6"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E</w:t>
                      </w:r>
                      <w:r w:rsidRPr="00BB7230">
                        <w:rPr>
                          <w:rFonts w:cs="Times New Roman"/>
                          <w:sz w:val="21"/>
                          <w:szCs w:val="21"/>
                          <w:vertAlign w:val="subscript"/>
                          <w:lang w:eastAsia="zh-CN"/>
                        </w:rPr>
                        <w:t>max</w:t>
                      </w:r>
                      <w:r>
                        <w:rPr>
                          <w:rFonts w:hAnsi="宋体" w:cs="Times New Roman" w:hint="eastAsia"/>
                          <w:sz w:val="21"/>
                          <w:szCs w:val="21"/>
                          <w:lang w:eastAsia="zh-CN"/>
                        </w:rPr>
                        <w:t>：</w:t>
                      </w:r>
                      <w:r w:rsidRPr="00BB7230">
                        <w:rPr>
                          <w:rFonts w:hAnsi="宋体" w:cs="Times New Roman"/>
                          <w:sz w:val="21"/>
                          <w:szCs w:val="21"/>
                          <w:lang w:eastAsia="zh-CN"/>
                        </w:rPr>
                        <w:t>体外测定的最大诱导效应</w:t>
                      </w:r>
                      <w:r>
                        <w:rPr>
                          <w:rFonts w:hAnsi="宋体" w:cs="Times New Roman" w:hint="eastAsia"/>
                          <w:sz w:val="21"/>
                          <w:szCs w:val="21"/>
                          <w:lang w:eastAsia="zh-CN"/>
                        </w:rPr>
                        <w:t>；</w:t>
                      </w:r>
                    </w:p>
                    <w:p w14:paraId="6828284A" w14:textId="30095319"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EC</w:t>
                      </w:r>
                      <w:r w:rsidRPr="00BB7230">
                        <w:rPr>
                          <w:rFonts w:cs="Times New Roman"/>
                          <w:sz w:val="21"/>
                          <w:szCs w:val="21"/>
                          <w:vertAlign w:val="subscript"/>
                          <w:lang w:eastAsia="zh-CN"/>
                        </w:rPr>
                        <w:t>50</w:t>
                      </w:r>
                      <w:r>
                        <w:rPr>
                          <w:rFonts w:hAnsi="宋体" w:cs="Times New Roman" w:hint="eastAsia"/>
                          <w:sz w:val="21"/>
                          <w:szCs w:val="21"/>
                          <w:lang w:eastAsia="zh-CN"/>
                        </w:rPr>
                        <w:t>：</w:t>
                      </w:r>
                      <w:r w:rsidRPr="00BB7230">
                        <w:rPr>
                          <w:rFonts w:hAnsi="宋体" w:cs="Times New Roman"/>
                          <w:sz w:val="21"/>
                          <w:szCs w:val="21"/>
                          <w:lang w:eastAsia="zh-CN"/>
                        </w:rPr>
                        <w:t>引起体外半数最大</w:t>
                      </w:r>
                      <w:r w:rsidRPr="00BB7230">
                        <w:rPr>
                          <w:rFonts w:hAnsi="宋体" w:cs="Times New Roman" w:hint="eastAsia"/>
                          <w:sz w:val="21"/>
                          <w:szCs w:val="21"/>
                          <w:lang w:eastAsia="zh-CN"/>
                        </w:rPr>
                        <w:t>诱导</w:t>
                      </w:r>
                      <w:r w:rsidRPr="00BB7230">
                        <w:rPr>
                          <w:rFonts w:hAnsi="宋体" w:cs="Times New Roman"/>
                          <w:sz w:val="21"/>
                          <w:szCs w:val="21"/>
                          <w:lang w:eastAsia="zh-CN"/>
                        </w:rPr>
                        <w:t>效应的浓度</w:t>
                      </w:r>
                      <w:r>
                        <w:rPr>
                          <w:rFonts w:hAnsi="宋体" w:cs="Times New Roman" w:hint="eastAsia"/>
                          <w:sz w:val="21"/>
                          <w:szCs w:val="21"/>
                          <w:lang w:eastAsia="zh-CN"/>
                        </w:rPr>
                        <w:t>；</w:t>
                      </w:r>
                    </w:p>
                    <w:p w14:paraId="679E9B56" w14:textId="70C5ADA3"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I</w:t>
                      </w:r>
                      <w:r w:rsidRPr="00BB7230">
                        <w:rPr>
                          <w:rFonts w:cs="Times New Roman"/>
                          <w:sz w:val="21"/>
                          <w:szCs w:val="21"/>
                          <w:vertAlign w:val="subscript"/>
                          <w:lang w:eastAsia="zh-CN"/>
                        </w:rPr>
                        <w:t>max,u</w:t>
                      </w:r>
                      <w:r>
                        <w:rPr>
                          <w:rFonts w:hAnsi="宋体" w:cs="Times New Roman" w:hint="eastAsia"/>
                          <w:sz w:val="21"/>
                          <w:szCs w:val="21"/>
                          <w:lang w:eastAsia="zh-CN"/>
                        </w:rPr>
                        <w:t>：</w:t>
                      </w:r>
                      <w:r w:rsidRPr="00BB7230">
                        <w:rPr>
                          <w:rFonts w:hAnsi="宋体" w:cs="Times New Roman" w:hint="eastAsia"/>
                          <w:sz w:val="21"/>
                          <w:szCs w:val="21"/>
                          <w:lang w:eastAsia="zh-CN"/>
                        </w:rPr>
                        <w:t>诱导剂</w:t>
                      </w:r>
                      <w:r w:rsidRPr="00BB7230">
                        <w:rPr>
                          <w:rFonts w:hAnsi="宋体" w:cs="Times New Roman"/>
                          <w:sz w:val="21"/>
                          <w:szCs w:val="21"/>
                          <w:lang w:eastAsia="zh-CN"/>
                        </w:rPr>
                        <w:t>的</w:t>
                      </w:r>
                      <w:proofErr w:type="gramStart"/>
                      <w:r w:rsidRPr="00BB7230">
                        <w:rPr>
                          <w:rFonts w:hAnsi="宋体" w:cs="Times New Roman"/>
                          <w:sz w:val="21"/>
                          <w:szCs w:val="21"/>
                          <w:lang w:eastAsia="zh-CN"/>
                        </w:rPr>
                        <w:t>最大未</w:t>
                      </w:r>
                      <w:proofErr w:type="gramEnd"/>
                      <w:r w:rsidRPr="00BB7230">
                        <w:rPr>
                          <w:rFonts w:hAnsi="宋体" w:cs="Times New Roman"/>
                          <w:sz w:val="21"/>
                          <w:szCs w:val="21"/>
                          <w:lang w:eastAsia="zh-CN"/>
                        </w:rPr>
                        <w:t>结合血浆浓度。</w:t>
                      </w:r>
                      <w:r w:rsidRPr="00BB7230">
                        <w:rPr>
                          <w:rFonts w:cs="Times New Roman"/>
                          <w:sz w:val="21"/>
                          <w:szCs w:val="21"/>
                          <w:vertAlign w:val="superscript"/>
                          <w:lang w:eastAsia="zh-CN"/>
                        </w:rPr>
                        <w:t>*</w:t>
                      </w:r>
                    </w:p>
                    <w:p w14:paraId="4ABA2721" w14:textId="77777777" w:rsidR="00921CF9" w:rsidRPr="00BB7230" w:rsidRDefault="00921CF9" w:rsidP="00B04AF8">
                      <w:pPr>
                        <w:spacing w:after="0" w:line="240" w:lineRule="auto"/>
                        <w:ind w:firstLine="420"/>
                        <w:rPr>
                          <w:sz w:val="21"/>
                          <w:szCs w:val="21"/>
                          <w:lang w:eastAsia="zh-CN"/>
                        </w:rPr>
                      </w:pPr>
                      <w:r w:rsidRPr="00BB7230">
                        <w:rPr>
                          <w:rFonts w:cs="Times New Roman"/>
                          <w:sz w:val="21"/>
                          <w:szCs w:val="21"/>
                          <w:vertAlign w:val="superscript"/>
                          <w:lang w:eastAsia="zh-CN"/>
                        </w:rPr>
                        <w:t>*</w:t>
                      </w:r>
                      <w:r w:rsidRPr="00BB7230">
                        <w:rPr>
                          <w:rFonts w:hAnsi="宋体" w:cs="Times New Roman"/>
                          <w:sz w:val="21"/>
                          <w:szCs w:val="21"/>
                          <w:lang w:eastAsia="zh-CN"/>
                        </w:rPr>
                        <w:t>考虑到蛋白结合测定的不确定性，如果试验测定结果</w:t>
                      </w:r>
                      <w:r w:rsidRPr="00BB7230">
                        <w:rPr>
                          <w:rFonts w:cs="Times New Roman"/>
                          <w:sz w:val="21"/>
                          <w:szCs w:val="21"/>
                          <w:lang w:eastAsia="zh-CN"/>
                        </w:rPr>
                        <w:t>&lt;1%</w:t>
                      </w:r>
                      <w:r w:rsidRPr="00BB7230">
                        <w:rPr>
                          <w:rFonts w:hAnsi="宋体" w:cs="Times New Roman"/>
                          <w:sz w:val="21"/>
                          <w:szCs w:val="21"/>
                          <w:lang w:eastAsia="zh-CN"/>
                        </w:rPr>
                        <w:t>，则血浆中未结合的部分应设定为</w:t>
                      </w:r>
                      <w:r w:rsidRPr="00BB7230">
                        <w:rPr>
                          <w:rFonts w:cs="Times New Roman"/>
                          <w:sz w:val="21"/>
                          <w:szCs w:val="21"/>
                          <w:lang w:eastAsia="zh-CN"/>
                        </w:rPr>
                        <w:t>1%</w:t>
                      </w:r>
                      <w:r w:rsidRPr="00BB7230">
                        <w:rPr>
                          <w:rFonts w:hAnsi="宋体" w:cs="Times New Roman"/>
                          <w:sz w:val="21"/>
                          <w:szCs w:val="21"/>
                          <w:lang w:eastAsia="zh-CN"/>
                        </w:rPr>
                        <w:t>（血浆中未结合的部分（</w:t>
                      </w:r>
                      <w:r w:rsidRPr="00BB7230">
                        <w:rPr>
                          <w:rFonts w:cs="Times New Roman"/>
                          <w:sz w:val="21"/>
                          <w:szCs w:val="21"/>
                          <w:lang w:eastAsia="zh-CN"/>
                        </w:rPr>
                        <w:t>f</w:t>
                      </w:r>
                      <w:r w:rsidRPr="00BB7230">
                        <w:rPr>
                          <w:rFonts w:cs="Times New Roman"/>
                          <w:sz w:val="21"/>
                          <w:szCs w:val="21"/>
                          <w:vertAlign w:val="subscript"/>
                          <w:lang w:eastAsia="zh-CN"/>
                        </w:rPr>
                        <w:t>u, p</w:t>
                      </w:r>
                      <w:r w:rsidRPr="00BB7230">
                        <w:rPr>
                          <w:rFonts w:hAnsi="宋体" w:cs="Times New Roman"/>
                          <w:sz w:val="21"/>
                          <w:szCs w:val="21"/>
                          <w:lang w:eastAsia="zh-CN"/>
                        </w:rPr>
                        <w:t>）</w:t>
                      </w:r>
                      <w:r w:rsidRPr="00BB7230">
                        <w:rPr>
                          <w:rFonts w:cs="Times New Roman"/>
                          <w:sz w:val="21"/>
                          <w:szCs w:val="21"/>
                          <w:lang w:eastAsia="zh-CN"/>
                        </w:rPr>
                        <w:t>= 0.01</w:t>
                      </w:r>
                      <w:r w:rsidRPr="00BB7230">
                        <w:rPr>
                          <w:rFonts w:hAnsi="宋体" w:cs="Times New Roman"/>
                          <w:sz w:val="21"/>
                          <w:szCs w:val="21"/>
                          <w:lang w:eastAsia="zh-CN"/>
                        </w:rPr>
                        <w:t>）。</w:t>
                      </w:r>
                    </w:p>
                  </w:txbxContent>
                </v:textbox>
                <w10:wrap anchorx="margin"/>
              </v:shape>
            </w:pict>
          </mc:Fallback>
        </mc:AlternateContent>
      </w:r>
    </w:p>
    <w:p w14:paraId="57D55E93" w14:textId="37D2D0C8" w:rsidR="00B04AF8" w:rsidRPr="009E464F" w:rsidRDefault="00B04AF8" w:rsidP="0083505F">
      <w:pPr>
        <w:spacing w:line="500" w:lineRule="exact"/>
        <w:ind w:firstLine="422"/>
        <w:rPr>
          <w:rFonts w:cs="Times New Roman"/>
          <w:b/>
          <w:sz w:val="21"/>
          <w:szCs w:val="21"/>
          <w:lang w:eastAsia="zh-CN"/>
        </w:rPr>
      </w:pPr>
    </w:p>
    <w:p w14:paraId="2F9A1F85" w14:textId="0404E891" w:rsidR="00B04AF8" w:rsidRPr="009E464F" w:rsidRDefault="00B04AF8" w:rsidP="0083505F">
      <w:pPr>
        <w:spacing w:line="500" w:lineRule="exact"/>
        <w:ind w:firstLine="422"/>
        <w:rPr>
          <w:rFonts w:cs="Times New Roman"/>
          <w:b/>
          <w:sz w:val="21"/>
          <w:szCs w:val="21"/>
          <w:lang w:eastAsia="zh-CN"/>
        </w:rPr>
      </w:pPr>
    </w:p>
    <w:p w14:paraId="46B7FD4B" w14:textId="77777777" w:rsidR="00B04AF8" w:rsidRPr="009E464F" w:rsidRDefault="00B04AF8" w:rsidP="0083505F">
      <w:pPr>
        <w:spacing w:line="500" w:lineRule="exact"/>
        <w:ind w:firstLine="422"/>
        <w:rPr>
          <w:rFonts w:cs="Times New Roman"/>
          <w:b/>
          <w:sz w:val="21"/>
          <w:szCs w:val="21"/>
          <w:lang w:eastAsia="zh-CN"/>
        </w:rPr>
      </w:pPr>
    </w:p>
    <w:p w14:paraId="1B7D0722" w14:textId="77777777" w:rsidR="00B04AF8" w:rsidRPr="009E464F" w:rsidRDefault="00B04AF8" w:rsidP="0083505F">
      <w:pPr>
        <w:spacing w:line="500" w:lineRule="exact"/>
        <w:ind w:firstLine="422"/>
        <w:rPr>
          <w:rFonts w:cs="Times New Roman"/>
          <w:b/>
          <w:sz w:val="21"/>
          <w:szCs w:val="21"/>
          <w:lang w:eastAsia="zh-CN"/>
        </w:rPr>
      </w:pPr>
    </w:p>
    <w:p w14:paraId="7B0A67DF" w14:textId="366C55C3" w:rsidR="00CB0133" w:rsidRDefault="00A3135A" w:rsidP="00A3135A">
      <w:pPr>
        <w:spacing w:line="500" w:lineRule="exact"/>
        <w:ind w:firstLineChars="250" w:firstLine="800"/>
        <w:rPr>
          <w:rFonts w:cs="Times New Roman"/>
          <w:lang w:eastAsia="zh-CN"/>
        </w:rPr>
      </w:pPr>
      <w:r>
        <w:rPr>
          <w:rFonts w:cs="Times New Roman" w:hint="eastAsia"/>
          <w:lang w:eastAsia="zh-CN"/>
        </w:rPr>
        <w:t>基础动力学模型：应如图</w:t>
      </w:r>
      <w:r>
        <w:rPr>
          <w:rFonts w:cs="Times New Roman"/>
          <w:lang w:eastAsia="zh-CN"/>
        </w:rPr>
        <w:t>4</w:t>
      </w:r>
      <w:r>
        <w:rPr>
          <w:rFonts w:cs="Times New Roman" w:hint="eastAsia"/>
          <w:lang w:eastAsia="zh-CN"/>
        </w:rPr>
        <w:t>所</w:t>
      </w:r>
      <w:proofErr w:type="gramStart"/>
      <w:r>
        <w:rPr>
          <w:rFonts w:cs="Times New Roman" w:hint="eastAsia"/>
          <w:lang w:eastAsia="zh-CN"/>
        </w:rPr>
        <w:t>示计算</w:t>
      </w:r>
      <w:proofErr w:type="gramEnd"/>
      <w:r>
        <w:rPr>
          <w:rFonts w:cs="Times New Roman"/>
          <w:lang w:eastAsia="zh-CN"/>
        </w:rPr>
        <w:t>R</w:t>
      </w:r>
      <w:r>
        <w:rPr>
          <w:rFonts w:cs="Times New Roman"/>
          <w:vertAlign w:val="subscript"/>
          <w:lang w:eastAsia="zh-CN"/>
        </w:rPr>
        <w:t>3</w:t>
      </w:r>
      <w:r>
        <w:rPr>
          <w:rFonts w:cs="Times New Roman" w:hint="eastAsia"/>
          <w:lang w:eastAsia="zh-CN"/>
        </w:rPr>
        <w:t>值并和预先设定的临界值作比较。</w:t>
      </w:r>
    </w:p>
    <w:p w14:paraId="7522ED4F" w14:textId="77777777" w:rsidR="00CB0133" w:rsidRDefault="00CB0133">
      <w:pPr>
        <w:spacing w:line="259" w:lineRule="auto"/>
        <w:ind w:firstLineChars="0" w:firstLine="0"/>
        <w:jc w:val="left"/>
        <w:rPr>
          <w:rFonts w:cs="Times New Roman"/>
          <w:lang w:eastAsia="zh-CN"/>
        </w:rPr>
      </w:pPr>
      <w:r>
        <w:rPr>
          <w:rFonts w:cs="Times New Roman"/>
          <w:lang w:eastAsia="zh-CN"/>
        </w:rPr>
        <w:br w:type="page"/>
      </w:r>
    </w:p>
    <w:p w14:paraId="5C33746D" w14:textId="439E70EA" w:rsidR="00B04AF8" w:rsidRDefault="00D50183" w:rsidP="00100AA9">
      <w:pPr>
        <w:spacing w:line="500" w:lineRule="exact"/>
        <w:ind w:firstLineChars="62" w:firstLine="131"/>
        <w:jc w:val="center"/>
        <w:rPr>
          <w:rFonts w:cs="Times New Roman"/>
          <w:b/>
          <w:sz w:val="21"/>
          <w:szCs w:val="21"/>
          <w:lang w:eastAsia="zh-CN"/>
        </w:rPr>
      </w:pPr>
      <w:r w:rsidRPr="009E464F">
        <w:rPr>
          <w:rFonts w:cs="Times New Roman"/>
          <w:b/>
          <w:sz w:val="21"/>
          <w:szCs w:val="21"/>
          <w:lang w:eastAsia="zh-CN"/>
        </w:rPr>
        <w:lastRenderedPageBreak/>
        <w:t>图</w:t>
      </w:r>
      <w:r w:rsidR="00BC3B08">
        <w:rPr>
          <w:rFonts w:cs="Times New Roman"/>
          <w:b/>
          <w:sz w:val="21"/>
          <w:szCs w:val="21"/>
          <w:lang w:eastAsia="zh-CN"/>
        </w:rPr>
        <w:t xml:space="preserve">4 </w:t>
      </w:r>
      <w:r w:rsidRPr="009E464F">
        <w:rPr>
          <w:rFonts w:cs="Times New Roman"/>
          <w:b/>
          <w:sz w:val="21"/>
          <w:szCs w:val="21"/>
          <w:lang w:eastAsia="zh-CN"/>
        </w:rPr>
        <w:t>诱导基础模型中</w:t>
      </w:r>
      <w:r w:rsidRPr="009E464F">
        <w:rPr>
          <w:rFonts w:cs="Times New Roman"/>
          <w:b/>
          <w:sz w:val="21"/>
          <w:szCs w:val="21"/>
          <w:lang w:eastAsia="zh-CN"/>
        </w:rPr>
        <w:t>R</w:t>
      </w:r>
      <w:r w:rsidRPr="009E464F">
        <w:rPr>
          <w:rFonts w:cs="Times New Roman"/>
          <w:b/>
          <w:sz w:val="21"/>
          <w:szCs w:val="21"/>
          <w:lang w:eastAsia="zh-CN"/>
        </w:rPr>
        <w:t>值的计算公式</w:t>
      </w:r>
    </w:p>
    <w:p w14:paraId="7B18433B" w14:textId="305E9CDF" w:rsidR="00A3135A" w:rsidRDefault="00CB0133" w:rsidP="00100AA9">
      <w:pPr>
        <w:spacing w:line="500" w:lineRule="exact"/>
        <w:ind w:firstLineChars="62" w:firstLine="198"/>
        <w:jc w:val="center"/>
        <w:rPr>
          <w:rFonts w:cs="Times New Roman"/>
          <w:b/>
          <w:sz w:val="21"/>
          <w:szCs w:val="21"/>
          <w:lang w:eastAsia="zh-CN"/>
        </w:rPr>
      </w:pPr>
      <w:r>
        <w:rPr>
          <w:rFonts w:cs="Times New Roman"/>
          <w:noProof/>
          <w:lang w:eastAsia="zh-CN"/>
        </w:rPr>
        <mc:AlternateContent>
          <mc:Choice Requires="wps">
            <w:drawing>
              <wp:anchor distT="0" distB="0" distL="114300" distR="114300" simplePos="0" relativeHeight="251701248" behindDoc="0" locked="0" layoutInCell="1" allowOverlap="1" wp14:anchorId="36A7A12F" wp14:editId="417E5E30">
                <wp:simplePos x="0" y="0"/>
                <wp:positionH relativeFrom="column">
                  <wp:posOffset>123190</wp:posOffset>
                </wp:positionH>
                <wp:positionV relativeFrom="paragraph">
                  <wp:posOffset>12700</wp:posOffset>
                </wp:positionV>
                <wp:extent cx="5438140" cy="1546860"/>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140" cy="1546860"/>
                        </a:xfrm>
                        <a:prstGeom prst="rect">
                          <a:avLst/>
                        </a:prstGeom>
                        <a:solidFill>
                          <a:srgbClr val="FFFFFF"/>
                        </a:solidFill>
                        <a:ln w="9525">
                          <a:solidFill>
                            <a:srgbClr val="000000"/>
                          </a:solidFill>
                          <a:miter lim="800000"/>
                          <a:headEnd/>
                          <a:tailEnd/>
                        </a:ln>
                      </wps:spPr>
                      <wps:txbx>
                        <w:txbxContent>
                          <w:p w14:paraId="4AC9DCE4" w14:textId="77777777" w:rsidR="00921CF9" w:rsidRPr="00BB7230" w:rsidRDefault="00921CF9" w:rsidP="0083505F">
                            <w:pPr>
                              <w:spacing w:after="0"/>
                              <w:ind w:firstLine="420"/>
                              <w:rPr>
                                <w:rFonts w:cs="Times New Roman"/>
                                <w:sz w:val="21"/>
                                <w:szCs w:val="21"/>
                              </w:rPr>
                            </w:pPr>
                            <w:r w:rsidRPr="00BB7230">
                              <w:rPr>
                                <w:rFonts w:cs="Times New Roman"/>
                                <w:color w:val="000000"/>
                                <w:sz w:val="21"/>
                                <w:szCs w:val="21"/>
                              </w:rPr>
                              <w:t>R</w:t>
                            </w:r>
                            <w:r w:rsidRPr="00BB7230">
                              <w:rPr>
                                <w:rFonts w:cs="Times New Roman"/>
                                <w:color w:val="000000"/>
                                <w:sz w:val="21"/>
                                <w:szCs w:val="21"/>
                                <w:vertAlign w:val="subscript"/>
                              </w:rPr>
                              <w:t>3</w:t>
                            </w:r>
                            <w:r w:rsidRPr="00BB7230">
                              <w:rPr>
                                <w:rFonts w:cs="Times New Roman"/>
                                <w:color w:val="000000"/>
                                <w:sz w:val="21"/>
                                <w:szCs w:val="21"/>
                              </w:rPr>
                              <w:t>=1</w:t>
                            </w:r>
                            <w:proofErr w:type="gramStart"/>
                            <w:r w:rsidRPr="00BB7230">
                              <w:rPr>
                                <w:rFonts w:cs="Times New Roman"/>
                                <w:color w:val="000000"/>
                                <w:sz w:val="21"/>
                                <w:szCs w:val="21"/>
                              </w:rPr>
                              <w:t>/[</w:t>
                            </w:r>
                            <w:proofErr w:type="gramEnd"/>
                            <w:r w:rsidRPr="00BB7230">
                              <w:rPr>
                                <w:rFonts w:cs="Times New Roman"/>
                                <w:color w:val="000000"/>
                                <w:sz w:val="21"/>
                                <w:szCs w:val="21"/>
                              </w:rPr>
                              <w:t>1 +(d×E</w:t>
                            </w:r>
                            <w:r w:rsidRPr="00BB7230">
                              <w:rPr>
                                <w:rFonts w:cs="Times New Roman"/>
                                <w:color w:val="000000"/>
                                <w:sz w:val="21"/>
                                <w:szCs w:val="21"/>
                                <w:vertAlign w:val="subscript"/>
                              </w:rPr>
                              <w:t>max</w:t>
                            </w:r>
                            <w:r w:rsidRPr="00BB7230">
                              <w:rPr>
                                <w:rFonts w:cs="Times New Roman"/>
                                <w:color w:val="000000"/>
                                <w:sz w:val="21"/>
                                <w:szCs w:val="21"/>
                              </w:rPr>
                              <w:t>×10×I</w:t>
                            </w:r>
                            <w:r w:rsidRPr="00BB7230">
                              <w:rPr>
                                <w:rFonts w:cs="Times New Roman"/>
                                <w:color w:val="000000"/>
                                <w:sz w:val="21"/>
                                <w:szCs w:val="21"/>
                                <w:vertAlign w:val="subscript"/>
                              </w:rPr>
                              <w:t>max,u</w:t>
                            </w:r>
                            <w:r w:rsidRPr="00BB7230">
                              <w:rPr>
                                <w:rFonts w:cs="Times New Roman"/>
                                <w:color w:val="000000"/>
                                <w:sz w:val="21"/>
                                <w:szCs w:val="21"/>
                              </w:rPr>
                              <w:t>)/(EC</w:t>
                            </w:r>
                            <w:r w:rsidRPr="00BB7230">
                              <w:rPr>
                                <w:rFonts w:cs="Times New Roman"/>
                                <w:color w:val="000000"/>
                                <w:sz w:val="21"/>
                                <w:szCs w:val="21"/>
                                <w:vertAlign w:val="subscript"/>
                              </w:rPr>
                              <w:t>50</w:t>
                            </w:r>
                            <w:r w:rsidRPr="00BB7230">
                              <w:rPr>
                                <w:rFonts w:cs="Times New Roman"/>
                                <w:color w:val="000000"/>
                                <w:sz w:val="21"/>
                                <w:szCs w:val="21"/>
                              </w:rPr>
                              <w:t>+(10×I</w:t>
                            </w:r>
                            <w:r w:rsidRPr="00BB7230">
                              <w:rPr>
                                <w:rFonts w:cs="Times New Roman"/>
                                <w:color w:val="000000"/>
                                <w:sz w:val="21"/>
                                <w:szCs w:val="21"/>
                                <w:vertAlign w:val="subscript"/>
                              </w:rPr>
                              <w:t>max,u</w:t>
                            </w:r>
                            <w:r w:rsidRPr="00BB7230">
                              <w:rPr>
                                <w:rFonts w:cs="Times New Roman"/>
                                <w:color w:val="000000"/>
                                <w:sz w:val="21"/>
                                <w:szCs w:val="21"/>
                              </w:rPr>
                              <w:t>))]</w:t>
                            </w:r>
                          </w:p>
                          <w:p w14:paraId="3D2BF936" w14:textId="11C08C00"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R</w:t>
                            </w:r>
                            <w:r w:rsidRPr="00BB7230">
                              <w:rPr>
                                <w:rFonts w:cs="Times New Roman"/>
                                <w:sz w:val="21"/>
                                <w:szCs w:val="21"/>
                                <w:vertAlign w:val="subscript"/>
                                <w:lang w:eastAsia="zh-CN"/>
                              </w:rPr>
                              <w:t>3</w:t>
                            </w:r>
                            <w:r>
                              <w:rPr>
                                <w:rFonts w:hAnsi="宋体" w:cs="Times New Roman" w:hint="eastAsia"/>
                                <w:sz w:val="21"/>
                                <w:szCs w:val="21"/>
                                <w:lang w:eastAsia="zh-CN"/>
                              </w:rPr>
                              <w:t>：</w:t>
                            </w:r>
                            <w:r w:rsidRPr="00BB7230">
                              <w:rPr>
                                <w:rFonts w:hAnsi="宋体" w:cs="Times New Roman"/>
                                <w:sz w:val="21"/>
                                <w:szCs w:val="21"/>
                                <w:lang w:eastAsia="zh-CN"/>
                              </w:rPr>
                              <w:t>预测</w:t>
                            </w:r>
                            <w:r w:rsidRPr="00BB7230">
                              <w:rPr>
                                <w:rFonts w:hAnsi="宋体" w:cs="Times New Roman" w:hint="eastAsia"/>
                                <w:sz w:val="21"/>
                                <w:szCs w:val="21"/>
                                <w:lang w:eastAsia="zh-CN"/>
                              </w:rPr>
                              <w:t>的指针底物在有和无</w:t>
                            </w:r>
                            <w:r w:rsidRPr="00BB7230">
                              <w:rPr>
                                <w:rFonts w:hAnsi="宋体" w:cs="Times New Roman"/>
                                <w:sz w:val="21"/>
                                <w:szCs w:val="21"/>
                                <w:lang w:eastAsia="zh-CN"/>
                              </w:rPr>
                              <w:t>诱导剂时</w:t>
                            </w:r>
                            <w:r w:rsidRPr="00BB7230">
                              <w:rPr>
                                <w:rFonts w:hAnsi="宋体" w:cs="Times New Roman" w:hint="eastAsia"/>
                                <w:sz w:val="21"/>
                                <w:szCs w:val="21"/>
                                <w:lang w:eastAsia="zh-CN"/>
                              </w:rPr>
                              <w:t>其受影响代谢途径固有清除率的</w:t>
                            </w:r>
                            <w:r w:rsidRPr="00BB7230">
                              <w:rPr>
                                <w:rFonts w:hAnsi="宋体" w:cs="Times New Roman"/>
                                <w:sz w:val="21"/>
                                <w:szCs w:val="21"/>
                                <w:lang w:eastAsia="zh-CN"/>
                              </w:rPr>
                              <w:t>比</w:t>
                            </w:r>
                            <w:r w:rsidRPr="00BB7230">
                              <w:rPr>
                                <w:rFonts w:hAnsi="宋体" w:cs="Times New Roman" w:hint="eastAsia"/>
                                <w:sz w:val="21"/>
                                <w:szCs w:val="21"/>
                                <w:lang w:eastAsia="zh-CN"/>
                              </w:rPr>
                              <w:t>值</w:t>
                            </w:r>
                            <w:r>
                              <w:rPr>
                                <w:rFonts w:hAnsi="宋体" w:cs="Times New Roman" w:hint="eastAsia"/>
                                <w:sz w:val="21"/>
                                <w:szCs w:val="21"/>
                                <w:lang w:eastAsia="zh-CN"/>
                              </w:rPr>
                              <w:t>；</w:t>
                            </w:r>
                          </w:p>
                          <w:p w14:paraId="5B04530C" w14:textId="60BD801D"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d</w:t>
                            </w:r>
                            <w:r>
                              <w:rPr>
                                <w:rFonts w:hAnsi="宋体" w:cs="Times New Roman" w:hint="eastAsia"/>
                                <w:sz w:val="21"/>
                                <w:szCs w:val="21"/>
                                <w:lang w:eastAsia="zh-CN"/>
                              </w:rPr>
                              <w:t>：</w:t>
                            </w:r>
                            <w:r w:rsidRPr="00BB7230">
                              <w:rPr>
                                <w:rFonts w:hAnsi="宋体" w:cs="Times New Roman"/>
                                <w:sz w:val="21"/>
                                <w:szCs w:val="21"/>
                                <w:lang w:eastAsia="zh-CN"/>
                              </w:rPr>
                              <w:t>比例因子，</w:t>
                            </w:r>
                            <w:r w:rsidRPr="00BB7230">
                              <w:rPr>
                                <w:rFonts w:hAnsi="宋体" w:cs="Times New Roman" w:hint="eastAsia"/>
                                <w:sz w:val="21"/>
                                <w:szCs w:val="21"/>
                                <w:lang w:eastAsia="zh-CN"/>
                              </w:rPr>
                              <w:t>通常默认</w:t>
                            </w:r>
                            <w:r w:rsidRPr="00BB7230">
                              <w:rPr>
                                <w:rFonts w:hAnsi="宋体" w:cs="Times New Roman"/>
                                <w:sz w:val="21"/>
                                <w:szCs w:val="21"/>
                                <w:lang w:eastAsia="zh-CN"/>
                              </w:rPr>
                              <w:t>为</w:t>
                            </w:r>
                            <w:r w:rsidRPr="00BB7230">
                              <w:rPr>
                                <w:rFonts w:cs="Times New Roman"/>
                                <w:sz w:val="21"/>
                                <w:szCs w:val="21"/>
                                <w:lang w:eastAsia="zh-CN"/>
                              </w:rPr>
                              <w:t>1</w:t>
                            </w:r>
                            <w:r w:rsidRPr="00BB7230">
                              <w:rPr>
                                <w:rFonts w:hAnsi="宋体" w:cs="Times New Roman"/>
                                <w:sz w:val="21"/>
                                <w:szCs w:val="21"/>
                                <w:lang w:eastAsia="zh-CN"/>
                              </w:rPr>
                              <w:t>，除非</w:t>
                            </w:r>
                            <w:r w:rsidRPr="00BB7230">
                              <w:rPr>
                                <w:rFonts w:hAnsi="宋体" w:cs="Times New Roman" w:hint="eastAsia"/>
                                <w:sz w:val="21"/>
                                <w:szCs w:val="21"/>
                                <w:lang w:eastAsia="zh-CN"/>
                              </w:rPr>
                              <w:t>先前使用</w:t>
                            </w:r>
                            <w:r w:rsidRPr="00BB7230">
                              <w:rPr>
                                <w:rFonts w:hAnsi="宋体" w:cs="Times New Roman"/>
                                <w:sz w:val="21"/>
                                <w:szCs w:val="21"/>
                                <w:lang w:eastAsia="zh-CN"/>
                              </w:rPr>
                              <w:t>此体系时</w:t>
                            </w:r>
                            <w:r w:rsidRPr="00BB7230">
                              <w:rPr>
                                <w:rFonts w:hAnsi="宋体" w:cs="Times New Roman" w:hint="eastAsia"/>
                                <w:sz w:val="21"/>
                                <w:szCs w:val="21"/>
                                <w:lang w:eastAsia="zh-CN"/>
                              </w:rPr>
                              <w:t>的研究数据可以</w:t>
                            </w:r>
                            <w:r w:rsidRPr="00BB7230">
                              <w:rPr>
                                <w:rFonts w:hAnsi="宋体" w:cs="Times New Roman"/>
                                <w:sz w:val="21"/>
                                <w:szCs w:val="21"/>
                                <w:lang w:eastAsia="zh-CN"/>
                              </w:rPr>
                              <w:t>帮助校正</w:t>
                            </w:r>
                            <w:r>
                              <w:rPr>
                                <w:rFonts w:hAnsi="宋体" w:cs="Times New Roman" w:hint="eastAsia"/>
                                <w:sz w:val="21"/>
                                <w:szCs w:val="21"/>
                                <w:lang w:eastAsia="zh-CN"/>
                              </w:rPr>
                              <w:t>；</w:t>
                            </w:r>
                          </w:p>
                          <w:p w14:paraId="4FF2E9AC" w14:textId="5E290F57"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E</w:t>
                            </w:r>
                            <w:r w:rsidRPr="00BB7230">
                              <w:rPr>
                                <w:rFonts w:cs="Times New Roman"/>
                                <w:sz w:val="21"/>
                                <w:szCs w:val="21"/>
                                <w:vertAlign w:val="subscript"/>
                                <w:lang w:eastAsia="zh-CN"/>
                              </w:rPr>
                              <w:t>max</w:t>
                            </w:r>
                            <w:r>
                              <w:rPr>
                                <w:rFonts w:hAnsi="宋体" w:cs="Times New Roman" w:hint="eastAsia"/>
                                <w:sz w:val="21"/>
                                <w:szCs w:val="21"/>
                                <w:lang w:eastAsia="zh-CN"/>
                              </w:rPr>
                              <w:t>：</w:t>
                            </w:r>
                            <w:r w:rsidRPr="00BB7230">
                              <w:rPr>
                                <w:rFonts w:hAnsi="宋体" w:cs="Times New Roman"/>
                                <w:sz w:val="21"/>
                                <w:szCs w:val="21"/>
                                <w:lang w:eastAsia="zh-CN"/>
                              </w:rPr>
                              <w:t>体外测定的最大诱导效应</w:t>
                            </w:r>
                            <w:r>
                              <w:rPr>
                                <w:rFonts w:hAnsi="宋体" w:cs="Times New Roman" w:hint="eastAsia"/>
                                <w:sz w:val="21"/>
                                <w:szCs w:val="21"/>
                                <w:lang w:eastAsia="zh-CN"/>
                              </w:rPr>
                              <w:t>；</w:t>
                            </w:r>
                          </w:p>
                          <w:p w14:paraId="34FB3E0E" w14:textId="3F02117C"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I</w:t>
                            </w:r>
                            <w:r w:rsidRPr="00BB7230">
                              <w:rPr>
                                <w:rFonts w:cs="Times New Roman"/>
                                <w:sz w:val="21"/>
                                <w:szCs w:val="21"/>
                                <w:vertAlign w:val="subscript"/>
                                <w:lang w:eastAsia="zh-CN"/>
                              </w:rPr>
                              <w:t>max,u</w:t>
                            </w:r>
                            <w:r>
                              <w:rPr>
                                <w:rFonts w:hAnsi="宋体" w:cs="Times New Roman" w:hint="eastAsia"/>
                                <w:sz w:val="21"/>
                                <w:szCs w:val="21"/>
                                <w:lang w:eastAsia="zh-CN"/>
                              </w:rPr>
                              <w:t>：</w:t>
                            </w:r>
                            <w:r w:rsidRPr="00BB7230">
                              <w:rPr>
                                <w:rFonts w:hAnsi="宋体" w:cs="Times New Roman" w:hint="eastAsia"/>
                                <w:sz w:val="21"/>
                                <w:szCs w:val="21"/>
                                <w:lang w:eastAsia="zh-CN"/>
                              </w:rPr>
                              <w:t>诱导剂稳态下</w:t>
                            </w:r>
                            <w:r w:rsidRPr="00BB7230">
                              <w:rPr>
                                <w:rFonts w:hAnsi="宋体" w:cs="Times New Roman"/>
                                <w:sz w:val="21"/>
                                <w:szCs w:val="21"/>
                                <w:lang w:eastAsia="zh-CN"/>
                              </w:rPr>
                              <w:t>的</w:t>
                            </w:r>
                            <w:proofErr w:type="gramStart"/>
                            <w:r w:rsidRPr="00BB7230">
                              <w:rPr>
                                <w:rFonts w:hAnsi="宋体" w:cs="Times New Roman"/>
                                <w:sz w:val="21"/>
                                <w:szCs w:val="21"/>
                                <w:lang w:eastAsia="zh-CN"/>
                              </w:rPr>
                              <w:t>最大未</w:t>
                            </w:r>
                            <w:proofErr w:type="gramEnd"/>
                            <w:r w:rsidRPr="00BB7230">
                              <w:rPr>
                                <w:rFonts w:hAnsi="宋体" w:cs="Times New Roman"/>
                                <w:sz w:val="21"/>
                                <w:szCs w:val="21"/>
                                <w:lang w:eastAsia="zh-CN"/>
                              </w:rPr>
                              <w:t>结合血浆浓度</w:t>
                            </w:r>
                            <w:r>
                              <w:rPr>
                                <w:rFonts w:hAnsi="宋体" w:cs="Times New Roman" w:hint="eastAsia"/>
                                <w:sz w:val="21"/>
                                <w:szCs w:val="21"/>
                                <w:lang w:eastAsia="zh-CN"/>
                              </w:rPr>
                              <w:t>；</w:t>
                            </w:r>
                            <w:r w:rsidRPr="00BB7230">
                              <w:rPr>
                                <w:rFonts w:cs="Times New Roman"/>
                                <w:sz w:val="21"/>
                                <w:szCs w:val="21"/>
                                <w:vertAlign w:val="superscript"/>
                                <w:lang w:eastAsia="zh-CN"/>
                              </w:rPr>
                              <w:t>*</w:t>
                            </w:r>
                          </w:p>
                          <w:p w14:paraId="25887F5F" w14:textId="4D65A0C1"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EC</w:t>
                            </w:r>
                            <w:r w:rsidRPr="00BB7230">
                              <w:rPr>
                                <w:rFonts w:cs="Times New Roman"/>
                                <w:sz w:val="21"/>
                                <w:szCs w:val="21"/>
                                <w:vertAlign w:val="subscript"/>
                                <w:lang w:eastAsia="zh-CN"/>
                              </w:rPr>
                              <w:t>50</w:t>
                            </w:r>
                            <w:r>
                              <w:rPr>
                                <w:rFonts w:hAnsi="宋体" w:cs="Times New Roman" w:hint="eastAsia"/>
                                <w:sz w:val="21"/>
                                <w:szCs w:val="21"/>
                                <w:lang w:eastAsia="zh-CN"/>
                              </w:rPr>
                              <w:t>：</w:t>
                            </w:r>
                            <w:r w:rsidRPr="00BB7230">
                              <w:rPr>
                                <w:rFonts w:hAnsi="宋体" w:cs="Times New Roman"/>
                                <w:sz w:val="21"/>
                                <w:szCs w:val="21"/>
                                <w:lang w:eastAsia="zh-CN"/>
                              </w:rPr>
                              <w:t>引起体外半数最大效应的浓度。</w:t>
                            </w:r>
                          </w:p>
                          <w:p w14:paraId="008B22A7" w14:textId="77777777" w:rsidR="00921CF9" w:rsidRDefault="00921CF9" w:rsidP="00B04AF8">
                            <w:pPr>
                              <w:spacing w:after="0" w:line="240" w:lineRule="auto"/>
                              <w:ind w:firstLine="420"/>
                              <w:rPr>
                                <w:lang w:eastAsia="zh-CN"/>
                              </w:rPr>
                            </w:pPr>
                            <w:r w:rsidRPr="00BB7230">
                              <w:rPr>
                                <w:rFonts w:cs="Times New Roman"/>
                                <w:sz w:val="21"/>
                                <w:szCs w:val="21"/>
                                <w:vertAlign w:val="superscript"/>
                                <w:lang w:eastAsia="zh-CN"/>
                              </w:rPr>
                              <w:t>*</w:t>
                            </w:r>
                            <w:r w:rsidRPr="00BB7230">
                              <w:rPr>
                                <w:rFonts w:hAnsi="宋体" w:cs="Times New Roman"/>
                                <w:sz w:val="21"/>
                                <w:szCs w:val="21"/>
                                <w:lang w:eastAsia="zh-CN"/>
                              </w:rPr>
                              <w:t>考虑到蛋白结合测定的不确定性，如果试验测定结果</w:t>
                            </w:r>
                            <w:r w:rsidRPr="00BB7230">
                              <w:rPr>
                                <w:rFonts w:cs="Times New Roman"/>
                                <w:sz w:val="21"/>
                                <w:szCs w:val="21"/>
                                <w:lang w:eastAsia="zh-CN"/>
                              </w:rPr>
                              <w:t>&lt;1%</w:t>
                            </w:r>
                            <w:r w:rsidRPr="00BB7230">
                              <w:rPr>
                                <w:rFonts w:hAnsi="宋体" w:cs="Times New Roman"/>
                                <w:sz w:val="21"/>
                                <w:szCs w:val="21"/>
                                <w:lang w:eastAsia="zh-CN"/>
                              </w:rPr>
                              <w:t>，则血浆中未结合的部分应设定为</w:t>
                            </w:r>
                            <w:r w:rsidRPr="00BB7230">
                              <w:rPr>
                                <w:rFonts w:cs="Times New Roman"/>
                                <w:sz w:val="21"/>
                                <w:szCs w:val="21"/>
                                <w:lang w:eastAsia="zh-CN"/>
                              </w:rPr>
                              <w:t>1%</w:t>
                            </w:r>
                            <w:r w:rsidRPr="00BB7230">
                              <w:rPr>
                                <w:rFonts w:hAnsi="宋体" w:cs="Times New Roman"/>
                                <w:sz w:val="21"/>
                                <w:szCs w:val="21"/>
                                <w:lang w:eastAsia="zh-CN"/>
                              </w:rPr>
                              <w:t>（血浆中未结合的部分（</w:t>
                            </w:r>
                            <w:r w:rsidRPr="00BB7230">
                              <w:rPr>
                                <w:rFonts w:cs="Times New Roman"/>
                                <w:sz w:val="21"/>
                                <w:szCs w:val="21"/>
                                <w:lang w:eastAsia="zh-CN"/>
                              </w:rPr>
                              <w:t>f</w:t>
                            </w:r>
                            <w:r w:rsidRPr="00BB7230">
                              <w:rPr>
                                <w:rFonts w:cs="Times New Roman"/>
                                <w:sz w:val="21"/>
                                <w:szCs w:val="21"/>
                                <w:vertAlign w:val="subscript"/>
                                <w:lang w:eastAsia="zh-CN"/>
                              </w:rPr>
                              <w:t>u, p</w:t>
                            </w:r>
                            <w:r w:rsidRPr="00BB7230">
                              <w:rPr>
                                <w:rFonts w:hAnsi="宋体" w:cs="Times New Roman"/>
                                <w:sz w:val="21"/>
                                <w:szCs w:val="21"/>
                                <w:lang w:eastAsia="zh-CN"/>
                              </w:rPr>
                              <w:t>）</w:t>
                            </w:r>
                            <w:r w:rsidRPr="00BB7230">
                              <w:rPr>
                                <w:rFonts w:cs="Times New Roman"/>
                                <w:sz w:val="21"/>
                                <w:szCs w:val="21"/>
                                <w:lang w:eastAsia="zh-CN"/>
                              </w:rPr>
                              <w:t>= 0.01</w:t>
                            </w:r>
                            <w:r w:rsidRPr="00BB7230">
                              <w:rPr>
                                <w:rFonts w:hAnsi="宋体" w:cs="Times New Roman"/>
                                <w:sz w:val="21"/>
                                <w:szCs w:val="21"/>
                                <w:lang w:eastAsia="zh-C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7A12F" id="文本框 6" o:spid="_x0000_s1029" type="#_x0000_t202" style="position:absolute;left:0;text-align:left;margin-left:9.7pt;margin-top:1pt;width:428.2pt;height:12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PQIAAFkEAAAOAAAAZHJzL2Uyb0RvYy54bWysVM2O0zAQviPxDpbvNE23Ld2o6WrpUoS0&#10;/EgLD+A4TmLheIztNlkeAN6AExfuPFefg7HTlmqBCyIHy+MZf575vpksr/pWkZ2wToLOaToaUyI0&#10;h1LqOqfv322eLChxnumSKdAip/fC0avV40fLzmRiAg2oUliCINplnclp473JksTxRrTMjcAIjc4K&#10;bMs8mrZOSss6RG9VMhmP50kHtjQWuHAOT28GJ11F/KoS3L+pKic8UTnF3HxcbVyLsCarJctqy0wj&#10;+SEN9g9ZtExqfPQEdcM8I1srf4NqJbfgoPIjDm0CVSW5iDVgNen4QTV3DTMi1oLkOHOiyf0/WP56&#10;99YSWeZ0TolmLUq0//pl/+3H/vtnMg/0dMZlGHVnMM73z6BHmWOpztwC/+CIhnXDdC2urYWuEazE&#10;9NJwMzm7OuC4AFJ0r6DEd9jWQwTqK9sG7pANgugo0/1JGtF7wvFwNr1YpFN0cfSls+l8MY/iJSw7&#10;XjfW+RcCWhI2ObWofYRnu1vnQzosO4aE1xwoWW6kUtGwdbFWluwY9skmfrGCB2FKky6nl7PJbGDg&#10;rxDj+P0JopUeG17JNqeLUxDLAm/PdRnb0TOphj2mrPSByMDdwKLviz5KdnHUp4DyHpm1MPQ3ziNu&#10;GrCfKOmwt3PqPm6ZFZSolxrVuUyngUofjens6QQNe+4pzj1Mc4TKqadk2K79MEBbY2Xd4EtDP2i4&#10;RkUrGbkO0g9ZHdLH/o0SHGYtDMi5HaN+/RFWPwEAAP//AwBQSwMEFAAGAAgAAAAhAFMhqoPdAAAA&#10;CAEAAA8AAABkcnMvZG93bnJldi54bWxMj8FOwzAQRO9I/IO1SFwQdShpmoY4FUICwQ3aCq5uvE0i&#10;7HWI3TT8PcsJjqMZzbwp15OzYsQhdJ4U3MwSEEi1Nx01Cnbbx+scRIiajLaeUME3BlhX52elLow/&#10;0RuOm9gILqFQaAVtjH0hZahbdDrMfI/E3sEPTkeWQyPNoE9c7qycJ0kmne6IF1rd40OL9efm6BTk&#10;6fP4EV5uX9/r7GBX8Wo5Pn0NSl1eTPd3ICJO8S8Mv/iMDhUz7f2RTBCW9SrlpII5P2I7Xy74yZ51&#10;ushAVqX8f6D6AQAA//8DAFBLAQItABQABgAIAAAAIQC2gziS/gAAAOEBAAATAAAAAAAAAAAAAAAA&#10;AAAAAABbQ29udGVudF9UeXBlc10ueG1sUEsBAi0AFAAGAAgAAAAhADj9If/WAAAAlAEAAAsAAAAA&#10;AAAAAAAAAAAALwEAAF9yZWxzLy5yZWxzUEsBAi0AFAAGAAgAAAAhAH4Glv89AgAAWQQAAA4AAAAA&#10;AAAAAAAAAAAALgIAAGRycy9lMm9Eb2MueG1sUEsBAi0AFAAGAAgAAAAhAFMhqoPdAAAACAEAAA8A&#10;AAAAAAAAAAAAAAAAlwQAAGRycy9kb3ducmV2LnhtbFBLBQYAAAAABAAEAPMAAAChBQAAAAA=&#10;">
                <v:textbox>
                  <w:txbxContent>
                    <w:p w14:paraId="4AC9DCE4" w14:textId="77777777" w:rsidR="00921CF9" w:rsidRPr="00BB7230" w:rsidRDefault="00921CF9" w:rsidP="0083505F">
                      <w:pPr>
                        <w:spacing w:after="0"/>
                        <w:ind w:firstLine="420"/>
                        <w:rPr>
                          <w:rFonts w:cs="Times New Roman"/>
                          <w:sz w:val="21"/>
                          <w:szCs w:val="21"/>
                        </w:rPr>
                      </w:pPr>
                      <w:r w:rsidRPr="00BB7230">
                        <w:rPr>
                          <w:rFonts w:cs="Times New Roman"/>
                          <w:color w:val="000000"/>
                          <w:sz w:val="21"/>
                          <w:szCs w:val="21"/>
                        </w:rPr>
                        <w:t>R</w:t>
                      </w:r>
                      <w:r w:rsidRPr="00BB7230">
                        <w:rPr>
                          <w:rFonts w:cs="Times New Roman"/>
                          <w:color w:val="000000"/>
                          <w:sz w:val="21"/>
                          <w:szCs w:val="21"/>
                          <w:vertAlign w:val="subscript"/>
                        </w:rPr>
                        <w:t>3</w:t>
                      </w:r>
                      <w:r w:rsidRPr="00BB7230">
                        <w:rPr>
                          <w:rFonts w:cs="Times New Roman"/>
                          <w:color w:val="000000"/>
                          <w:sz w:val="21"/>
                          <w:szCs w:val="21"/>
                        </w:rPr>
                        <w:t>=1</w:t>
                      </w:r>
                      <w:proofErr w:type="gramStart"/>
                      <w:r w:rsidRPr="00BB7230">
                        <w:rPr>
                          <w:rFonts w:cs="Times New Roman"/>
                          <w:color w:val="000000"/>
                          <w:sz w:val="21"/>
                          <w:szCs w:val="21"/>
                        </w:rPr>
                        <w:t>/[</w:t>
                      </w:r>
                      <w:proofErr w:type="gramEnd"/>
                      <w:r w:rsidRPr="00BB7230">
                        <w:rPr>
                          <w:rFonts w:cs="Times New Roman"/>
                          <w:color w:val="000000"/>
                          <w:sz w:val="21"/>
                          <w:szCs w:val="21"/>
                        </w:rPr>
                        <w:t>1 +(d×E</w:t>
                      </w:r>
                      <w:r w:rsidRPr="00BB7230">
                        <w:rPr>
                          <w:rFonts w:cs="Times New Roman"/>
                          <w:color w:val="000000"/>
                          <w:sz w:val="21"/>
                          <w:szCs w:val="21"/>
                          <w:vertAlign w:val="subscript"/>
                        </w:rPr>
                        <w:t>max</w:t>
                      </w:r>
                      <w:r w:rsidRPr="00BB7230">
                        <w:rPr>
                          <w:rFonts w:cs="Times New Roman"/>
                          <w:color w:val="000000"/>
                          <w:sz w:val="21"/>
                          <w:szCs w:val="21"/>
                        </w:rPr>
                        <w:t>×10×I</w:t>
                      </w:r>
                      <w:r w:rsidRPr="00BB7230">
                        <w:rPr>
                          <w:rFonts w:cs="Times New Roman"/>
                          <w:color w:val="000000"/>
                          <w:sz w:val="21"/>
                          <w:szCs w:val="21"/>
                          <w:vertAlign w:val="subscript"/>
                        </w:rPr>
                        <w:t>max,u</w:t>
                      </w:r>
                      <w:r w:rsidRPr="00BB7230">
                        <w:rPr>
                          <w:rFonts w:cs="Times New Roman"/>
                          <w:color w:val="000000"/>
                          <w:sz w:val="21"/>
                          <w:szCs w:val="21"/>
                        </w:rPr>
                        <w:t>)/(EC</w:t>
                      </w:r>
                      <w:r w:rsidRPr="00BB7230">
                        <w:rPr>
                          <w:rFonts w:cs="Times New Roman"/>
                          <w:color w:val="000000"/>
                          <w:sz w:val="21"/>
                          <w:szCs w:val="21"/>
                          <w:vertAlign w:val="subscript"/>
                        </w:rPr>
                        <w:t>50</w:t>
                      </w:r>
                      <w:r w:rsidRPr="00BB7230">
                        <w:rPr>
                          <w:rFonts w:cs="Times New Roman"/>
                          <w:color w:val="000000"/>
                          <w:sz w:val="21"/>
                          <w:szCs w:val="21"/>
                        </w:rPr>
                        <w:t>+(10×I</w:t>
                      </w:r>
                      <w:r w:rsidRPr="00BB7230">
                        <w:rPr>
                          <w:rFonts w:cs="Times New Roman"/>
                          <w:color w:val="000000"/>
                          <w:sz w:val="21"/>
                          <w:szCs w:val="21"/>
                          <w:vertAlign w:val="subscript"/>
                        </w:rPr>
                        <w:t>max,u</w:t>
                      </w:r>
                      <w:r w:rsidRPr="00BB7230">
                        <w:rPr>
                          <w:rFonts w:cs="Times New Roman"/>
                          <w:color w:val="000000"/>
                          <w:sz w:val="21"/>
                          <w:szCs w:val="21"/>
                        </w:rPr>
                        <w:t>))]</w:t>
                      </w:r>
                    </w:p>
                    <w:p w14:paraId="3D2BF936" w14:textId="11C08C00"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R</w:t>
                      </w:r>
                      <w:r w:rsidRPr="00BB7230">
                        <w:rPr>
                          <w:rFonts w:cs="Times New Roman"/>
                          <w:sz w:val="21"/>
                          <w:szCs w:val="21"/>
                          <w:vertAlign w:val="subscript"/>
                          <w:lang w:eastAsia="zh-CN"/>
                        </w:rPr>
                        <w:t>3</w:t>
                      </w:r>
                      <w:r>
                        <w:rPr>
                          <w:rFonts w:hAnsi="宋体" w:cs="Times New Roman" w:hint="eastAsia"/>
                          <w:sz w:val="21"/>
                          <w:szCs w:val="21"/>
                          <w:lang w:eastAsia="zh-CN"/>
                        </w:rPr>
                        <w:t>：</w:t>
                      </w:r>
                      <w:r w:rsidRPr="00BB7230">
                        <w:rPr>
                          <w:rFonts w:hAnsi="宋体" w:cs="Times New Roman"/>
                          <w:sz w:val="21"/>
                          <w:szCs w:val="21"/>
                          <w:lang w:eastAsia="zh-CN"/>
                        </w:rPr>
                        <w:t>预测</w:t>
                      </w:r>
                      <w:r w:rsidRPr="00BB7230">
                        <w:rPr>
                          <w:rFonts w:hAnsi="宋体" w:cs="Times New Roman" w:hint="eastAsia"/>
                          <w:sz w:val="21"/>
                          <w:szCs w:val="21"/>
                          <w:lang w:eastAsia="zh-CN"/>
                        </w:rPr>
                        <w:t>的指针底物在有和无</w:t>
                      </w:r>
                      <w:r w:rsidRPr="00BB7230">
                        <w:rPr>
                          <w:rFonts w:hAnsi="宋体" w:cs="Times New Roman"/>
                          <w:sz w:val="21"/>
                          <w:szCs w:val="21"/>
                          <w:lang w:eastAsia="zh-CN"/>
                        </w:rPr>
                        <w:t>诱导剂时</w:t>
                      </w:r>
                      <w:r w:rsidRPr="00BB7230">
                        <w:rPr>
                          <w:rFonts w:hAnsi="宋体" w:cs="Times New Roman" w:hint="eastAsia"/>
                          <w:sz w:val="21"/>
                          <w:szCs w:val="21"/>
                          <w:lang w:eastAsia="zh-CN"/>
                        </w:rPr>
                        <w:t>其受影响代谢途径固有清除率的</w:t>
                      </w:r>
                      <w:r w:rsidRPr="00BB7230">
                        <w:rPr>
                          <w:rFonts w:hAnsi="宋体" w:cs="Times New Roman"/>
                          <w:sz w:val="21"/>
                          <w:szCs w:val="21"/>
                          <w:lang w:eastAsia="zh-CN"/>
                        </w:rPr>
                        <w:t>比</w:t>
                      </w:r>
                      <w:r w:rsidRPr="00BB7230">
                        <w:rPr>
                          <w:rFonts w:hAnsi="宋体" w:cs="Times New Roman" w:hint="eastAsia"/>
                          <w:sz w:val="21"/>
                          <w:szCs w:val="21"/>
                          <w:lang w:eastAsia="zh-CN"/>
                        </w:rPr>
                        <w:t>值</w:t>
                      </w:r>
                      <w:r>
                        <w:rPr>
                          <w:rFonts w:hAnsi="宋体" w:cs="Times New Roman" w:hint="eastAsia"/>
                          <w:sz w:val="21"/>
                          <w:szCs w:val="21"/>
                          <w:lang w:eastAsia="zh-CN"/>
                        </w:rPr>
                        <w:t>；</w:t>
                      </w:r>
                    </w:p>
                    <w:p w14:paraId="5B04530C" w14:textId="60BD801D"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d</w:t>
                      </w:r>
                      <w:r>
                        <w:rPr>
                          <w:rFonts w:hAnsi="宋体" w:cs="Times New Roman" w:hint="eastAsia"/>
                          <w:sz w:val="21"/>
                          <w:szCs w:val="21"/>
                          <w:lang w:eastAsia="zh-CN"/>
                        </w:rPr>
                        <w:t>：</w:t>
                      </w:r>
                      <w:r w:rsidRPr="00BB7230">
                        <w:rPr>
                          <w:rFonts w:hAnsi="宋体" w:cs="Times New Roman"/>
                          <w:sz w:val="21"/>
                          <w:szCs w:val="21"/>
                          <w:lang w:eastAsia="zh-CN"/>
                        </w:rPr>
                        <w:t>比例因子，</w:t>
                      </w:r>
                      <w:r w:rsidRPr="00BB7230">
                        <w:rPr>
                          <w:rFonts w:hAnsi="宋体" w:cs="Times New Roman" w:hint="eastAsia"/>
                          <w:sz w:val="21"/>
                          <w:szCs w:val="21"/>
                          <w:lang w:eastAsia="zh-CN"/>
                        </w:rPr>
                        <w:t>通常默认</w:t>
                      </w:r>
                      <w:r w:rsidRPr="00BB7230">
                        <w:rPr>
                          <w:rFonts w:hAnsi="宋体" w:cs="Times New Roman"/>
                          <w:sz w:val="21"/>
                          <w:szCs w:val="21"/>
                          <w:lang w:eastAsia="zh-CN"/>
                        </w:rPr>
                        <w:t>为</w:t>
                      </w:r>
                      <w:r w:rsidRPr="00BB7230">
                        <w:rPr>
                          <w:rFonts w:cs="Times New Roman"/>
                          <w:sz w:val="21"/>
                          <w:szCs w:val="21"/>
                          <w:lang w:eastAsia="zh-CN"/>
                        </w:rPr>
                        <w:t>1</w:t>
                      </w:r>
                      <w:r w:rsidRPr="00BB7230">
                        <w:rPr>
                          <w:rFonts w:hAnsi="宋体" w:cs="Times New Roman"/>
                          <w:sz w:val="21"/>
                          <w:szCs w:val="21"/>
                          <w:lang w:eastAsia="zh-CN"/>
                        </w:rPr>
                        <w:t>，除非</w:t>
                      </w:r>
                      <w:r w:rsidRPr="00BB7230">
                        <w:rPr>
                          <w:rFonts w:hAnsi="宋体" w:cs="Times New Roman" w:hint="eastAsia"/>
                          <w:sz w:val="21"/>
                          <w:szCs w:val="21"/>
                          <w:lang w:eastAsia="zh-CN"/>
                        </w:rPr>
                        <w:t>先前使用</w:t>
                      </w:r>
                      <w:r w:rsidRPr="00BB7230">
                        <w:rPr>
                          <w:rFonts w:hAnsi="宋体" w:cs="Times New Roman"/>
                          <w:sz w:val="21"/>
                          <w:szCs w:val="21"/>
                          <w:lang w:eastAsia="zh-CN"/>
                        </w:rPr>
                        <w:t>此体系时</w:t>
                      </w:r>
                      <w:r w:rsidRPr="00BB7230">
                        <w:rPr>
                          <w:rFonts w:hAnsi="宋体" w:cs="Times New Roman" w:hint="eastAsia"/>
                          <w:sz w:val="21"/>
                          <w:szCs w:val="21"/>
                          <w:lang w:eastAsia="zh-CN"/>
                        </w:rPr>
                        <w:t>的研究数据可以</w:t>
                      </w:r>
                      <w:r w:rsidRPr="00BB7230">
                        <w:rPr>
                          <w:rFonts w:hAnsi="宋体" w:cs="Times New Roman"/>
                          <w:sz w:val="21"/>
                          <w:szCs w:val="21"/>
                          <w:lang w:eastAsia="zh-CN"/>
                        </w:rPr>
                        <w:t>帮助校正</w:t>
                      </w:r>
                      <w:r>
                        <w:rPr>
                          <w:rFonts w:hAnsi="宋体" w:cs="Times New Roman" w:hint="eastAsia"/>
                          <w:sz w:val="21"/>
                          <w:szCs w:val="21"/>
                          <w:lang w:eastAsia="zh-CN"/>
                        </w:rPr>
                        <w:t>；</w:t>
                      </w:r>
                    </w:p>
                    <w:p w14:paraId="4FF2E9AC" w14:textId="5E290F57"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E</w:t>
                      </w:r>
                      <w:r w:rsidRPr="00BB7230">
                        <w:rPr>
                          <w:rFonts w:cs="Times New Roman"/>
                          <w:sz w:val="21"/>
                          <w:szCs w:val="21"/>
                          <w:vertAlign w:val="subscript"/>
                          <w:lang w:eastAsia="zh-CN"/>
                        </w:rPr>
                        <w:t>max</w:t>
                      </w:r>
                      <w:r>
                        <w:rPr>
                          <w:rFonts w:hAnsi="宋体" w:cs="Times New Roman" w:hint="eastAsia"/>
                          <w:sz w:val="21"/>
                          <w:szCs w:val="21"/>
                          <w:lang w:eastAsia="zh-CN"/>
                        </w:rPr>
                        <w:t>：</w:t>
                      </w:r>
                      <w:r w:rsidRPr="00BB7230">
                        <w:rPr>
                          <w:rFonts w:hAnsi="宋体" w:cs="Times New Roman"/>
                          <w:sz w:val="21"/>
                          <w:szCs w:val="21"/>
                          <w:lang w:eastAsia="zh-CN"/>
                        </w:rPr>
                        <w:t>体外测定的最大诱导效应</w:t>
                      </w:r>
                      <w:r>
                        <w:rPr>
                          <w:rFonts w:hAnsi="宋体" w:cs="Times New Roman" w:hint="eastAsia"/>
                          <w:sz w:val="21"/>
                          <w:szCs w:val="21"/>
                          <w:lang w:eastAsia="zh-CN"/>
                        </w:rPr>
                        <w:t>；</w:t>
                      </w:r>
                    </w:p>
                    <w:p w14:paraId="34FB3E0E" w14:textId="3F02117C"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I</w:t>
                      </w:r>
                      <w:r w:rsidRPr="00BB7230">
                        <w:rPr>
                          <w:rFonts w:cs="Times New Roman"/>
                          <w:sz w:val="21"/>
                          <w:szCs w:val="21"/>
                          <w:vertAlign w:val="subscript"/>
                          <w:lang w:eastAsia="zh-CN"/>
                        </w:rPr>
                        <w:t>max,u</w:t>
                      </w:r>
                      <w:r>
                        <w:rPr>
                          <w:rFonts w:hAnsi="宋体" w:cs="Times New Roman" w:hint="eastAsia"/>
                          <w:sz w:val="21"/>
                          <w:szCs w:val="21"/>
                          <w:lang w:eastAsia="zh-CN"/>
                        </w:rPr>
                        <w:t>：</w:t>
                      </w:r>
                      <w:r w:rsidRPr="00BB7230">
                        <w:rPr>
                          <w:rFonts w:hAnsi="宋体" w:cs="Times New Roman" w:hint="eastAsia"/>
                          <w:sz w:val="21"/>
                          <w:szCs w:val="21"/>
                          <w:lang w:eastAsia="zh-CN"/>
                        </w:rPr>
                        <w:t>诱导剂稳态下</w:t>
                      </w:r>
                      <w:r w:rsidRPr="00BB7230">
                        <w:rPr>
                          <w:rFonts w:hAnsi="宋体" w:cs="Times New Roman"/>
                          <w:sz w:val="21"/>
                          <w:szCs w:val="21"/>
                          <w:lang w:eastAsia="zh-CN"/>
                        </w:rPr>
                        <w:t>的</w:t>
                      </w:r>
                      <w:proofErr w:type="gramStart"/>
                      <w:r w:rsidRPr="00BB7230">
                        <w:rPr>
                          <w:rFonts w:hAnsi="宋体" w:cs="Times New Roman"/>
                          <w:sz w:val="21"/>
                          <w:szCs w:val="21"/>
                          <w:lang w:eastAsia="zh-CN"/>
                        </w:rPr>
                        <w:t>最大未</w:t>
                      </w:r>
                      <w:proofErr w:type="gramEnd"/>
                      <w:r w:rsidRPr="00BB7230">
                        <w:rPr>
                          <w:rFonts w:hAnsi="宋体" w:cs="Times New Roman"/>
                          <w:sz w:val="21"/>
                          <w:szCs w:val="21"/>
                          <w:lang w:eastAsia="zh-CN"/>
                        </w:rPr>
                        <w:t>结合血浆浓度</w:t>
                      </w:r>
                      <w:r>
                        <w:rPr>
                          <w:rFonts w:hAnsi="宋体" w:cs="Times New Roman" w:hint="eastAsia"/>
                          <w:sz w:val="21"/>
                          <w:szCs w:val="21"/>
                          <w:lang w:eastAsia="zh-CN"/>
                        </w:rPr>
                        <w:t>；</w:t>
                      </w:r>
                      <w:r w:rsidRPr="00BB7230">
                        <w:rPr>
                          <w:rFonts w:cs="Times New Roman"/>
                          <w:sz w:val="21"/>
                          <w:szCs w:val="21"/>
                          <w:vertAlign w:val="superscript"/>
                          <w:lang w:eastAsia="zh-CN"/>
                        </w:rPr>
                        <w:t>*</w:t>
                      </w:r>
                    </w:p>
                    <w:p w14:paraId="25887F5F" w14:textId="4D65A0C1" w:rsidR="00921CF9" w:rsidRPr="00BB7230" w:rsidRDefault="00921CF9" w:rsidP="00B04AF8">
                      <w:pPr>
                        <w:spacing w:after="0" w:line="240" w:lineRule="auto"/>
                        <w:ind w:firstLine="420"/>
                        <w:rPr>
                          <w:rFonts w:cs="Times New Roman"/>
                          <w:sz w:val="21"/>
                          <w:szCs w:val="21"/>
                          <w:lang w:eastAsia="zh-CN"/>
                        </w:rPr>
                      </w:pPr>
                      <w:r w:rsidRPr="00BB7230">
                        <w:rPr>
                          <w:rFonts w:cs="Times New Roman"/>
                          <w:sz w:val="21"/>
                          <w:szCs w:val="21"/>
                          <w:lang w:eastAsia="zh-CN"/>
                        </w:rPr>
                        <w:t>EC</w:t>
                      </w:r>
                      <w:r w:rsidRPr="00BB7230">
                        <w:rPr>
                          <w:rFonts w:cs="Times New Roman"/>
                          <w:sz w:val="21"/>
                          <w:szCs w:val="21"/>
                          <w:vertAlign w:val="subscript"/>
                          <w:lang w:eastAsia="zh-CN"/>
                        </w:rPr>
                        <w:t>50</w:t>
                      </w:r>
                      <w:r>
                        <w:rPr>
                          <w:rFonts w:hAnsi="宋体" w:cs="Times New Roman" w:hint="eastAsia"/>
                          <w:sz w:val="21"/>
                          <w:szCs w:val="21"/>
                          <w:lang w:eastAsia="zh-CN"/>
                        </w:rPr>
                        <w:t>：</w:t>
                      </w:r>
                      <w:r w:rsidRPr="00BB7230">
                        <w:rPr>
                          <w:rFonts w:hAnsi="宋体" w:cs="Times New Roman"/>
                          <w:sz w:val="21"/>
                          <w:szCs w:val="21"/>
                          <w:lang w:eastAsia="zh-CN"/>
                        </w:rPr>
                        <w:t>引起体外半数最大效应的浓度。</w:t>
                      </w:r>
                    </w:p>
                    <w:p w14:paraId="008B22A7" w14:textId="77777777" w:rsidR="00921CF9" w:rsidRDefault="00921CF9" w:rsidP="00B04AF8">
                      <w:pPr>
                        <w:spacing w:after="0" w:line="240" w:lineRule="auto"/>
                        <w:ind w:firstLine="420"/>
                        <w:rPr>
                          <w:lang w:eastAsia="zh-CN"/>
                        </w:rPr>
                      </w:pPr>
                      <w:r w:rsidRPr="00BB7230">
                        <w:rPr>
                          <w:rFonts w:cs="Times New Roman"/>
                          <w:sz w:val="21"/>
                          <w:szCs w:val="21"/>
                          <w:vertAlign w:val="superscript"/>
                          <w:lang w:eastAsia="zh-CN"/>
                        </w:rPr>
                        <w:t>*</w:t>
                      </w:r>
                      <w:r w:rsidRPr="00BB7230">
                        <w:rPr>
                          <w:rFonts w:hAnsi="宋体" w:cs="Times New Roman"/>
                          <w:sz w:val="21"/>
                          <w:szCs w:val="21"/>
                          <w:lang w:eastAsia="zh-CN"/>
                        </w:rPr>
                        <w:t>考虑到蛋白结合测定的不确定性，如果试验测定结果</w:t>
                      </w:r>
                      <w:r w:rsidRPr="00BB7230">
                        <w:rPr>
                          <w:rFonts w:cs="Times New Roman"/>
                          <w:sz w:val="21"/>
                          <w:szCs w:val="21"/>
                          <w:lang w:eastAsia="zh-CN"/>
                        </w:rPr>
                        <w:t>&lt;1%</w:t>
                      </w:r>
                      <w:r w:rsidRPr="00BB7230">
                        <w:rPr>
                          <w:rFonts w:hAnsi="宋体" w:cs="Times New Roman"/>
                          <w:sz w:val="21"/>
                          <w:szCs w:val="21"/>
                          <w:lang w:eastAsia="zh-CN"/>
                        </w:rPr>
                        <w:t>，则血浆中未结合的部分应设定为</w:t>
                      </w:r>
                      <w:r w:rsidRPr="00BB7230">
                        <w:rPr>
                          <w:rFonts w:cs="Times New Roman"/>
                          <w:sz w:val="21"/>
                          <w:szCs w:val="21"/>
                          <w:lang w:eastAsia="zh-CN"/>
                        </w:rPr>
                        <w:t>1%</w:t>
                      </w:r>
                      <w:r w:rsidRPr="00BB7230">
                        <w:rPr>
                          <w:rFonts w:hAnsi="宋体" w:cs="Times New Roman"/>
                          <w:sz w:val="21"/>
                          <w:szCs w:val="21"/>
                          <w:lang w:eastAsia="zh-CN"/>
                        </w:rPr>
                        <w:t>（血浆中未结合的部分（</w:t>
                      </w:r>
                      <w:r w:rsidRPr="00BB7230">
                        <w:rPr>
                          <w:rFonts w:cs="Times New Roman"/>
                          <w:sz w:val="21"/>
                          <w:szCs w:val="21"/>
                          <w:lang w:eastAsia="zh-CN"/>
                        </w:rPr>
                        <w:t>f</w:t>
                      </w:r>
                      <w:r w:rsidRPr="00BB7230">
                        <w:rPr>
                          <w:rFonts w:cs="Times New Roman"/>
                          <w:sz w:val="21"/>
                          <w:szCs w:val="21"/>
                          <w:vertAlign w:val="subscript"/>
                          <w:lang w:eastAsia="zh-CN"/>
                        </w:rPr>
                        <w:t>u, p</w:t>
                      </w:r>
                      <w:r w:rsidRPr="00BB7230">
                        <w:rPr>
                          <w:rFonts w:hAnsi="宋体" w:cs="Times New Roman"/>
                          <w:sz w:val="21"/>
                          <w:szCs w:val="21"/>
                          <w:lang w:eastAsia="zh-CN"/>
                        </w:rPr>
                        <w:t>）</w:t>
                      </w:r>
                      <w:r w:rsidRPr="00BB7230">
                        <w:rPr>
                          <w:rFonts w:cs="Times New Roman"/>
                          <w:sz w:val="21"/>
                          <w:szCs w:val="21"/>
                          <w:lang w:eastAsia="zh-CN"/>
                        </w:rPr>
                        <w:t>= 0.01</w:t>
                      </w:r>
                      <w:r w:rsidRPr="00BB7230">
                        <w:rPr>
                          <w:rFonts w:hAnsi="宋体" w:cs="Times New Roman"/>
                          <w:sz w:val="21"/>
                          <w:szCs w:val="21"/>
                          <w:lang w:eastAsia="zh-CN"/>
                        </w:rPr>
                        <w:t>）。</w:t>
                      </w:r>
                    </w:p>
                  </w:txbxContent>
                </v:textbox>
              </v:shape>
            </w:pict>
          </mc:Fallback>
        </mc:AlternateContent>
      </w:r>
    </w:p>
    <w:p w14:paraId="26EE5970" w14:textId="5579CC53" w:rsidR="00A3135A" w:rsidRPr="009E464F" w:rsidRDefault="00A3135A" w:rsidP="0083505F">
      <w:pPr>
        <w:spacing w:line="500" w:lineRule="exact"/>
        <w:ind w:firstLineChars="62" w:firstLine="198"/>
        <w:jc w:val="center"/>
        <w:rPr>
          <w:rFonts w:cs="Times New Roman"/>
          <w:lang w:eastAsia="zh-CN"/>
        </w:rPr>
      </w:pPr>
    </w:p>
    <w:p w14:paraId="3D066E69" w14:textId="65E161E8" w:rsidR="00B04AF8" w:rsidRPr="00446341" w:rsidRDefault="00B04AF8" w:rsidP="0083505F">
      <w:pPr>
        <w:spacing w:line="500" w:lineRule="exact"/>
        <w:ind w:firstLine="640"/>
        <w:rPr>
          <w:rFonts w:cs="Times New Roman"/>
          <w:lang w:eastAsia="zh-CN"/>
        </w:rPr>
      </w:pPr>
    </w:p>
    <w:p w14:paraId="54B04259" w14:textId="77777777" w:rsidR="00CB0133" w:rsidRDefault="00CB0133" w:rsidP="0083505F">
      <w:pPr>
        <w:spacing w:line="500" w:lineRule="exact"/>
        <w:ind w:firstLine="640"/>
        <w:rPr>
          <w:rFonts w:cs="Times New Roman"/>
          <w:lang w:eastAsia="zh-CN"/>
        </w:rPr>
      </w:pPr>
    </w:p>
    <w:p w14:paraId="763F59F9" w14:textId="41BB9783" w:rsidR="00B04AF8" w:rsidRDefault="00B04AF8" w:rsidP="00CB0133">
      <w:pPr>
        <w:spacing w:after="0"/>
        <w:ind w:firstLine="640"/>
        <w:rPr>
          <w:rFonts w:cs="Times New Roman"/>
          <w:lang w:eastAsia="zh-CN"/>
        </w:rPr>
      </w:pPr>
      <w:r w:rsidRPr="009E464F">
        <w:rPr>
          <w:rFonts w:cs="Times New Roman"/>
          <w:lang w:eastAsia="zh-CN"/>
        </w:rPr>
        <w:t>在这些方法中，如果任</w:t>
      </w:r>
      <w:proofErr w:type="gramStart"/>
      <w:r w:rsidRPr="009E464F">
        <w:rPr>
          <w:rFonts w:cs="Times New Roman"/>
          <w:lang w:eastAsia="zh-CN"/>
        </w:rPr>
        <w:t>一</w:t>
      </w:r>
      <w:proofErr w:type="gramEnd"/>
      <w:r w:rsidRPr="009E464F">
        <w:rPr>
          <w:rFonts w:cs="Times New Roman"/>
          <w:lang w:eastAsia="zh-CN"/>
        </w:rPr>
        <w:t>方法的研究结果</w:t>
      </w:r>
      <w:r w:rsidR="00BC3B08">
        <w:rPr>
          <w:rFonts w:cs="Times New Roman" w:hint="eastAsia"/>
          <w:lang w:eastAsia="zh-CN"/>
        </w:rPr>
        <w:t>提示</w:t>
      </w:r>
      <w:r w:rsidRPr="009E464F">
        <w:rPr>
          <w:rFonts w:cs="Times New Roman"/>
          <w:lang w:eastAsia="zh-CN"/>
        </w:rPr>
        <w:t>在</w:t>
      </w:r>
      <w:proofErr w:type="gramStart"/>
      <w:r w:rsidRPr="009E464F">
        <w:rPr>
          <w:rFonts w:cs="Times New Roman"/>
          <w:lang w:eastAsia="zh-CN"/>
        </w:rPr>
        <w:t>研</w:t>
      </w:r>
      <w:proofErr w:type="gramEnd"/>
      <w:r w:rsidRPr="009E464F">
        <w:rPr>
          <w:rFonts w:cs="Times New Roman"/>
          <w:lang w:eastAsia="zh-CN"/>
        </w:rPr>
        <w:t>药物具有诱导代谢酶的潜力（可以采用由不同实验室针对方法</w:t>
      </w:r>
      <w:r w:rsidRPr="009E464F">
        <w:rPr>
          <w:rFonts w:cs="Times New Roman"/>
          <w:lang w:eastAsia="zh-CN"/>
        </w:rPr>
        <w:t>1</w:t>
      </w:r>
      <w:r w:rsidRPr="009E464F">
        <w:rPr>
          <w:rFonts w:cs="Times New Roman"/>
          <w:lang w:eastAsia="zh-CN"/>
        </w:rPr>
        <w:t>和</w:t>
      </w:r>
      <w:r w:rsidRPr="009E464F">
        <w:rPr>
          <w:rFonts w:cs="Times New Roman"/>
          <w:lang w:eastAsia="zh-CN"/>
        </w:rPr>
        <w:t>2</w:t>
      </w:r>
      <w:r w:rsidRPr="009E464F">
        <w:rPr>
          <w:rFonts w:cs="Times New Roman"/>
          <w:lang w:eastAsia="zh-CN"/>
        </w:rPr>
        <w:t>开发的特定临界值或者当</w:t>
      </w:r>
      <w:r w:rsidRPr="009E464F">
        <w:rPr>
          <w:rFonts w:cs="Times New Roman"/>
          <w:lang w:eastAsia="zh-CN"/>
        </w:rPr>
        <w:t>R</w:t>
      </w:r>
      <w:r w:rsidRPr="009E464F">
        <w:rPr>
          <w:rFonts w:cs="Times New Roman"/>
          <w:vertAlign w:val="subscript"/>
          <w:lang w:eastAsia="zh-CN"/>
        </w:rPr>
        <w:t>3</w:t>
      </w:r>
      <w:r w:rsidRPr="009E464F">
        <w:rPr>
          <w:rFonts w:cs="Times New Roman"/>
          <w:lang w:eastAsia="zh-CN"/>
        </w:rPr>
        <w:t>≤0.8</w:t>
      </w:r>
      <w:r w:rsidRPr="009E464F">
        <w:rPr>
          <w:rFonts w:cs="Times New Roman"/>
          <w:lang w:eastAsia="zh-CN"/>
        </w:rPr>
        <w:t>时）</w:t>
      </w:r>
      <w:r w:rsidRPr="009E464F">
        <w:rPr>
          <w:rFonts w:cs="Times New Roman"/>
          <w:lang w:eastAsia="zh-CN"/>
        </w:rPr>
        <w:t xml:space="preserve">,  </w:t>
      </w:r>
      <w:r w:rsidRPr="009E464F">
        <w:rPr>
          <w:rFonts w:cs="Times New Roman"/>
          <w:lang w:eastAsia="zh-CN"/>
        </w:rPr>
        <w:t>则应使用机制模型或敏感的指针底物进行临床药物相互作用研究，以进一步研究在</w:t>
      </w:r>
      <w:proofErr w:type="gramStart"/>
      <w:r w:rsidRPr="009E464F">
        <w:rPr>
          <w:rFonts w:cs="Times New Roman"/>
          <w:lang w:eastAsia="zh-CN"/>
        </w:rPr>
        <w:t>研</w:t>
      </w:r>
      <w:proofErr w:type="gramEnd"/>
      <w:r w:rsidRPr="009E464F">
        <w:rPr>
          <w:rFonts w:cs="Times New Roman"/>
          <w:lang w:eastAsia="zh-CN"/>
        </w:rPr>
        <w:t>药物</w:t>
      </w:r>
      <w:r w:rsidR="00BC3B08">
        <w:rPr>
          <w:rFonts w:cs="Times New Roman" w:hint="eastAsia"/>
          <w:lang w:eastAsia="zh-CN"/>
        </w:rPr>
        <w:t>对</w:t>
      </w:r>
      <w:r w:rsidRPr="009E464F">
        <w:rPr>
          <w:rFonts w:cs="Times New Roman"/>
          <w:lang w:eastAsia="zh-CN"/>
        </w:rPr>
        <w:t>代谢酶</w:t>
      </w:r>
      <w:r w:rsidR="00BC3B08">
        <w:rPr>
          <w:rFonts w:cs="Times New Roman" w:hint="eastAsia"/>
          <w:lang w:eastAsia="zh-CN"/>
        </w:rPr>
        <w:t>的</w:t>
      </w:r>
      <w:r w:rsidRPr="009E464F">
        <w:rPr>
          <w:rFonts w:cs="Times New Roman"/>
          <w:lang w:eastAsia="zh-CN"/>
        </w:rPr>
        <w:t>诱导能力。在有和无在</w:t>
      </w:r>
      <w:proofErr w:type="gramStart"/>
      <w:r w:rsidRPr="009E464F">
        <w:rPr>
          <w:rFonts w:cs="Times New Roman"/>
          <w:lang w:eastAsia="zh-CN"/>
        </w:rPr>
        <w:t>研</w:t>
      </w:r>
      <w:proofErr w:type="gramEnd"/>
      <w:r w:rsidRPr="009E464F">
        <w:rPr>
          <w:rFonts w:cs="Times New Roman"/>
          <w:lang w:eastAsia="zh-CN"/>
        </w:rPr>
        <w:t>药物的情况下，如果根据静态或动态机制模型（例如</w:t>
      </w:r>
      <w:r w:rsidRPr="009E464F">
        <w:rPr>
          <w:rFonts w:cs="Times New Roman"/>
          <w:lang w:eastAsia="zh-CN"/>
        </w:rPr>
        <w:t>PBPK</w:t>
      </w:r>
      <w:r w:rsidRPr="009E464F">
        <w:rPr>
          <w:rFonts w:cs="Times New Roman"/>
          <w:lang w:eastAsia="zh-CN"/>
        </w:rPr>
        <w:t>模型）得到敏感指针底物的预测</w:t>
      </w:r>
      <w:r w:rsidRPr="009E464F">
        <w:rPr>
          <w:rFonts w:cs="Times New Roman"/>
          <w:lang w:eastAsia="zh-CN"/>
        </w:rPr>
        <w:t>AUCR≤0.8</w:t>
      </w:r>
      <w:r w:rsidRPr="009E464F">
        <w:rPr>
          <w:rFonts w:cs="Times New Roman"/>
          <w:lang w:eastAsia="zh-CN"/>
        </w:rPr>
        <w:t>，则应使用敏感指针底物进行临床</w:t>
      </w:r>
      <w:r w:rsidR="00BC3B08">
        <w:rPr>
          <w:rFonts w:cs="Times New Roman" w:hint="eastAsia"/>
          <w:lang w:eastAsia="zh-CN"/>
        </w:rPr>
        <w:t>DDI</w:t>
      </w:r>
      <w:r w:rsidRPr="009E464F">
        <w:rPr>
          <w:rFonts w:cs="Times New Roman"/>
          <w:lang w:eastAsia="zh-CN"/>
        </w:rPr>
        <w:t>研究以进一步考察可能发生的药物相互作用。</w:t>
      </w:r>
    </w:p>
    <w:p w14:paraId="3F6003E1" w14:textId="63317605" w:rsidR="00EC0E5C" w:rsidRPr="009C17C3" w:rsidRDefault="005D7F90" w:rsidP="00CB0133">
      <w:pPr>
        <w:spacing w:after="0"/>
        <w:ind w:firstLine="640"/>
        <w:rPr>
          <w:rFonts w:cs="Times New Roman"/>
          <w:lang w:eastAsia="zh-CN"/>
        </w:rPr>
      </w:pPr>
      <w:r>
        <w:rPr>
          <w:rFonts w:cs="Times New Roman" w:hint="eastAsia"/>
          <w:lang w:eastAsia="zh-CN"/>
        </w:rPr>
        <w:t>（</w:t>
      </w:r>
      <w:r>
        <w:rPr>
          <w:rFonts w:cs="Times New Roman" w:hint="eastAsia"/>
          <w:lang w:eastAsia="zh-CN"/>
        </w:rPr>
        <w:t>3</w:t>
      </w:r>
      <w:r>
        <w:rPr>
          <w:rFonts w:cs="Times New Roman" w:hint="eastAsia"/>
          <w:lang w:eastAsia="zh-CN"/>
        </w:rPr>
        <w:t>）</w:t>
      </w:r>
      <w:r w:rsidR="00EC0E5C" w:rsidRPr="0083505F">
        <w:rPr>
          <w:rFonts w:cs="Times New Roman" w:hint="eastAsia"/>
          <w:lang w:eastAsia="zh-CN"/>
        </w:rPr>
        <w:t>其他注意事项</w:t>
      </w:r>
    </w:p>
    <w:p w14:paraId="35DE56F4" w14:textId="1B6D1EFA" w:rsidR="00EC0E5C" w:rsidRPr="009E464F" w:rsidRDefault="00EC0E5C" w:rsidP="00CB0133">
      <w:pPr>
        <w:spacing w:after="0"/>
        <w:ind w:firstLine="640"/>
        <w:rPr>
          <w:rFonts w:cs="Times New Roman"/>
          <w:lang w:eastAsia="zh-CN"/>
        </w:rPr>
      </w:pPr>
      <w:r w:rsidRPr="0083505F">
        <w:rPr>
          <w:rFonts w:cs="Times New Roman" w:hint="eastAsia"/>
          <w:lang w:eastAsia="zh-CN"/>
        </w:rPr>
        <w:t>使用</w:t>
      </w:r>
      <w:r w:rsidRPr="009E464F">
        <w:rPr>
          <w:rFonts w:cs="Times New Roman"/>
          <w:lang w:eastAsia="zh-CN"/>
        </w:rPr>
        <w:t>机制</w:t>
      </w:r>
      <w:r w:rsidRPr="0083505F">
        <w:rPr>
          <w:rFonts w:cs="Times New Roman" w:hint="eastAsia"/>
          <w:lang w:eastAsia="zh-CN"/>
        </w:rPr>
        <w:t>模型预测的</w:t>
      </w:r>
      <w:r w:rsidRPr="0083505F">
        <w:rPr>
          <w:rFonts w:cs="Times New Roman"/>
          <w:lang w:eastAsia="zh-CN"/>
        </w:rPr>
        <w:t>AUCR</w:t>
      </w:r>
      <w:r w:rsidRPr="0083505F">
        <w:rPr>
          <w:rFonts w:cs="Times New Roman" w:hint="eastAsia"/>
          <w:lang w:eastAsia="zh-CN"/>
        </w:rPr>
        <w:t>临界值</w:t>
      </w:r>
      <w:r w:rsidRPr="0083505F">
        <w:rPr>
          <w:rFonts w:cs="Times New Roman"/>
          <w:lang w:eastAsia="zh-CN"/>
        </w:rPr>
        <w:t>&gt;0.8</w:t>
      </w:r>
      <w:r w:rsidRPr="0083505F">
        <w:rPr>
          <w:rFonts w:cs="Times New Roman" w:hint="eastAsia"/>
          <w:lang w:eastAsia="zh-CN"/>
        </w:rPr>
        <w:t>（诱导）和</w:t>
      </w:r>
      <w:r w:rsidRPr="0083505F">
        <w:rPr>
          <w:rFonts w:cs="Times New Roman"/>
          <w:lang w:eastAsia="zh-CN"/>
        </w:rPr>
        <w:t>&lt;1.25</w:t>
      </w:r>
      <w:r w:rsidRPr="0083505F">
        <w:rPr>
          <w:rFonts w:cs="Times New Roman" w:hint="eastAsia"/>
          <w:lang w:eastAsia="zh-CN"/>
        </w:rPr>
        <w:t>（抑制）是</w:t>
      </w:r>
      <w:r>
        <w:rPr>
          <w:rFonts w:cs="Times New Roman" w:hint="eastAsia"/>
          <w:lang w:eastAsia="zh-CN"/>
        </w:rPr>
        <w:t>建议的阈值</w:t>
      </w:r>
      <w:r>
        <w:rPr>
          <w:rFonts w:cs="Times New Roman"/>
          <w:lang w:eastAsia="zh-CN"/>
        </w:rPr>
        <w:t>以提示</w:t>
      </w:r>
      <w:r>
        <w:rPr>
          <w:rFonts w:cs="Times New Roman" w:hint="eastAsia"/>
          <w:lang w:eastAsia="zh-CN"/>
        </w:rPr>
        <w:t>在</w:t>
      </w:r>
      <w:proofErr w:type="gramStart"/>
      <w:r>
        <w:rPr>
          <w:rFonts w:cs="Times New Roman" w:hint="eastAsia"/>
          <w:lang w:eastAsia="zh-CN"/>
        </w:rPr>
        <w:t>研</w:t>
      </w:r>
      <w:proofErr w:type="gramEnd"/>
      <w:r>
        <w:rPr>
          <w:rFonts w:cs="Times New Roman" w:hint="eastAsia"/>
          <w:lang w:eastAsia="zh-CN"/>
        </w:rPr>
        <w:t>药物</w:t>
      </w:r>
      <w:r w:rsidRPr="0083505F">
        <w:rPr>
          <w:rFonts w:cs="Times New Roman" w:hint="eastAsia"/>
          <w:lang w:eastAsia="zh-CN"/>
        </w:rPr>
        <w:t>对代谢酶</w:t>
      </w:r>
      <w:r>
        <w:rPr>
          <w:rFonts w:cs="Times New Roman" w:hint="eastAsia"/>
          <w:lang w:eastAsia="zh-CN"/>
        </w:rPr>
        <w:t>是否</w:t>
      </w:r>
      <w:r w:rsidRPr="0083505F">
        <w:rPr>
          <w:rFonts w:cs="Times New Roman" w:hint="eastAsia"/>
          <w:lang w:eastAsia="zh-CN"/>
        </w:rPr>
        <w:t>有影响。当评估</w:t>
      </w:r>
      <w:r>
        <w:rPr>
          <w:rFonts w:cs="Times New Roman" w:hint="eastAsia"/>
          <w:lang w:eastAsia="zh-CN"/>
        </w:rPr>
        <w:t>在</w:t>
      </w:r>
      <w:proofErr w:type="gramStart"/>
      <w:r>
        <w:rPr>
          <w:rFonts w:cs="Times New Roman" w:hint="eastAsia"/>
          <w:lang w:eastAsia="zh-CN"/>
        </w:rPr>
        <w:t>研</w:t>
      </w:r>
      <w:proofErr w:type="gramEnd"/>
      <w:r>
        <w:rPr>
          <w:rFonts w:cs="Times New Roman" w:hint="eastAsia"/>
          <w:lang w:eastAsia="zh-CN"/>
        </w:rPr>
        <w:t>药物</w:t>
      </w:r>
      <w:r w:rsidRPr="0083505F">
        <w:rPr>
          <w:rFonts w:cs="Times New Roman" w:hint="eastAsia"/>
          <w:lang w:eastAsia="zh-CN"/>
        </w:rPr>
        <w:t>是否是多种</w:t>
      </w:r>
      <w:r w:rsidRPr="0083505F">
        <w:rPr>
          <w:rFonts w:cs="Times New Roman"/>
          <w:lang w:eastAsia="zh-CN"/>
        </w:rPr>
        <w:t>CYP</w:t>
      </w:r>
      <w:r w:rsidRPr="0083505F">
        <w:rPr>
          <w:rFonts w:cs="Times New Roman" w:hint="eastAsia"/>
          <w:lang w:eastAsia="zh-CN"/>
        </w:rPr>
        <w:t>酶的抑制剂时，</w:t>
      </w:r>
      <w:r>
        <w:rPr>
          <w:rFonts w:cs="Times New Roman" w:hint="eastAsia"/>
          <w:lang w:eastAsia="zh-CN"/>
        </w:rPr>
        <w:t>可</w:t>
      </w:r>
      <w:r w:rsidRPr="0083505F">
        <w:rPr>
          <w:rFonts w:cs="Times New Roman" w:hint="eastAsia"/>
          <w:lang w:eastAsia="zh-CN"/>
        </w:rPr>
        <w:t>根据</w:t>
      </w:r>
      <w:r w:rsidRPr="0083505F">
        <w:rPr>
          <w:rFonts w:cs="Times New Roman"/>
          <w:lang w:eastAsia="zh-CN"/>
        </w:rPr>
        <w:t>R1</w:t>
      </w:r>
      <w:r w:rsidRPr="0083505F">
        <w:rPr>
          <w:rFonts w:cs="Times New Roman" w:hint="eastAsia"/>
          <w:lang w:eastAsia="zh-CN"/>
        </w:rPr>
        <w:t>、</w:t>
      </w:r>
      <w:r w:rsidRPr="0083505F">
        <w:rPr>
          <w:rFonts w:cs="Times New Roman"/>
          <w:lang w:eastAsia="zh-CN"/>
        </w:rPr>
        <w:t>R2</w:t>
      </w:r>
      <w:r w:rsidRPr="0083505F">
        <w:rPr>
          <w:rFonts w:cs="Times New Roman" w:hint="eastAsia"/>
          <w:lang w:eastAsia="zh-CN"/>
        </w:rPr>
        <w:t>的排序或预测的</w:t>
      </w:r>
      <w:r w:rsidRPr="0083505F">
        <w:rPr>
          <w:rFonts w:cs="Times New Roman"/>
          <w:lang w:eastAsia="zh-CN"/>
        </w:rPr>
        <w:t>AUCR</w:t>
      </w:r>
      <w:r w:rsidRPr="0083505F">
        <w:rPr>
          <w:rFonts w:cs="Times New Roman" w:hint="eastAsia"/>
          <w:lang w:eastAsia="zh-CN"/>
        </w:rPr>
        <w:t>值，优先使用在相同研究中获得的体外抑制参数</w:t>
      </w:r>
      <w:r>
        <w:rPr>
          <w:rFonts w:cs="Times New Roman" w:hint="eastAsia"/>
          <w:lang w:eastAsia="zh-CN"/>
        </w:rPr>
        <w:t>，对</w:t>
      </w:r>
      <w:proofErr w:type="gramStart"/>
      <w:r>
        <w:rPr>
          <w:rFonts w:cs="Times New Roman" w:hint="eastAsia"/>
          <w:lang w:eastAsia="zh-CN"/>
        </w:rPr>
        <w:t>各</w:t>
      </w:r>
      <w:r w:rsidRPr="0083505F">
        <w:rPr>
          <w:rFonts w:cs="Times New Roman" w:hint="eastAsia"/>
          <w:lang w:eastAsia="zh-CN"/>
        </w:rPr>
        <w:t>途径</w:t>
      </w:r>
      <w:proofErr w:type="gramEnd"/>
      <w:r w:rsidRPr="0083505F">
        <w:rPr>
          <w:rFonts w:cs="Times New Roman" w:hint="eastAsia"/>
          <w:lang w:eastAsia="zh-CN"/>
        </w:rPr>
        <w:t>的敏感指示</w:t>
      </w:r>
      <w:r>
        <w:rPr>
          <w:rFonts w:cs="Times New Roman" w:hint="eastAsia"/>
          <w:lang w:eastAsia="zh-CN"/>
        </w:rPr>
        <w:t>底物的</w:t>
      </w:r>
      <w:r w:rsidRPr="0083505F">
        <w:rPr>
          <w:rFonts w:cs="Times New Roman"/>
          <w:lang w:eastAsia="zh-CN"/>
        </w:rPr>
        <w:t>CYP</w:t>
      </w:r>
      <w:r w:rsidRPr="0083505F">
        <w:rPr>
          <w:rFonts w:cs="Times New Roman" w:hint="eastAsia"/>
          <w:lang w:eastAsia="zh-CN"/>
        </w:rPr>
        <w:t>酶的体内</w:t>
      </w:r>
      <w:r w:rsidRPr="0083505F">
        <w:rPr>
          <w:rFonts w:cs="Times New Roman"/>
          <w:lang w:eastAsia="zh-CN"/>
        </w:rPr>
        <w:t>DDI</w:t>
      </w:r>
      <w:r w:rsidRPr="0083505F">
        <w:rPr>
          <w:rFonts w:cs="Times New Roman" w:hint="eastAsia"/>
          <w:lang w:eastAsia="zh-CN"/>
        </w:rPr>
        <w:t>研究进行优先排序</w:t>
      </w:r>
      <w:r>
        <w:rPr>
          <w:rFonts w:cs="Times New Roman" w:hint="eastAsia"/>
          <w:lang w:eastAsia="zh-CN"/>
        </w:rPr>
        <w:t>，即</w:t>
      </w:r>
      <w:r>
        <w:rPr>
          <w:rFonts w:cs="Times New Roman"/>
          <w:lang w:eastAsia="zh-CN"/>
        </w:rPr>
        <w:t>：</w:t>
      </w:r>
      <w:r w:rsidRPr="0083505F">
        <w:rPr>
          <w:rFonts w:cs="Times New Roman" w:hint="eastAsia"/>
          <w:lang w:eastAsia="zh-CN"/>
        </w:rPr>
        <w:t>可首先使用具有最大</w:t>
      </w:r>
      <w:r w:rsidRPr="0083505F">
        <w:rPr>
          <w:rFonts w:cs="Times New Roman"/>
          <w:lang w:eastAsia="zh-CN"/>
        </w:rPr>
        <w:t>R</w:t>
      </w:r>
      <w:r w:rsidRPr="0083505F">
        <w:rPr>
          <w:rFonts w:cs="Times New Roman" w:hint="eastAsia"/>
          <w:lang w:eastAsia="zh-CN"/>
        </w:rPr>
        <w:t>或</w:t>
      </w:r>
      <w:r w:rsidRPr="0083505F">
        <w:rPr>
          <w:rFonts w:cs="Times New Roman"/>
          <w:lang w:eastAsia="zh-CN"/>
        </w:rPr>
        <w:t>AUCR</w:t>
      </w:r>
      <w:r w:rsidRPr="0083505F">
        <w:rPr>
          <w:rFonts w:cs="Times New Roman" w:hint="eastAsia"/>
          <w:lang w:eastAsia="zh-CN"/>
        </w:rPr>
        <w:lastRenderedPageBreak/>
        <w:t>值的</w:t>
      </w:r>
      <w:r w:rsidRPr="0083505F">
        <w:rPr>
          <w:rFonts w:cs="Times New Roman"/>
          <w:lang w:eastAsia="zh-CN"/>
        </w:rPr>
        <w:t>CYP</w:t>
      </w:r>
      <w:r w:rsidRPr="0083505F">
        <w:rPr>
          <w:rFonts w:cs="Times New Roman" w:hint="eastAsia"/>
          <w:lang w:eastAsia="zh-CN"/>
        </w:rPr>
        <w:t>的敏感指示底物进行体内研究。如果</w:t>
      </w:r>
      <w:r w:rsidR="00325912">
        <w:rPr>
          <w:rFonts w:cs="Times New Roman" w:hint="eastAsia"/>
          <w:lang w:eastAsia="zh-CN"/>
        </w:rPr>
        <w:t>该</w:t>
      </w:r>
      <w:r w:rsidRPr="0083505F">
        <w:rPr>
          <w:rFonts w:cs="Times New Roman" w:hint="eastAsia"/>
          <w:lang w:eastAsia="zh-CN"/>
        </w:rPr>
        <w:t>体内研究的结果显</w:t>
      </w:r>
      <w:r w:rsidR="00325912">
        <w:rPr>
          <w:rFonts w:cs="Times New Roman" w:hint="eastAsia"/>
          <w:lang w:eastAsia="zh-CN"/>
        </w:rPr>
        <w:t>未见</w:t>
      </w:r>
      <w:r w:rsidRPr="0083505F">
        <w:rPr>
          <w:rFonts w:cs="Times New Roman" w:hint="eastAsia"/>
          <w:lang w:eastAsia="zh-CN"/>
        </w:rPr>
        <w:t>相互作用，则无需再进行具有较低效力（如较小的</w:t>
      </w:r>
      <w:r w:rsidRPr="0083505F">
        <w:rPr>
          <w:rFonts w:cs="Times New Roman"/>
          <w:lang w:eastAsia="zh-CN"/>
        </w:rPr>
        <w:t>R</w:t>
      </w:r>
      <w:r w:rsidRPr="0083505F">
        <w:rPr>
          <w:rFonts w:cs="Times New Roman" w:hint="eastAsia"/>
          <w:lang w:eastAsia="zh-CN"/>
        </w:rPr>
        <w:t>或</w:t>
      </w:r>
      <w:r w:rsidRPr="0083505F">
        <w:rPr>
          <w:rFonts w:cs="Times New Roman"/>
          <w:lang w:eastAsia="zh-CN"/>
        </w:rPr>
        <w:t>AUCR</w:t>
      </w:r>
      <w:r w:rsidRPr="0083505F">
        <w:rPr>
          <w:rFonts w:cs="Times New Roman" w:hint="eastAsia"/>
          <w:lang w:eastAsia="zh-CN"/>
        </w:rPr>
        <w:t>）的体内其他</w:t>
      </w:r>
      <w:r w:rsidRPr="0083505F">
        <w:rPr>
          <w:rFonts w:cs="Times New Roman"/>
          <w:lang w:eastAsia="zh-CN"/>
        </w:rPr>
        <w:t>CYP</w:t>
      </w:r>
      <w:r w:rsidR="00325912">
        <w:rPr>
          <w:rFonts w:cs="Times New Roman" w:hint="eastAsia"/>
          <w:lang w:eastAsia="zh-CN"/>
        </w:rPr>
        <w:t>酶</w:t>
      </w:r>
      <w:r w:rsidRPr="0083505F">
        <w:rPr>
          <w:rFonts w:cs="Times New Roman" w:hint="eastAsia"/>
          <w:lang w:eastAsia="zh-CN"/>
        </w:rPr>
        <w:t>的评估。</w:t>
      </w:r>
      <w:r w:rsidR="00325912">
        <w:rPr>
          <w:rFonts w:cs="Times New Roman" w:hint="eastAsia"/>
          <w:lang w:eastAsia="zh-CN"/>
        </w:rPr>
        <w:t>但</w:t>
      </w:r>
      <w:r w:rsidR="00325912">
        <w:rPr>
          <w:rFonts w:cs="Times New Roman"/>
          <w:lang w:eastAsia="zh-CN"/>
        </w:rPr>
        <w:t>若</w:t>
      </w:r>
      <w:r w:rsidR="00325912">
        <w:rPr>
          <w:rFonts w:cs="Times New Roman" w:hint="eastAsia"/>
          <w:lang w:eastAsia="zh-CN"/>
        </w:rPr>
        <w:t>该</w:t>
      </w:r>
      <w:r w:rsidRPr="0083505F">
        <w:rPr>
          <w:rFonts w:cs="Times New Roman" w:hint="eastAsia"/>
          <w:lang w:eastAsia="zh-CN"/>
        </w:rPr>
        <w:t>体内研究的结果显示药物与敏感指示</w:t>
      </w:r>
      <w:r w:rsidRPr="0083505F">
        <w:rPr>
          <w:rFonts w:cs="Times New Roman"/>
          <w:lang w:eastAsia="zh-CN"/>
        </w:rPr>
        <w:t>CYP</w:t>
      </w:r>
      <w:r w:rsidR="00325912">
        <w:rPr>
          <w:rFonts w:cs="Times New Roman" w:hint="eastAsia"/>
          <w:lang w:eastAsia="zh-CN"/>
        </w:rPr>
        <w:t>酶</w:t>
      </w:r>
      <w:r w:rsidRPr="0083505F">
        <w:rPr>
          <w:rFonts w:cs="Times New Roman" w:hint="eastAsia"/>
          <w:lang w:eastAsia="zh-CN"/>
        </w:rPr>
        <w:t>底物之间存在相互作用，则应对其他</w:t>
      </w:r>
      <w:r w:rsidRPr="0083505F">
        <w:rPr>
          <w:rFonts w:cs="Times New Roman"/>
          <w:lang w:eastAsia="zh-CN"/>
        </w:rPr>
        <w:t>CYP</w:t>
      </w:r>
      <w:r w:rsidR="00325912">
        <w:rPr>
          <w:rFonts w:cs="Times New Roman" w:hint="eastAsia"/>
          <w:lang w:eastAsia="zh-CN"/>
        </w:rPr>
        <w:t>酶作</w:t>
      </w:r>
      <w:r w:rsidRPr="0083505F">
        <w:rPr>
          <w:rFonts w:cs="Times New Roman" w:hint="eastAsia"/>
          <w:lang w:eastAsia="zh-CN"/>
        </w:rPr>
        <w:t>进一步的体内研究，且应先从具有次最大</w:t>
      </w:r>
      <w:r w:rsidRPr="0083505F">
        <w:rPr>
          <w:rFonts w:cs="Times New Roman"/>
          <w:lang w:eastAsia="zh-CN"/>
        </w:rPr>
        <w:t>R</w:t>
      </w:r>
      <w:r w:rsidRPr="0083505F">
        <w:rPr>
          <w:rFonts w:cs="Times New Roman" w:hint="eastAsia"/>
          <w:lang w:eastAsia="zh-CN"/>
        </w:rPr>
        <w:t>或</w:t>
      </w:r>
      <w:r w:rsidRPr="0083505F">
        <w:rPr>
          <w:rFonts w:cs="Times New Roman"/>
          <w:lang w:eastAsia="zh-CN"/>
        </w:rPr>
        <w:t>AUCR</w:t>
      </w:r>
      <w:r w:rsidRPr="0083505F">
        <w:rPr>
          <w:rFonts w:cs="Times New Roman" w:hint="eastAsia"/>
          <w:lang w:eastAsia="zh-CN"/>
        </w:rPr>
        <w:t>值的</w:t>
      </w:r>
      <w:r w:rsidRPr="0083505F">
        <w:rPr>
          <w:rFonts w:cs="Times New Roman"/>
          <w:lang w:eastAsia="zh-CN"/>
        </w:rPr>
        <w:t>CYP</w:t>
      </w:r>
      <w:r w:rsidRPr="0083505F">
        <w:rPr>
          <w:rFonts w:cs="Times New Roman" w:hint="eastAsia"/>
          <w:lang w:eastAsia="zh-CN"/>
        </w:rPr>
        <w:t>开始。或可使用</w:t>
      </w:r>
      <w:r w:rsidRPr="0083505F">
        <w:rPr>
          <w:rFonts w:cs="Times New Roman"/>
          <w:lang w:eastAsia="zh-CN"/>
        </w:rPr>
        <w:t>PBPK</w:t>
      </w:r>
      <w:r w:rsidRPr="0083505F">
        <w:rPr>
          <w:rFonts w:cs="Times New Roman" w:hint="eastAsia"/>
          <w:lang w:eastAsia="zh-CN"/>
        </w:rPr>
        <w:t>模型来进行</w:t>
      </w:r>
      <w:r w:rsidR="00325912">
        <w:rPr>
          <w:rFonts w:cs="Times New Roman" w:hint="eastAsia"/>
          <w:lang w:eastAsia="zh-CN"/>
        </w:rPr>
        <w:t>额外的研究。</w:t>
      </w:r>
      <w:r w:rsidRPr="0083505F">
        <w:rPr>
          <w:rFonts w:cs="Times New Roman" w:hint="eastAsia"/>
          <w:lang w:eastAsia="zh-CN"/>
        </w:rPr>
        <w:t>应验证并更新所有</w:t>
      </w:r>
      <w:r w:rsidRPr="0083505F">
        <w:rPr>
          <w:rFonts w:cs="Times New Roman"/>
          <w:lang w:eastAsia="zh-CN"/>
        </w:rPr>
        <w:t>PBPK</w:t>
      </w:r>
      <w:r w:rsidRPr="0083505F">
        <w:rPr>
          <w:rFonts w:cs="Times New Roman" w:hint="eastAsia"/>
          <w:lang w:eastAsia="zh-CN"/>
        </w:rPr>
        <w:t>模型，以证明该模型能够充分描述第一次使用敏感指示底物的体内研究结果。</w:t>
      </w:r>
    </w:p>
    <w:p w14:paraId="776B8A02" w14:textId="469C3243" w:rsidR="006C3CFA" w:rsidRDefault="00B04AF8" w:rsidP="00CB0133">
      <w:pPr>
        <w:spacing w:after="0"/>
        <w:ind w:firstLine="640"/>
        <w:rPr>
          <w:rFonts w:cs="Times New Roman"/>
          <w:lang w:eastAsia="zh-CN"/>
        </w:rPr>
      </w:pPr>
      <w:r w:rsidRPr="009E464F">
        <w:rPr>
          <w:rFonts w:cs="Times New Roman"/>
          <w:lang w:eastAsia="zh-CN"/>
        </w:rPr>
        <w:t>评估在</w:t>
      </w:r>
      <w:proofErr w:type="gramStart"/>
      <w:r w:rsidRPr="009E464F">
        <w:rPr>
          <w:rFonts w:cs="Times New Roman"/>
          <w:lang w:eastAsia="zh-CN"/>
        </w:rPr>
        <w:t>研</w:t>
      </w:r>
      <w:proofErr w:type="gramEnd"/>
      <w:r w:rsidRPr="009E464F">
        <w:rPr>
          <w:rFonts w:cs="Times New Roman"/>
          <w:lang w:eastAsia="zh-CN"/>
        </w:rPr>
        <w:t>药物是否诱导代谢酶的体外试验的具体要求详见附录</w:t>
      </w:r>
      <w:r w:rsidRPr="009E464F">
        <w:rPr>
          <w:rFonts w:cs="Times New Roman"/>
          <w:lang w:eastAsia="zh-CN"/>
        </w:rPr>
        <w:t>3</w:t>
      </w:r>
      <w:r w:rsidRPr="009E464F">
        <w:rPr>
          <w:rFonts w:cs="Times New Roman"/>
          <w:lang w:eastAsia="zh-CN"/>
        </w:rPr>
        <w:t>。</w:t>
      </w:r>
    </w:p>
    <w:p w14:paraId="3A8D3A24" w14:textId="37F7AEF8" w:rsidR="00DA113E" w:rsidRPr="00A66268" w:rsidRDefault="006B20FA" w:rsidP="00A66268">
      <w:pPr>
        <w:widowControl w:val="0"/>
        <w:autoSpaceDE w:val="0"/>
        <w:autoSpaceDN w:val="0"/>
        <w:adjustRightInd w:val="0"/>
        <w:spacing w:after="0"/>
        <w:ind w:firstLine="640"/>
        <w:rPr>
          <w:rFonts w:eastAsia="楷体" w:cs="Times New Roman"/>
          <w:color w:val="000000"/>
          <w:szCs w:val="32"/>
          <w:lang w:eastAsia="zh-CN"/>
        </w:rPr>
      </w:pPr>
      <w:bookmarkStart w:id="6" w:name="_Toc50395968"/>
      <w:r w:rsidRPr="00A66268">
        <w:rPr>
          <w:rFonts w:eastAsia="楷体" w:cs="Times New Roman"/>
          <w:color w:val="000000"/>
          <w:szCs w:val="32"/>
          <w:lang w:eastAsia="zh-CN"/>
        </w:rPr>
        <w:t>（三）</w:t>
      </w:r>
      <w:r w:rsidR="00DA113E" w:rsidRPr="00A66268">
        <w:rPr>
          <w:rFonts w:eastAsia="楷体" w:cs="Times New Roman"/>
          <w:color w:val="000000"/>
          <w:szCs w:val="32"/>
          <w:lang w:eastAsia="zh-CN"/>
        </w:rPr>
        <w:t>转运体</w:t>
      </w:r>
      <w:proofErr w:type="gramStart"/>
      <w:r w:rsidR="00DA113E" w:rsidRPr="00A66268">
        <w:rPr>
          <w:rFonts w:eastAsia="楷体" w:cs="Times New Roman"/>
          <w:color w:val="000000"/>
          <w:szCs w:val="32"/>
          <w:lang w:eastAsia="zh-CN"/>
        </w:rPr>
        <w:t>介</w:t>
      </w:r>
      <w:proofErr w:type="gramEnd"/>
      <w:r w:rsidR="00DA113E" w:rsidRPr="00A66268">
        <w:rPr>
          <w:rFonts w:eastAsia="楷体" w:cs="Times New Roman"/>
          <w:color w:val="000000"/>
          <w:szCs w:val="32"/>
          <w:lang w:eastAsia="zh-CN"/>
        </w:rPr>
        <w:t>导</w:t>
      </w:r>
      <w:r w:rsidR="002870B8" w:rsidRPr="00A66268">
        <w:rPr>
          <w:rFonts w:eastAsia="楷体" w:cs="Times New Roman"/>
          <w:color w:val="000000"/>
          <w:szCs w:val="32"/>
          <w:lang w:eastAsia="zh-CN"/>
        </w:rPr>
        <w:t>的药物</w:t>
      </w:r>
      <w:r w:rsidR="00DA113E" w:rsidRPr="00A66268">
        <w:rPr>
          <w:rFonts w:eastAsia="楷体" w:cs="Times New Roman"/>
          <w:color w:val="000000"/>
          <w:szCs w:val="32"/>
          <w:lang w:eastAsia="zh-CN"/>
        </w:rPr>
        <w:t>相互作用</w:t>
      </w:r>
      <w:bookmarkEnd w:id="6"/>
    </w:p>
    <w:p w14:paraId="56FC453A" w14:textId="720858DC" w:rsidR="00DA113E" w:rsidRPr="009E464F" w:rsidRDefault="00DA113E" w:rsidP="00CB0133">
      <w:pPr>
        <w:spacing w:after="0"/>
        <w:ind w:firstLine="640"/>
        <w:rPr>
          <w:rFonts w:cs="Times New Roman"/>
          <w:lang w:eastAsia="zh-CN"/>
        </w:rPr>
      </w:pPr>
      <w:r w:rsidRPr="009E464F">
        <w:rPr>
          <w:rFonts w:cs="Times New Roman"/>
          <w:lang w:eastAsia="zh-CN"/>
        </w:rPr>
        <w:t>转运体通过</w:t>
      </w:r>
      <w:r w:rsidR="00B17540">
        <w:rPr>
          <w:rFonts w:cs="Times New Roman" w:hint="eastAsia"/>
          <w:lang w:eastAsia="zh-CN"/>
        </w:rPr>
        <w:t>影响</w:t>
      </w:r>
      <w:r w:rsidRPr="009E464F">
        <w:rPr>
          <w:rFonts w:cs="Times New Roman"/>
          <w:lang w:eastAsia="zh-CN"/>
        </w:rPr>
        <w:t>药物的吸收、分布和消除，对不同器官和组织中药物的药动学和药效学产生临床相关的影响。与肝脏和小肠中大量表达的药物代谢酶不同，转运体在人体全身的组织中</w:t>
      </w:r>
      <w:r w:rsidR="00CC16E6" w:rsidRPr="009E464F">
        <w:rPr>
          <w:rFonts w:cs="Times New Roman"/>
          <w:lang w:eastAsia="zh-CN"/>
        </w:rPr>
        <w:t>均有</w:t>
      </w:r>
      <w:r w:rsidRPr="009E464F">
        <w:rPr>
          <w:rFonts w:cs="Times New Roman"/>
          <w:lang w:eastAsia="zh-CN"/>
        </w:rPr>
        <w:t>表达，并</w:t>
      </w:r>
      <w:r w:rsidR="00F27E25">
        <w:rPr>
          <w:rFonts w:cs="Times New Roman" w:hint="eastAsia"/>
          <w:lang w:eastAsia="zh-CN"/>
        </w:rPr>
        <w:t>影响</w:t>
      </w:r>
      <w:r w:rsidRPr="009E464F">
        <w:rPr>
          <w:rFonts w:cs="Times New Roman"/>
          <w:lang w:eastAsia="zh-CN"/>
        </w:rPr>
        <w:t>内源性和外源性物质进入人体的各个部位。转运体与代谢酶协同作用可以</w:t>
      </w:r>
      <w:r w:rsidR="00F27E25">
        <w:rPr>
          <w:rFonts w:cs="Times New Roman" w:hint="eastAsia"/>
          <w:lang w:eastAsia="zh-CN"/>
        </w:rPr>
        <w:t>影响</w:t>
      </w:r>
      <w:r w:rsidRPr="009E464F">
        <w:rPr>
          <w:rFonts w:cs="Times New Roman"/>
          <w:lang w:eastAsia="zh-CN"/>
        </w:rPr>
        <w:t>药物的分布和药理作用</w:t>
      </w:r>
      <w:r w:rsidR="00B17540">
        <w:rPr>
          <w:rFonts w:cs="Times New Roman" w:hint="eastAsia"/>
          <w:lang w:eastAsia="zh-CN"/>
        </w:rPr>
        <w:t>，</w:t>
      </w:r>
      <w:r w:rsidR="00F27E25">
        <w:rPr>
          <w:rFonts w:cs="Times New Roman" w:hint="eastAsia"/>
          <w:lang w:eastAsia="zh-CN"/>
        </w:rPr>
        <w:t>同时</w:t>
      </w:r>
      <w:r w:rsidRPr="009E464F">
        <w:rPr>
          <w:rFonts w:cs="Times New Roman"/>
          <w:lang w:eastAsia="zh-CN"/>
        </w:rPr>
        <w:t>药物也可以影响转运体的表达或</w:t>
      </w:r>
      <w:r w:rsidR="00CC16E6" w:rsidRPr="009E464F">
        <w:rPr>
          <w:rFonts w:cs="Times New Roman"/>
          <w:lang w:eastAsia="zh-CN"/>
        </w:rPr>
        <w:t>活性</w:t>
      </w:r>
      <w:r w:rsidRPr="009E464F">
        <w:rPr>
          <w:rFonts w:cs="Times New Roman"/>
          <w:lang w:eastAsia="zh-CN"/>
        </w:rPr>
        <w:t>，从而导致内源性（如肌酸酐、葡萄糖）或外源性物质的选择性分布。</w:t>
      </w:r>
    </w:p>
    <w:p w14:paraId="26F8AD38" w14:textId="5B265C56" w:rsidR="00DA113E" w:rsidRPr="009E464F" w:rsidRDefault="00E9743A" w:rsidP="00CB0133">
      <w:pPr>
        <w:spacing w:after="0"/>
        <w:ind w:firstLine="640"/>
        <w:rPr>
          <w:rFonts w:cs="Times New Roman"/>
          <w:lang w:eastAsia="zh-CN"/>
        </w:rPr>
      </w:pPr>
      <w:r w:rsidRPr="0083505F">
        <w:rPr>
          <w:rFonts w:cs="Times New Roman" w:hint="eastAsia"/>
          <w:lang w:eastAsia="zh-CN"/>
        </w:rPr>
        <w:t>以下为临床应用中一些与药物相互作用有关的转运体：</w:t>
      </w:r>
    </w:p>
    <w:p w14:paraId="2D1A0D72" w14:textId="4FB51771" w:rsidR="00177B97" w:rsidRPr="000671AF" w:rsidRDefault="00DA113E" w:rsidP="00CB0133">
      <w:pPr>
        <w:spacing w:after="0"/>
        <w:ind w:firstLine="640"/>
        <w:rPr>
          <w:rFonts w:cs="Times New Roman"/>
        </w:rPr>
      </w:pPr>
      <w:r w:rsidRPr="0083505F">
        <w:rPr>
          <w:rFonts w:cs="Times New Roman"/>
          <w:lang w:eastAsia="zh-CN"/>
        </w:rPr>
        <w:t>P-</w:t>
      </w:r>
      <w:r w:rsidRPr="0083505F">
        <w:rPr>
          <w:rFonts w:cs="Times New Roman" w:hint="eastAsia"/>
          <w:lang w:eastAsia="zh-CN"/>
        </w:rPr>
        <w:t>糖蛋白（</w:t>
      </w:r>
      <w:r w:rsidRPr="0083505F">
        <w:rPr>
          <w:rFonts w:cs="Times New Roman"/>
          <w:lang w:eastAsia="zh-CN"/>
        </w:rPr>
        <w:t>P-glycoprotein</w:t>
      </w:r>
      <w:r w:rsidR="005D7F90">
        <w:rPr>
          <w:rFonts w:cs="Times New Roman" w:hint="eastAsia"/>
          <w:lang w:eastAsia="zh-CN"/>
        </w:rPr>
        <w:t>（</w:t>
      </w:r>
      <w:r w:rsidRPr="0083505F">
        <w:rPr>
          <w:rFonts w:cs="Times New Roman"/>
          <w:lang w:eastAsia="zh-CN"/>
        </w:rPr>
        <w:t>P-</w:t>
      </w:r>
      <w:proofErr w:type="spellStart"/>
      <w:r w:rsidRPr="0083505F">
        <w:rPr>
          <w:rFonts w:cs="Times New Roman"/>
          <w:lang w:eastAsia="zh-CN"/>
        </w:rPr>
        <w:t>gp</w:t>
      </w:r>
      <w:proofErr w:type="spellEnd"/>
      <w:r w:rsidR="005D7F90">
        <w:rPr>
          <w:rFonts w:cs="Times New Roman" w:hint="eastAsia"/>
          <w:lang w:eastAsia="zh-CN"/>
        </w:rPr>
        <w:t>）</w:t>
      </w:r>
      <w:r w:rsidRPr="0083505F">
        <w:rPr>
          <w:rFonts w:cs="Times New Roman" w:hint="eastAsia"/>
          <w:lang w:eastAsia="zh-CN"/>
        </w:rPr>
        <w:t>或多药耐药蛋白</w:t>
      </w:r>
      <w:r w:rsidRPr="0083505F">
        <w:rPr>
          <w:rFonts w:cs="Times New Roman"/>
          <w:lang w:eastAsia="zh-CN"/>
        </w:rPr>
        <w:t>1</w:t>
      </w:r>
      <w:r w:rsidRPr="0083505F">
        <w:rPr>
          <w:rFonts w:cs="Times New Roman" w:hint="eastAsia"/>
          <w:lang w:eastAsia="zh-CN"/>
        </w:rPr>
        <w:t>（</w:t>
      </w:r>
      <w:r w:rsidR="006B20FA" w:rsidRPr="0083505F">
        <w:rPr>
          <w:rFonts w:cs="Times New Roman"/>
          <w:lang w:eastAsia="zh-CN"/>
        </w:rPr>
        <w:t>Multi</w:t>
      </w:r>
      <w:r w:rsidRPr="0083505F">
        <w:rPr>
          <w:rFonts w:cs="Times New Roman"/>
          <w:lang w:eastAsia="zh-CN"/>
        </w:rPr>
        <w:t>-drug resistance 1 protein</w:t>
      </w:r>
      <w:r w:rsidRPr="0083505F">
        <w:rPr>
          <w:rFonts w:cs="Times New Roman" w:hint="eastAsia"/>
          <w:lang w:eastAsia="zh-CN"/>
        </w:rPr>
        <w:t>，</w:t>
      </w:r>
      <w:r w:rsidRPr="0083505F">
        <w:rPr>
          <w:rFonts w:cs="Times New Roman"/>
          <w:lang w:eastAsia="zh-CN"/>
        </w:rPr>
        <w:t>MDR1</w:t>
      </w:r>
      <w:r w:rsidRPr="0083505F">
        <w:rPr>
          <w:rFonts w:cs="Times New Roman" w:hint="eastAsia"/>
          <w:lang w:eastAsia="zh-CN"/>
        </w:rPr>
        <w:t>）；</w:t>
      </w:r>
    </w:p>
    <w:p w14:paraId="5B82888F" w14:textId="77777777" w:rsidR="00177B97" w:rsidRPr="000671AF" w:rsidRDefault="00DA113E" w:rsidP="00CB0133">
      <w:pPr>
        <w:spacing w:after="0"/>
        <w:ind w:firstLine="640"/>
        <w:rPr>
          <w:rFonts w:cs="Times New Roman"/>
        </w:rPr>
      </w:pPr>
      <w:r w:rsidRPr="0083505F">
        <w:rPr>
          <w:rFonts w:cs="Times New Roman" w:hint="eastAsia"/>
          <w:lang w:eastAsia="zh-CN"/>
        </w:rPr>
        <w:lastRenderedPageBreak/>
        <w:t>乳腺癌耐药蛋白（</w:t>
      </w:r>
      <w:r w:rsidR="006B20FA" w:rsidRPr="0083505F">
        <w:rPr>
          <w:rFonts w:cs="Times New Roman"/>
          <w:lang w:eastAsia="zh-CN"/>
        </w:rPr>
        <w:t xml:space="preserve">Breast </w:t>
      </w:r>
      <w:r w:rsidRPr="0083505F">
        <w:rPr>
          <w:rFonts w:cs="Times New Roman"/>
          <w:lang w:eastAsia="zh-CN"/>
        </w:rPr>
        <w:t>cancer resistance protein</w:t>
      </w:r>
      <w:r w:rsidRPr="0083505F">
        <w:rPr>
          <w:rFonts w:cs="Times New Roman" w:hint="eastAsia"/>
          <w:lang w:eastAsia="zh-CN"/>
        </w:rPr>
        <w:t>，</w:t>
      </w:r>
      <w:r w:rsidRPr="0083505F">
        <w:rPr>
          <w:rFonts w:cs="Times New Roman"/>
          <w:lang w:eastAsia="zh-CN"/>
        </w:rPr>
        <w:t>BCRP</w:t>
      </w:r>
      <w:r w:rsidRPr="0083505F">
        <w:rPr>
          <w:rFonts w:cs="Times New Roman" w:hint="eastAsia"/>
          <w:lang w:eastAsia="zh-CN"/>
        </w:rPr>
        <w:t>）；</w:t>
      </w:r>
    </w:p>
    <w:p w14:paraId="39BDADFE" w14:textId="77777777" w:rsidR="00177B97" w:rsidRPr="000671AF" w:rsidRDefault="00DA113E" w:rsidP="00CB0133">
      <w:pPr>
        <w:spacing w:after="0"/>
        <w:ind w:firstLine="640"/>
        <w:rPr>
          <w:rFonts w:cs="Times New Roman"/>
        </w:rPr>
      </w:pPr>
      <w:r w:rsidRPr="0083505F">
        <w:rPr>
          <w:rFonts w:cs="Times New Roman" w:hint="eastAsia"/>
          <w:lang w:eastAsia="zh-CN"/>
        </w:rPr>
        <w:t>有机阴离子转运多肽（</w:t>
      </w:r>
      <w:r w:rsidR="006B20FA" w:rsidRPr="0083505F">
        <w:rPr>
          <w:rFonts w:cs="Times New Roman"/>
          <w:lang w:eastAsia="zh-CN"/>
        </w:rPr>
        <w:t xml:space="preserve">Organic </w:t>
      </w:r>
      <w:r w:rsidRPr="0083505F">
        <w:rPr>
          <w:rFonts w:cs="Times New Roman"/>
          <w:lang w:eastAsia="zh-CN"/>
        </w:rPr>
        <w:t>anion transporting polypeptide</w:t>
      </w:r>
      <w:r w:rsidRPr="0083505F">
        <w:rPr>
          <w:rFonts w:cs="Times New Roman" w:hint="eastAsia"/>
          <w:lang w:eastAsia="zh-CN"/>
        </w:rPr>
        <w:t>，</w:t>
      </w:r>
      <w:r w:rsidRPr="0083505F">
        <w:rPr>
          <w:rFonts w:cs="Times New Roman"/>
          <w:lang w:eastAsia="zh-CN"/>
        </w:rPr>
        <w:t>OATP</w:t>
      </w:r>
      <w:r w:rsidRPr="0083505F">
        <w:rPr>
          <w:rFonts w:cs="Times New Roman" w:hint="eastAsia"/>
          <w:lang w:eastAsia="zh-CN"/>
        </w:rPr>
        <w:t>）</w:t>
      </w:r>
      <w:r w:rsidRPr="0083505F">
        <w:rPr>
          <w:rFonts w:cs="Times New Roman"/>
          <w:lang w:eastAsia="zh-CN"/>
        </w:rPr>
        <w:t>1B1/1B3</w:t>
      </w:r>
      <w:r w:rsidRPr="0083505F">
        <w:rPr>
          <w:rFonts w:cs="Times New Roman" w:hint="eastAsia"/>
          <w:lang w:eastAsia="zh-CN"/>
        </w:rPr>
        <w:t>；</w:t>
      </w:r>
    </w:p>
    <w:p w14:paraId="3CC8AD29" w14:textId="77777777" w:rsidR="00177B97" w:rsidRPr="000671AF" w:rsidRDefault="00DA113E" w:rsidP="00CB0133">
      <w:pPr>
        <w:spacing w:after="0"/>
        <w:ind w:firstLine="640"/>
        <w:rPr>
          <w:rFonts w:cs="Times New Roman"/>
        </w:rPr>
      </w:pPr>
      <w:r w:rsidRPr="0083505F">
        <w:rPr>
          <w:rFonts w:cs="Times New Roman" w:hint="eastAsia"/>
          <w:lang w:eastAsia="zh-CN"/>
        </w:rPr>
        <w:t>有机阴离子转运体（</w:t>
      </w:r>
      <w:r w:rsidR="006B20FA" w:rsidRPr="0083505F">
        <w:rPr>
          <w:rFonts w:cs="Times New Roman"/>
          <w:lang w:eastAsia="zh-CN"/>
        </w:rPr>
        <w:t xml:space="preserve">Organic </w:t>
      </w:r>
      <w:r w:rsidRPr="0083505F">
        <w:rPr>
          <w:rFonts w:cs="Times New Roman"/>
          <w:lang w:eastAsia="zh-CN"/>
        </w:rPr>
        <w:t>anion transporter</w:t>
      </w:r>
      <w:r w:rsidRPr="0083505F">
        <w:rPr>
          <w:rFonts w:cs="Times New Roman" w:hint="eastAsia"/>
          <w:lang w:eastAsia="zh-CN"/>
        </w:rPr>
        <w:t>，</w:t>
      </w:r>
      <w:r w:rsidRPr="0083505F">
        <w:rPr>
          <w:rFonts w:cs="Times New Roman"/>
          <w:lang w:eastAsia="zh-CN"/>
        </w:rPr>
        <w:t>OAT</w:t>
      </w:r>
      <w:r w:rsidRPr="0083505F">
        <w:rPr>
          <w:rFonts w:cs="Times New Roman" w:hint="eastAsia"/>
          <w:lang w:eastAsia="zh-CN"/>
        </w:rPr>
        <w:t>）</w:t>
      </w:r>
      <w:r w:rsidRPr="0083505F">
        <w:rPr>
          <w:rFonts w:cs="Times New Roman"/>
          <w:lang w:eastAsia="zh-CN"/>
        </w:rPr>
        <w:t>1/3</w:t>
      </w:r>
      <w:r w:rsidRPr="0083505F">
        <w:rPr>
          <w:rFonts w:cs="Times New Roman" w:hint="eastAsia"/>
          <w:lang w:eastAsia="zh-CN"/>
        </w:rPr>
        <w:t>；</w:t>
      </w:r>
    </w:p>
    <w:p w14:paraId="79A7C719" w14:textId="77777777" w:rsidR="00177B97" w:rsidRPr="000671AF" w:rsidRDefault="00DA113E" w:rsidP="00CB0133">
      <w:pPr>
        <w:spacing w:after="0"/>
        <w:ind w:firstLine="640"/>
        <w:rPr>
          <w:rFonts w:cs="Times New Roman"/>
        </w:rPr>
      </w:pPr>
      <w:r w:rsidRPr="0083505F">
        <w:rPr>
          <w:rFonts w:cs="Times New Roman" w:hint="eastAsia"/>
          <w:lang w:eastAsia="zh-CN"/>
        </w:rPr>
        <w:t>多药及毒性化合物外排转运体（</w:t>
      </w:r>
      <w:r w:rsidR="006B20FA" w:rsidRPr="0083505F">
        <w:rPr>
          <w:rFonts w:cs="Times New Roman"/>
          <w:lang w:eastAsia="zh-CN"/>
        </w:rPr>
        <w:t xml:space="preserve">Multidrug </w:t>
      </w:r>
      <w:r w:rsidRPr="0083505F">
        <w:rPr>
          <w:rFonts w:cs="Times New Roman"/>
          <w:lang w:eastAsia="zh-CN"/>
        </w:rPr>
        <w:t>and toxin extrusion</w:t>
      </w:r>
      <w:r w:rsidRPr="0083505F">
        <w:rPr>
          <w:rFonts w:cs="Times New Roman" w:hint="eastAsia"/>
          <w:lang w:eastAsia="zh-CN"/>
        </w:rPr>
        <w:t>，</w:t>
      </w:r>
      <w:r w:rsidRPr="0083505F">
        <w:rPr>
          <w:rFonts w:cs="Times New Roman"/>
          <w:lang w:eastAsia="zh-CN"/>
        </w:rPr>
        <w:t>MATEs</w:t>
      </w:r>
      <w:r w:rsidRPr="0083505F">
        <w:rPr>
          <w:rFonts w:cs="Times New Roman" w:hint="eastAsia"/>
          <w:lang w:eastAsia="zh-CN"/>
        </w:rPr>
        <w:t>）；</w:t>
      </w:r>
    </w:p>
    <w:p w14:paraId="4516E7C2" w14:textId="6EC98211" w:rsidR="00E9743A" w:rsidRPr="000671AF" w:rsidRDefault="00DA113E" w:rsidP="00CB0133">
      <w:pPr>
        <w:spacing w:after="0"/>
        <w:ind w:firstLine="640"/>
        <w:rPr>
          <w:rFonts w:cs="Times New Roman"/>
        </w:rPr>
      </w:pPr>
      <w:r w:rsidRPr="0083505F">
        <w:rPr>
          <w:rFonts w:cs="Times New Roman" w:hint="eastAsia"/>
          <w:lang w:eastAsia="zh-CN"/>
        </w:rPr>
        <w:t>有机阳离子转运体（</w:t>
      </w:r>
      <w:r w:rsidR="006B20FA" w:rsidRPr="0083505F">
        <w:rPr>
          <w:rFonts w:cs="Times New Roman"/>
          <w:lang w:eastAsia="zh-CN"/>
        </w:rPr>
        <w:t xml:space="preserve">Organic </w:t>
      </w:r>
      <w:r w:rsidRPr="0083505F">
        <w:rPr>
          <w:rFonts w:cs="Times New Roman"/>
          <w:lang w:eastAsia="zh-CN"/>
        </w:rPr>
        <w:t>cation transporter</w:t>
      </w:r>
      <w:r w:rsidRPr="0083505F">
        <w:rPr>
          <w:rFonts w:cs="Times New Roman" w:hint="eastAsia"/>
          <w:lang w:eastAsia="zh-CN"/>
        </w:rPr>
        <w:t>，</w:t>
      </w:r>
      <w:r w:rsidRPr="0083505F">
        <w:rPr>
          <w:rFonts w:cs="Times New Roman"/>
          <w:lang w:eastAsia="zh-CN"/>
        </w:rPr>
        <w:t>OCT</w:t>
      </w:r>
      <w:r w:rsidRPr="0083505F">
        <w:rPr>
          <w:rFonts w:cs="Times New Roman" w:hint="eastAsia"/>
          <w:lang w:eastAsia="zh-CN"/>
        </w:rPr>
        <w:t>）</w:t>
      </w:r>
      <w:r w:rsidRPr="0083505F">
        <w:rPr>
          <w:rFonts w:cs="Times New Roman"/>
          <w:lang w:eastAsia="zh-CN"/>
        </w:rPr>
        <w:t>2</w:t>
      </w:r>
      <w:r w:rsidR="00E9743A" w:rsidRPr="0083505F">
        <w:rPr>
          <w:rFonts w:cs="Times New Roman" w:hint="eastAsia"/>
          <w:lang w:eastAsia="zh-CN"/>
        </w:rPr>
        <w:t>。</w:t>
      </w:r>
    </w:p>
    <w:p w14:paraId="1AC5C543" w14:textId="438FBE23" w:rsidR="006C3CFA" w:rsidRPr="000671AF" w:rsidRDefault="002D4D37" w:rsidP="00CB0133">
      <w:pPr>
        <w:spacing w:after="0"/>
        <w:ind w:firstLineChars="150" w:firstLine="480"/>
        <w:rPr>
          <w:rFonts w:cs="Times New Roman"/>
          <w:szCs w:val="32"/>
          <w:lang w:eastAsia="zh-CN"/>
        </w:rPr>
      </w:pPr>
      <w:r w:rsidRPr="0083505F">
        <w:rPr>
          <w:rFonts w:cs="Times New Roman" w:hint="eastAsia"/>
          <w:szCs w:val="32"/>
          <w:lang w:eastAsia="zh-CN"/>
        </w:rPr>
        <w:t>如果临床</w:t>
      </w:r>
      <w:r w:rsidRPr="0083505F">
        <w:rPr>
          <w:rFonts w:cs="Times New Roman"/>
          <w:szCs w:val="32"/>
          <w:lang w:eastAsia="zh-CN"/>
        </w:rPr>
        <w:t>DDI</w:t>
      </w:r>
      <w:r w:rsidRPr="0083505F">
        <w:rPr>
          <w:rFonts w:cs="Times New Roman" w:hint="eastAsia"/>
          <w:szCs w:val="32"/>
          <w:lang w:eastAsia="zh-CN"/>
        </w:rPr>
        <w:t>研究只检测全身药物暴露量，</w:t>
      </w:r>
      <w:r w:rsidR="00E9743A" w:rsidRPr="0083505F">
        <w:rPr>
          <w:rFonts w:cs="Times New Roman" w:hint="eastAsia"/>
          <w:szCs w:val="32"/>
          <w:lang w:eastAsia="zh-CN"/>
        </w:rPr>
        <w:t>则</w:t>
      </w:r>
      <w:r w:rsidRPr="0083505F">
        <w:rPr>
          <w:rFonts w:cs="Times New Roman" w:hint="eastAsia"/>
          <w:szCs w:val="32"/>
          <w:lang w:eastAsia="zh-CN"/>
        </w:rPr>
        <w:t>由转运体</w:t>
      </w:r>
      <w:proofErr w:type="gramStart"/>
      <w:r w:rsidRPr="0083505F">
        <w:rPr>
          <w:rFonts w:cs="Times New Roman" w:hint="eastAsia"/>
          <w:szCs w:val="32"/>
          <w:lang w:eastAsia="zh-CN"/>
        </w:rPr>
        <w:t>介</w:t>
      </w:r>
      <w:proofErr w:type="gramEnd"/>
      <w:r w:rsidRPr="0083505F">
        <w:rPr>
          <w:rFonts w:cs="Times New Roman" w:hint="eastAsia"/>
          <w:szCs w:val="32"/>
          <w:lang w:eastAsia="zh-CN"/>
        </w:rPr>
        <w:t>导的药物相互</w:t>
      </w:r>
      <w:r w:rsidR="00B17540" w:rsidRPr="00446341">
        <w:rPr>
          <w:rFonts w:cs="Times New Roman"/>
          <w:szCs w:val="32"/>
          <w:lang w:eastAsia="zh-CN"/>
        </w:rPr>
        <w:t>作用的后果可能并不明显。但了解药物是否是这些关键转运体的底物</w:t>
      </w:r>
      <w:r w:rsidRPr="0083505F">
        <w:rPr>
          <w:rFonts w:cs="Times New Roman" w:hint="eastAsia"/>
          <w:szCs w:val="32"/>
          <w:lang w:eastAsia="zh-CN"/>
        </w:rPr>
        <w:t>或者相互作用药物（如抑制剂或诱导剂）可以解释一些临床结果</w:t>
      </w:r>
      <w:r w:rsidR="00E9743A" w:rsidRPr="0083505F">
        <w:rPr>
          <w:rFonts w:cs="Times New Roman" w:hint="eastAsia"/>
          <w:szCs w:val="32"/>
          <w:lang w:eastAsia="zh-CN"/>
        </w:rPr>
        <w:t>（</w:t>
      </w:r>
      <w:r w:rsidRPr="0083505F">
        <w:rPr>
          <w:rFonts w:cs="Times New Roman" w:hint="eastAsia"/>
          <w:szCs w:val="32"/>
          <w:lang w:eastAsia="zh-CN"/>
        </w:rPr>
        <w:t>如当药物是转运体的底物时，药物的组织分布改变可能会导致毒性增加或疗效变化</w:t>
      </w:r>
      <w:r w:rsidR="00E9743A" w:rsidRPr="0083505F">
        <w:rPr>
          <w:rFonts w:cs="Times New Roman" w:hint="eastAsia"/>
          <w:szCs w:val="32"/>
          <w:lang w:eastAsia="zh-CN"/>
        </w:rPr>
        <w:t>）</w:t>
      </w:r>
      <w:r w:rsidRPr="0083505F">
        <w:rPr>
          <w:rFonts w:cs="Times New Roman" w:hint="eastAsia"/>
          <w:szCs w:val="32"/>
          <w:lang w:eastAsia="zh-CN"/>
        </w:rPr>
        <w:t>。</w:t>
      </w:r>
    </w:p>
    <w:p w14:paraId="302D4F44" w14:textId="55C775F7" w:rsidR="00BF0140" w:rsidRPr="009E464F" w:rsidRDefault="00E9743A" w:rsidP="00CB0133">
      <w:pPr>
        <w:spacing w:after="0"/>
        <w:ind w:firstLine="640"/>
        <w:rPr>
          <w:rFonts w:cs="Times New Roman"/>
          <w:lang w:eastAsia="zh-CN"/>
        </w:rPr>
      </w:pPr>
      <w:r w:rsidRPr="00446341">
        <w:rPr>
          <w:rFonts w:cs="Times New Roman"/>
          <w:lang w:eastAsia="zh-CN"/>
        </w:rPr>
        <w:t>本节重点介绍已有临床证据表明参与药物相互作用的转运体</w:t>
      </w:r>
      <w:r w:rsidR="00B17540">
        <w:rPr>
          <w:rFonts w:cs="Times New Roman" w:hint="eastAsia"/>
          <w:lang w:eastAsia="zh-CN"/>
        </w:rPr>
        <w:t>。</w:t>
      </w:r>
      <w:r w:rsidR="00DA113E" w:rsidRPr="00446341">
        <w:rPr>
          <w:rFonts w:cs="Times New Roman"/>
          <w:lang w:eastAsia="zh-CN"/>
        </w:rPr>
        <w:t>当</w:t>
      </w:r>
      <w:r w:rsidR="006B20FA" w:rsidRPr="00446341">
        <w:rPr>
          <w:rFonts w:cs="Times New Roman"/>
          <w:lang w:eastAsia="zh-CN"/>
        </w:rPr>
        <w:t>在</w:t>
      </w:r>
      <w:proofErr w:type="gramStart"/>
      <w:r w:rsidR="006B20FA" w:rsidRPr="00446341">
        <w:rPr>
          <w:rFonts w:cs="Times New Roman"/>
          <w:lang w:eastAsia="zh-CN"/>
        </w:rPr>
        <w:t>研</w:t>
      </w:r>
      <w:proofErr w:type="gramEnd"/>
      <w:r w:rsidR="006B20FA" w:rsidRPr="00446341">
        <w:rPr>
          <w:rFonts w:cs="Times New Roman"/>
          <w:lang w:eastAsia="zh-CN"/>
        </w:rPr>
        <w:t>药物</w:t>
      </w:r>
      <w:r w:rsidR="00DA113E" w:rsidRPr="00446341">
        <w:rPr>
          <w:rFonts w:cs="Times New Roman"/>
          <w:lang w:eastAsia="zh-CN"/>
        </w:rPr>
        <w:t>为下列转运体的底物和</w:t>
      </w:r>
      <w:r w:rsidR="00DA113E" w:rsidRPr="00446341">
        <w:rPr>
          <w:rFonts w:cs="Times New Roman"/>
          <w:lang w:eastAsia="zh-CN"/>
        </w:rPr>
        <w:t>/</w:t>
      </w:r>
      <w:r w:rsidR="00DA113E" w:rsidRPr="00446341">
        <w:rPr>
          <w:rFonts w:cs="Times New Roman"/>
          <w:lang w:eastAsia="zh-CN"/>
        </w:rPr>
        <w:t>或</w:t>
      </w:r>
      <w:r w:rsidR="006558D9" w:rsidRPr="00446341">
        <w:rPr>
          <w:rFonts w:cs="Times New Roman"/>
          <w:lang w:eastAsia="zh-CN"/>
        </w:rPr>
        <w:t>抑制剂</w:t>
      </w:r>
      <w:r w:rsidR="00DA113E" w:rsidRPr="00446341">
        <w:rPr>
          <w:rFonts w:cs="Times New Roman"/>
          <w:lang w:eastAsia="zh-CN"/>
        </w:rPr>
        <w:t>时，</w:t>
      </w:r>
      <w:proofErr w:type="gramStart"/>
      <w:r w:rsidR="00DA113E" w:rsidRPr="00446341">
        <w:rPr>
          <w:rFonts w:cs="Times New Roman"/>
          <w:lang w:eastAsia="zh-CN"/>
        </w:rPr>
        <w:t>应评价</w:t>
      </w:r>
      <w:proofErr w:type="gramEnd"/>
      <w:r w:rsidR="00B17540">
        <w:rPr>
          <w:rFonts w:cs="Times New Roman" w:hint="eastAsia"/>
          <w:lang w:eastAsia="zh-CN"/>
        </w:rPr>
        <w:t>其</w:t>
      </w:r>
      <w:r w:rsidR="00DA113E" w:rsidRPr="00446341">
        <w:rPr>
          <w:rFonts w:cs="Times New Roman"/>
          <w:lang w:eastAsia="zh-CN"/>
        </w:rPr>
        <w:t>与转运体间的相互作用。每个转运体体外评估的时机可能</w:t>
      </w:r>
      <w:r w:rsidR="00DA113E" w:rsidRPr="009E464F">
        <w:rPr>
          <w:rFonts w:cs="Times New Roman"/>
          <w:lang w:eastAsia="zh-CN"/>
        </w:rPr>
        <w:t>因</w:t>
      </w:r>
      <w:r w:rsidR="006B20FA" w:rsidRPr="009E464F">
        <w:rPr>
          <w:rFonts w:cs="Times New Roman"/>
          <w:lang w:eastAsia="zh-CN"/>
        </w:rPr>
        <w:t>在</w:t>
      </w:r>
      <w:proofErr w:type="gramStart"/>
      <w:r w:rsidR="006B20FA" w:rsidRPr="009E464F">
        <w:rPr>
          <w:rFonts w:cs="Times New Roman"/>
          <w:lang w:eastAsia="zh-CN"/>
        </w:rPr>
        <w:t>研</w:t>
      </w:r>
      <w:proofErr w:type="gramEnd"/>
      <w:r w:rsidR="006B20FA" w:rsidRPr="009E464F">
        <w:rPr>
          <w:rFonts w:cs="Times New Roman"/>
          <w:lang w:eastAsia="zh-CN"/>
        </w:rPr>
        <w:t>药物</w:t>
      </w:r>
      <w:r w:rsidR="00DA113E" w:rsidRPr="009E464F">
        <w:rPr>
          <w:rFonts w:cs="Times New Roman"/>
          <w:lang w:eastAsia="zh-CN"/>
        </w:rPr>
        <w:t>的适应症</w:t>
      </w:r>
      <w:r w:rsidR="00CC16E6" w:rsidRPr="009E464F">
        <w:rPr>
          <w:rFonts w:cs="Times New Roman"/>
          <w:lang w:eastAsia="zh-CN"/>
        </w:rPr>
        <w:t>来确定</w:t>
      </w:r>
      <w:r w:rsidR="00B17540">
        <w:rPr>
          <w:rFonts w:cs="Times New Roman" w:hint="eastAsia"/>
          <w:lang w:eastAsia="zh-CN"/>
        </w:rPr>
        <w:t>（</w:t>
      </w:r>
      <w:r w:rsidR="00DA113E" w:rsidRPr="009E464F">
        <w:rPr>
          <w:rFonts w:cs="Times New Roman"/>
          <w:lang w:eastAsia="zh-CN"/>
        </w:rPr>
        <w:t>如</w:t>
      </w:r>
      <w:r w:rsidR="00B17540">
        <w:rPr>
          <w:rFonts w:cs="Times New Roman" w:hint="eastAsia"/>
          <w:lang w:eastAsia="zh-CN"/>
        </w:rPr>
        <w:t>：</w:t>
      </w:r>
      <w:r w:rsidR="00DA113E" w:rsidRPr="009E464F">
        <w:rPr>
          <w:rFonts w:cs="Times New Roman"/>
          <w:lang w:eastAsia="zh-CN"/>
        </w:rPr>
        <w:t>目标人群可能使用他</w:t>
      </w:r>
      <w:proofErr w:type="gramStart"/>
      <w:r w:rsidR="00DA113E" w:rsidRPr="009E464F">
        <w:rPr>
          <w:rFonts w:cs="Times New Roman"/>
          <w:lang w:eastAsia="zh-CN"/>
        </w:rPr>
        <w:t>汀</w:t>
      </w:r>
      <w:proofErr w:type="gramEnd"/>
      <w:r w:rsidR="00DA113E" w:rsidRPr="009E464F">
        <w:rPr>
          <w:rFonts w:cs="Times New Roman"/>
          <w:lang w:eastAsia="zh-CN"/>
        </w:rPr>
        <w:t>类药物，</w:t>
      </w:r>
      <w:r w:rsidR="007D233D">
        <w:rPr>
          <w:rFonts w:cs="Times New Roman" w:hint="eastAsia"/>
          <w:lang w:eastAsia="zh-CN"/>
        </w:rPr>
        <w:t>则</w:t>
      </w:r>
      <w:r w:rsidR="00DA113E" w:rsidRPr="009E464F">
        <w:rPr>
          <w:rFonts w:cs="Times New Roman"/>
          <w:lang w:eastAsia="zh-CN"/>
        </w:rPr>
        <w:t>在临床研究前，应评估</w:t>
      </w:r>
      <w:r w:rsidR="006B20FA" w:rsidRPr="009E464F">
        <w:rPr>
          <w:rFonts w:cs="Times New Roman"/>
          <w:lang w:eastAsia="zh-CN"/>
        </w:rPr>
        <w:t>在</w:t>
      </w:r>
      <w:proofErr w:type="gramStart"/>
      <w:r w:rsidR="006B20FA" w:rsidRPr="009E464F">
        <w:rPr>
          <w:rFonts w:cs="Times New Roman"/>
          <w:lang w:eastAsia="zh-CN"/>
        </w:rPr>
        <w:t>研</w:t>
      </w:r>
      <w:proofErr w:type="gramEnd"/>
      <w:r w:rsidR="006B20FA" w:rsidRPr="009E464F">
        <w:rPr>
          <w:rFonts w:cs="Times New Roman"/>
          <w:lang w:eastAsia="zh-CN"/>
        </w:rPr>
        <w:t>药物</w:t>
      </w:r>
      <w:r w:rsidR="00DA113E" w:rsidRPr="009E464F">
        <w:rPr>
          <w:rFonts w:cs="Times New Roman"/>
          <w:lang w:eastAsia="zh-CN"/>
        </w:rPr>
        <w:t>与</w:t>
      </w:r>
      <w:r w:rsidR="00DA113E" w:rsidRPr="009E464F">
        <w:rPr>
          <w:rFonts w:cs="Times New Roman"/>
          <w:lang w:eastAsia="zh-CN"/>
        </w:rPr>
        <w:t>OATP1B1/1B3</w:t>
      </w:r>
      <w:r w:rsidR="00DA113E" w:rsidRPr="009E464F">
        <w:rPr>
          <w:rFonts w:cs="Times New Roman"/>
          <w:lang w:eastAsia="zh-CN"/>
        </w:rPr>
        <w:t>之间是否存在潜在的相互作用</w:t>
      </w:r>
      <w:r w:rsidR="00B17540">
        <w:rPr>
          <w:rFonts w:cs="Times New Roman" w:hint="eastAsia"/>
          <w:lang w:eastAsia="zh-CN"/>
        </w:rPr>
        <w:t>；</w:t>
      </w:r>
      <w:r w:rsidR="007D233D">
        <w:rPr>
          <w:rFonts w:cs="Times New Roman" w:hint="eastAsia"/>
          <w:lang w:eastAsia="zh-CN"/>
        </w:rPr>
        <w:t>若</w:t>
      </w:r>
      <w:r w:rsidR="009D5C8E" w:rsidRPr="009E464F">
        <w:rPr>
          <w:rFonts w:cs="Times New Roman"/>
          <w:lang w:eastAsia="zh-CN"/>
        </w:rPr>
        <w:t>体外试验</w:t>
      </w:r>
      <w:r w:rsidR="00DA113E" w:rsidRPr="009E464F">
        <w:rPr>
          <w:rFonts w:cs="Times New Roman"/>
          <w:lang w:eastAsia="zh-CN"/>
        </w:rPr>
        <w:t>发现转运体与</w:t>
      </w:r>
      <w:r w:rsidR="006B20FA" w:rsidRPr="009E464F">
        <w:rPr>
          <w:rFonts w:cs="Times New Roman"/>
          <w:lang w:eastAsia="zh-CN"/>
        </w:rPr>
        <w:t>在</w:t>
      </w:r>
      <w:proofErr w:type="gramStart"/>
      <w:r w:rsidR="006B20FA" w:rsidRPr="009E464F">
        <w:rPr>
          <w:rFonts w:cs="Times New Roman"/>
          <w:lang w:eastAsia="zh-CN"/>
        </w:rPr>
        <w:t>研</w:t>
      </w:r>
      <w:proofErr w:type="gramEnd"/>
      <w:r w:rsidR="006B20FA" w:rsidRPr="009E464F">
        <w:rPr>
          <w:rFonts w:cs="Times New Roman"/>
          <w:lang w:eastAsia="zh-CN"/>
        </w:rPr>
        <w:t>药物</w:t>
      </w:r>
      <w:r w:rsidR="00DA113E" w:rsidRPr="009E464F">
        <w:rPr>
          <w:rFonts w:cs="Times New Roman"/>
          <w:lang w:eastAsia="zh-CN"/>
        </w:rPr>
        <w:t>发生相互作用的可能性很小，</w:t>
      </w:r>
      <w:r w:rsidR="007D233D">
        <w:rPr>
          <w:rFonts w:cs="Times New Roman" w:hint="eastAsia"/>
          <w:lang w:eastAsia="zh-CN"/>
        </w:rPr>
        <w:t>则</w:t>
      </w:r>
      <w:r w:rsidR="00DA113E" w:rsidRPr="009E464F">
        <w:rPr>
          <w:rFonts w:cs="Times New Roman"/>
          <w:lang w:eastAsia="zh-CN"/>
        </w:rPr>
        <w:t>可将服用他</w:t>
      </w:r>
      <w:proofErr w:type="gramStart"/>
      <w:r w:rsidR="00DA113E" w:rsidRPr="009E464F">
        <w:rPr>
          <w:rFonts w:cs="Times New Roman"/>
          <w:lang w:eastAsia="zh-CN"/>
        </w:rPr>
        <w:t>汀</w:t>
      </w:r>
      <w:proofErr w:type="gramEnd"/>
      <w:r w:rsidR="00DA113E" w:rsidRPr="009E464F">
        <w:rPr>
          <w:rFonts w:cs="Times New Roman"/>
          <w:lang w:eastAsia="zh-CN"/>
        </w:rPr>
        <w:t>类药物的受试者纳入临床研究中，以更好地代表目标患者群体</w:t>
      </w:r>
      <w:r w:rsidR="00B17540">
        <w:rPr>
          <w:rFonts w:cs="Times New Roman" w:hint="eastAsia"/>
          <w:lang w:eastAsia="zh-CN"/>
        </w:rPr>
        <w:t>）</w:t>
      </w:r>
      <w:r w:rsidR="00DA113E" w:rsidRPr="009E464F">
        <w:rPr>
          <w:rFonts w:cs="Times New Roman"/>
          <w:lang w:eastAsia="zh-CN"/>
        </w:rPr>
        <w:t>。</w:t>
      </w:r>
    </w:p>
    <w:p w14:paraId="5546B8D2" w14:textId="19B29ECF" w:rsidR="000F7990" w:rsidRPr="009E464F" w:rsidRDefault="002D5A7E" w:rsidP="00CB0133">
      <w:pPr>
        <w:spacing w:after="0"/>
        <w:ind w:firstLine="640"/>
        <w:rPr>
          <w:rFonts w:cs="Times New Roman"/>
          <w:lang w:eastAsia="zh-CN"/>
        </w:rPr>
      </w:pPr>
      <w:r>
        <w:rPr>
          <w:rFonts w:cs="Times New Roman"/>
          <w:lang w:eastAsia="zh-CN"/>
        </w:rPr>
        <w:lastRenderedPageBreak/>
        <w:t>1.</w:t>
      </w:r>
      <w:r w:rsidR="00D27BB0">
        <w:rPr>
          <w:rFonts w:cs="Times New Roman" w:hint="eastAsia"/>
          <w:lang w:eastAsia="zh-CN"/>
        </w:rPr>
        <w:t>评估</w:t>
      </w:r>
      <w:r w:rsidR="000F7990" w:rsidRPr="009E464F">
        <w:rPr>
          <w:rFonts w:cs="Times New Roman"/>
          <w:lang w:eastAsia="zh-CN"/>
        </w:rPr>
        <w:t>在</w:t>
      </w:r>
      <w:proofErr w:type="gramStart"/>
      <w:r w:rsidR="000F7990" w:rsidRPr="009E464F">
        <w:rPr>
          <w:rFonts w:cs="Times New Roman"/>
          <w:lang w:eastAsia="zh-CN"/>
        </w:rPr>
        <w:t>研</w:t>
      </w:r>
      <w:proofErr w:type="gramEnd"/>
      <w:r w:rsidR="000F7990" w:rsidRPr="009E464F">
        <w:rPr>
          <w:rFonts w:cs="Times New Roman"/>
          <w:lang w:eastAsia="zh-CN"/>
        </w:rPr>
        <w:t>药物</w:t>
      </w:r>
      <w:r w:rsidR="00D27BB0">
        <w:rPr>
          <w:rFonts w:cs="Times New Roman" w:hint="eastAsia"/>
          <w:lang w:eastAsia="zh-CN"/>
        </w:rPr>
        <w:t>是否</w:t>
      </w:r>
      <w:r w:rsidR="000F7990" w:rsidRPr="009E464F">
        <w:rPr>
          <w:rFonts w:cs="Times New Roman"/>
          <w:lang w:eastAsia="zh-CN"/>
        </w:rPr>
        <w:t>为转运体</w:t>
      </w:r>
      <w:r w:rsidR="00D27BB0">
        <w:rPr>
          <w:rFonts w:cs="Times New Roman" w:hint="eastAsia"/>
          <w:lang w:eastAsia="zh-CN"/>
        </w:rPr>
        <w:t>的</w:t>
      </w:r>
      <w:r w:rsidR="000F7990" w:rsidRPr="009E464F">
        <w:rPr>
          <w:rFonts w:cs="Times New Roman"/>
          <w:lang w:eastAsia="zh-CN"/>
        </w:rPr>
        <w:t>底物</w:t>
      </w:r>
    </w:p>
    <w:p w14:paraId="152D3752" w14:textId="38788CF3" w:rsidR="000F7990" w:rsidRPr="009E464F" w:rsidRDefault="003F60A7" w:rsidP="00CB0133">
      <w:pPr>
        <w:spacing w:after="0"/>
        <w:ind w:firstLine="640"/>
        <w:rPr>
          <w:rFonts w:cs="Times New Roman"/>
          <w:lang w:eastAsia="zh-CN"/>
        </w:rPr>
      </w:pPr>
      <w:r w:rsidRPr="009E464F">
        <w:rPr>
          <w:rFonts w:cs="Times New Roman"/>
          <w:lang w:eastAsia="zh-CN"/>
        </w:rPr>
        <w:t>（</w:t>
      </w:r>
      <w:r w:rsidR="000F7990" w:rsidRPr="009E464F">
        <w:rPr>
          <w:rFonts w:cs="Times New Roman"/>
          <w:lang w:eastAsia="zh-CN"/>
        </w:rPr>
        <w:t>1</w:t>
      </w:r>
      <w:r w:rsidR="000F7990" w:rsidRPr="009E464F">
        <w:rPr>
          <w:rFonts w:cs="Times New Roman"/>
          <w:lang w:eastAsia="zh-CN"/>
        </w:rPr>
        <w:t>）是否</w:t>
      </w:r>
      <w:r w:rsidR="00D27BB0">
        <w:rPr>
          <w:rFonts w:cs="Times New Roman" w:hint="eastAsia"/>
          <w:lang w:eastAsia="zh-CN"/>
        </w:rPr>
        <w:t>为</w:t>
      </w:r>
      <w:r w:rsidR="000F7990" w:rsidRPr="009E464F">
        <w:rPr>
          <w:rFonts w:cs="Times New Roman"/>
          <w:lang w:eastAsia="zh-CN"/>
        </w:rPr>
        <w:t>P-</w:t>
      </w:r>
      <w:proofErr w:type="spellStart"/>
      <w:r w:rsidR="000F7990" w:rsidRPr="009E464F">
        <w:rPr>
          <w:rFonts w:cs="Times New Roman"/>
          <w:lang w:eastAsia="zh-CN"/>
        </w:rPr>
        <w:t>gp</w:t>
      </w:r>
      <w:proofErr w:type="spellEnd"/>
      <w:r w:rsidR="000F7990" w:rsidRPr="009E464F">
        <w:rPr>
          <w:rFonts w:cs="Times New Roman"/>
          <w:lang w:eastAsia="zh-CN"/>
        </w:rPr>
        <w:t>和</w:t>
      </w:r>
      <w:r w:rsidR="000F7990" w:rsidRPr="009E464F">
        <w:rPr>
          <w:rFonts w:cs="Times New Roman"/>
          <w:lang w:eastAsia="zh-CN"/>
        </w:rPr>
        <w:t>BCRP</w:t>
      </w:r>
      <w:r w:rsidR="000F7990" w:rsidRPr="009E464F">
        <w:rPr>
          <w:rFonts w:cs="Times New Roman"/>
          <w:lang w:eastAsia="zh-CN"/>
        </w:rPr>
        <w:t>的底物</w:t>
      </w:r>
    </w:p>
    <w:p w14:paraId="625D285A" w14:textId="163C0EA2" w:rsidR="0010799A" w:rsidRDefault="005872EF" w:rsidP="00CB0133">
      <w:pPr>
        <w:spacing w:after="0"/>
        <w:ind w:firstLine="640"/>
        <w:rPr>
          <w:rFonts w:cs="Times New Roman"/>
          <w:lang w:eastAsia="zh-CN"/>
        </w:rPr>
      </w:pPr>
      <w:r>
        <w:rPr>
          <w:rFonts w:cs="Times New Roman" w:hint="eastAsia"/>
          <w:lang w:eastAsia="zh-CN"/>
        </w:rPr>
        <w:t>（</w:t>
      </w:r>
      <w:proofErr w:type="spellStart"/>
      <w:r>
        <w:rPr>
          <w:rFonts w:cs="Times New Roman"/>
          <w:lang w:eastAsia="zh-CN"/>
        </w:rPr>
        <w:t>i</w:t>
      </w:r>
      <w:proofErr w:type="spellEnd"/>
      <w:r>
        <w:rPr>
          <w:rFonts w:cs="Times New Roman"/>
          <w:lang w:eastAsia="zh-CN"/>
        </w:rPr>
        <w:t>）</w:t>
      </w:r>
      <w:r w:rsidR="0010799A">
        <w:rPr>
          <w:rFonts w:cs="Times New Roman" w:hint="eastAsia"/>
          <w:lang w:eastAsia="zh-CN"/>
        </w:rPr>
        <w:t>研究内容</w:t>
      </w:r>
    </w:p>
    <w:p w14:paraId="02AFEEE7" w14:textId="6D9834B0" w:rsidR="005872EF" w:rsidRDefault="000F7990" w:rsidP="00CB0133">
      <w:pPr>
        <w:spacing w:after="0"/>
        <w:ind w:firstLine="640"/>
        <w:rPr>
          <w:rFonts w:cs="Times New Roman"/>
          <w:lang w:eastAsia="zh-CN"/>
        </w:rPr>
      </w:pPr>
      <w:r w:rsidRPr="009E464F">
        <w:rPr>
          <w:rFonts w:cs="Times New Roman"/>
          <w:lang w:eastAsia="zh-CN"/>
        </w:rPr>
        <w:t>应</w:t>
      </w:r>
      <w:r w:rsidR="006D0B20" w:rsidRPr="009E464F">
        <w:rPr>
          <w:rFonts w:cs="Times New Roman"/>
          <w:lang w:eastAsia="zh-CN"/>
        </w:rPr>
        <w:t>通过体外研究</w:t>
      </w:r>
      <w:r w:rsidR="00BB41FB">
        <w:rPr>
          <w:rFonts w:cs="Times New Roman" w:hint="eastAsia"/>
          <w:lang w:eastAsia="zh-CN"/>
        </w:rPr>
        <w:t>评估</w:t>
      </w:r>
      <w:r w:rsidRPr="009E464F">
        <w:rPr>
          <w:rFonts w:cs="Times New Roman"/>
          <w:lang w:eastAsia="zh-CN"/>
        </w:rPr>
        <w:t>在</w:t>
      </w:r>
      <w:proofErr w:type="gramStart"/>
      <w:r w:rsidRPr="009E464F">
        <w:rPr>
          <w:rFonts w:cs="Times New Roman"/>
          <w:lang w:eastAsia="zh-CN"/>
        </w:rPr>
        <w:t>研</w:t>
      </w:r>
      <w:proofErr w:type="gramEnd"/>
      <w:r w:rsidRPr="009E464F">
        <w:rPr>
          <w:rFonts w:cs="Times New Roman"/>
          <w:lang w:eastAsia="zh-CN"/>
        </w:rPr>
        <w:t>药物是否</w:t>
      </w:r>
      <w:r w:rsidR="006D0B20" w:rsidRPr="009E464F">
        <w:rPr>
          <w:rFonts w:cs="Times New Roman"/>
          <w:lang w:eastAsia="zh-CN"/>
        </w:rPr>
        <w:t>为</w:t>
      </w:r>
      <w:r w:rsidRPr="009E464F">
        <w:rPr>
          <w:rFonts w:cs="Times New Roman"/>
          <w:lang w:eastAsia="zh-CN"/>
        </w:rPr>
        <w:t>P-</w:t>
      </w:r>
      <w:proofErr w:type="spellStart"/>
      <w:r w:rsidRPr="009E464F">
        <w:rPr>
          <w:rFonts w:cs="Times New Roman"/>
          <w:lang w:eastAsia="zh-CN"/>
        </w:rPr>
        <w:t>gp</w:t>
      </w:r>
      <w:proofErr w:type="spellEnd"/>
      <w:r w:rsidRPr="009E464F">
        <w:rPr>
          <w:rFonts w:cs="Times New Roman"/>
          <w:lang w:eastAsia="zh-CN"/>
        </w:rPr>
        <w:t>和</w:t>
      </w:r>
      <w:r w:rsidRPr="009E464F">
        <w:rPr>
          <w:rFonts w:cs="Times New Roman"/>
          <w:lang w:eastAsia="zh-CN"/>
        </w:rPr>
        <w:t>BCRP</w:t>
      </w:r>
      <w:r w:rsidRPr="009E464F">
        <w:rPr>
          <w:rFonts w:cs="Times New Roman"/>
          <w:lang w:eastAsia="zh-CN"/>
        </w:rPr>
        <w:t>的底物。</w:t>
      </w:r>
      <w:r w:rsidRPr="009E464F">
        <w:rPr>
          <w:rFonts w:cs="Times New Roman"/>
          <w:lang w:eastAsia="zh-CN"/>
        </w:rPr>
        <w:t>P-</w:t>
      </w:r>
      <w:proofErr w:type="spellStart"/>
      <w:r w:rsidRPr="009E464F">
        <w:rPr>
          <w:rFonts w:cs="Times New Roman"/>
          <w:lang w:eastAsia="zh-CN"/>
        </w:rPr>
        <w:t>gp</w:t>
      </w:r>
      <w:proofErr w:type="spellEnd"/>
      <w:r w:rsidRPr="009E464F">
        <w:rPr>
          <w:rFonts w:cs="Times New Roman"/>
          <w:lang w:eastAsia="zh-CN"/>
        </w:rPr>
        <w:t>和</w:t>
      </w:r>
      <w:r w:rsidRPr="009E464F">
        <w:rPr>
          <w:rFonts w:cs="Times New Roman"/>
          <w:lang w:eastAsia="zh-CN"/>
        </w:rPr>
        <w:t>BCRP</w:t>
      </w:r>
      <w:r w:rsidRPr="009E464F">
        <w:rPr>
          <w:rFonts w:cs="Times New Roman"/>
          <w:lang w:eastAsia="zh-CN"/>
        </w:rPr>
        <w:t>不影响高渗透性和高溶解度药物的口服生物利用度</w:t>
      </w:r>
      <w:r w:rsidR="00A14E9A">
        <w:rPr>
          <w:rFonts w:cs="Times New Roman" w:hint="eastAsia"/>
          <w:lang w:eastAsia="zh-CN"/>
        </w:rPr>
        <w:t>，该</w:t>
      </w:r>
      <w:r w:rsidRPr="009E464F">
        <w:rPr>
          <w:rFonts w:cs="Times New Roman"/>
          <w:lang w:eastAsia="zh-CN"/>
        </w:rPr>
        <w:t>类药物</w:t>
      </w:r>
      <w:r w:rsidR="0065254C" w:rsidRPr="009E464F">
        <w:rPr>
          <w:rFonts w:cs="Times New Roman"/>
          <w:lang w:eastAsia="zh-CN"/>
        </w:rPr>
        <w:t>无需考察是否为</w:t>
      </w:r>
      <w:r w:rsidR="0065254C" w:rsidRPr="009E464F">
        <w:rPr>
          <w:rFonts w:cs="Times New Roman"/>
          <w:lang w:eastAsia="zh-CN"/>
        </w:rPr>
        <w:t>P-</w:t>
      </w:r>
      <w:proofErr w:type="spellStart"/>
      <w:r w:rsidR="0065254C" w:rsidRPr="009E464F">
        <w:rPr>
          <w:rFonts w:cs="Times New Roman"/>
          <w:lang w:eastAsia="zh-CN"/>
        </w:rPr>
        <w:t>gp</w:t>
      </w:r>
      <w:proofErr w:type="spellEnd"/>
      <w:r w:rsidR="0065254C" w:rsidRPr="009E464F">
        <w:rPr>
          <w:rFonts w:cs="Times New Roman"/>
          <w:lang w:eastAsia="zh-CN"/>
        </w:rPr>
        <w:t>和</w:t>
      </w:r>
      <w:r w:rsidR="0065254C" w:rsidRPr="009E464F">
        <w:rPr>
          <w:rFonts w:cs="Times New Roman"/>
          <w:lang w:eastAsia="zh-CN"/>
        </w:rPr>
        <w:t>BCRP</w:t>
      </w:r>
      <w:r w:rsidR="0065254C" w:rsidRPr="009E464F">
        <w:rPr>
          <w:rFonts w:cs="Times New Roman"/>
          <w:lang w:eastAsia="zh-CN"/>
        </w:rPr>
        <w:t>的底物</w:t>
      </w:r>
      <w:r w:rsidRPr="009E464F">
        <w:rPr>
          <w:rFonts w:cs="Times New Roman"/>
          <w:lang w:eastAsia="zh-CN"/>
        </w:rPr>
        <w:t>，除非</w:t>
      </w:r>
      <w:r w:rsidR="0065254C" w:rsidRPr="009E464F">
        <w:rPr>
          <w:rFonts w:cs="Times New Roman"/>
          <w:lang w:eastAsia="zh-CN"/>
        </w:rPr>
        <w:t>这些</w:t>
      </w:r>
      <w:r w:rsidRPr="009E464F">
        <w:rPr>
          <w:rFonts w:cs="Times New Roman"/>
          <w:lang w:eastAsia="zh-CN"/>
        </w:rPr>
        <w:t>药物分布到</w:t>
      </w:r>
      <w:r w:rsidR="0065254C" w:rsidRPr="009E464F">
        <w:rPr>
          <w:rFonts w:cs="Times New Roman"/>
          <w:lang w:eastAsia="zh-CN"/>
        </w:rPr>
        <w:t>某些</w:t>
      </w:r>
      <w:r w:rsidRPr="009E464F">
        <w:rPr>
          <w:rFonts w:cs="Times New Roman"/>
          <w:lang w:eastAsia="zh-CN"/>
        </w:rPr>
        <w:t>组织中</w:t>
      </w:r>
      <w:r w:rsidR="0065254C" w:rsidRPr="009E464F">
        <w:rPr>
          <w:rFonts w:cs="Times New Roman"/>
          <w:lang w:eastAsia="zh-CN"/>
        </w:rPr>
        <w:t>会</w:t>
      </w:r>
      <w:r w:rsidRPr="009E464F">
        <w:rPr>
          <w:rFonts w:cs="Times New Roman"/>
          <w:lang w:eastAsia="zh-CN"/>
        </w:rPr>
        <w:t>存在安全</w:t>
      </w:r>
      <w:r w:rsidR="0065254C" w:rsidRPr="009E464F">
        <w:rPr>
          <w:rFonts w:cs="Times New Roman"/>
          <w:lang w:eastAsia="zh-CN"/>
        </w:rPr>
        <w:t>性问题</w:t>
      </w:r>
      <w:r w:rsidRPr="009E464F">
        <w:rPr>
          <w:rFonts w:cs="Times New Roman"/>
          <w:lang w:eastAsia="zh-CN"/>
        </w:rPr>
        <w:t>（比如肝脏和大脑）。</w:t>
      </w:r>
    </w:p>
    <w:p w14:paraId="401ABD4C" w14:textId="032A4019" w:rsidR="00B17540" w:rsidRDefault="005872EF" w:rsidP="00CB0133">
      <w:pPr>
        <w:spacing w:after="0"/>
        <w:ind w:firstLine="640"/>
        <w:rPr>
          <w:rFonts w:cs="Times New Roman"/>
          <w:lang w:eastAsia="zh-CN"/>
        </w:rPr>
      </w:pPr>
      <w:r>
        <w:rPr>
          <w:rFonts w:cs="Times New Roman" w:hint="eastAsia"/>
          <w:lang w:eastAsia="zh-CN"/>
        </w:rPr>
        <w:t>（</w:t>
      </w:r>
      <w:r>
        <w:rPr>
          <w:rFonts w:cs="Times New Roman" w:hint="eastAsia"/>
          <w:lang w:eastAsia="zh-CN"/>
        </w:rPr>
        <w:t>ii</w:t>
      </w:r>
      <w:r>
        <w:rPr>
          <w:rFonts w:cs="Times New Roman" w:hint="eastAsia"/>
          <w:lang w:eastAsia="zh-CN"/>
        </w:rPr>
        <w:t>）</w:t>
      </w:r>
      <w:r>
        <w:rPr>
          <w:rFonts w:cs="Times New Roman"/>
          <w:lang w:eastAsia="zh-CN"/>
        </w:rPr>
        <w:t>数据分析</w:t>
      </w:r>
    </w:p>
    <w:p w14:paraId="12A2F9F0" w14:textId="6F71C61E" w:rsidR="00D50183" w:rsidRDefault="00D50183" w:rsidP="00CB0133">
      <w:pPr>
        <w:spacing w:after="0"/>
        <w:ind w:firstLine="640"/>
        <w:rPr>
          <w:rFonts w:cs="Times New Roman"/>
          <w:lang w:eastAsia="zh-CN"/>
        </w:rPr>
      </w:pPr>
      <w:r w:rsidRPr="009E464F">
        <w:rPr>
          <w:rFonts w:cs="Times New Roman"/>
          <w:lang w:eastAsia="zh-CN"/>
        </w:rPr>
        <w:t>以下结果</w:t>
      </w:r>
      <w:r>
        <w:rPr>
          <w:rFonts w:cs="Times New Roman" w:hint="eastAsia"/>
          <w:lang w:eastAsia="zh-CN"/>
        </w:rPr>
        <w:t>提示</w:t>
      </w:r>
      <w:r w:rsidRPr="009E464F">
        <w:rPr>
          <w:rFonts w:cs="Times New Roman"/>
          <w:lang w:eastAsia="zh-CN"/>
        </w:rPr>
        <w:t>在</w:t>
      </w:r>
      <w:proofErr w:type="gramStart"/>
      <w:r w:rsidRPr="009E464F">
        <w:rPr>
          <w:rFonts w:cs="Times New Roman"/>
          <w:lang w:eastAsia="zh-CN"/>
        </w:rPr>
        <w:t>研</w:t>
      </w:r>
      <w:proofErr w:type="gramEnd"/>
      <w:r w:rsidRPr="009E464F">
        <w:rPr>
          <w:rFonts w:cs="Times New Roman"/>
          <w:lang w:eastAsia="zh-CN"/>
        </w:rPr>
        <w:t>药物是</w:t>
      </w:r>
      <w:r w:rsidRPr="009E464F">
        <w:rPr>
          <w:rFonts w:cs="Times New Roman"/>
          <w:lang w:eastAsia="zh-CN"/>
        </w:rPr>
        <w:t>P-</w:t>
      </w:r>
      <w:proofErr w:type="spellStart"/>
      <w:r w:rsidRPr="009E464F">
        <w:rPr>
          <w:rFonts w:cs="Times New Roman"/>
          <w:lang w:eastAsia="zh-CN"/>
        </w:rPr>
        <w:t>gp</w:t>
      </w:r>
      <w:proofErr w:type="spellEnd"/>
      <w:r w:rsidRPr="009E464F">
        <w:rPr>
          <w:rFonts w:cs="Times New Roman"/>
          <w:lang w:eastAsia="zh-CN"/>
        </w:rPr>
        <w:t>的底物：</w:t>
      </w:r>
    </w:p>
    <w:p w14:paraId="115B2297" w14:textId="35EB7882" w:rsidR="00D50183" w:rsidRPr="0083505F" w:rsidRDefault="00CB0133" w:rsidP="00CB0133">
      <w:pPr>
        <w:spacing w:after="0"/>
        <w:ind w:firstLine="420"/>
        <w:rPr>
          <w:lang w:eastAsia="zh-CN"/>
        </w:rPr>
      </w:pPr>
      <w:r w:rsidRPr="00CB0133">
        <w:rPr>
          <w:rFonts w:ascii="微软雅黑" w:eastAsia="微软雅黑" w:hAnsi="微软雅黑" w:hint="eastAsia"/>
          <w:sz w:val="21"/>
          <w:szCs w:val="21"/>
          <w:lang w:eastAsia="zh-CN"/>
        </w:rPr>
        <w:t>●</w:t>
      </w:r>
      <w:r w:rsidR="002D5A7E">
        <w:rPr>
          <w:rFonts w:ascii="微软雅黑" w:eastAsia="微软雅黑" w:hAnsi="微软雅黑" w:hint="eastAsia"/>
          <w:sz w:val="21"/>
          <w:szCs w:val="21"/>
          <w:lang w:eastAsia="zh-CN"/>
        </w:rPr>
        <w:t xml:space="preserve"> </w:t>
      </w:r>
      <w:r w:rsidR="00D50183" w:rsidRPr="0083505F">
        <w:rPr>
          <w:rFonts w:hint="eastAsia"/>
          <w:lang w:eastAsia="zh-CN"/>
        </w:rPr>
        <w:t>药物在表达</w:t>
      </w:r>
      <w:r w:rsidR="00D50183" w:rsidRPr="0083505F">
        <w:rPr>
          <w:lang w:eastAsia="zh-CN"/>
        </w:rPr>
        <w:t>P-</w:t>
      </w:r>
      <w:proofErr w:type="spellStart"/>
      <w:r w:rsidR="00D50183" w:rsidRPr="0083505F">
        <w:rPr>
          <w:lang w:eastAsia="zh-CN"/>
        </w:rPr>
        <w:t>gp</w:t>
      </w:r>
      <w:proofErr w:type="spellEnd"/>
      <w:r w:rsidR="00D50183" w:rsidRPr="0083505F">
        <w:rPr>
          <w:rFonts w:hint="eastAsia"/>
          <w:lang w:eastAsia="zh-CN"/>
        </w:rPr>
        <w:t>的细胞（如，</w:t>
      </w:r>
      <w:r w:rsidR="00D50183" w:rsidRPr="0083505F">
        <w:rPr>
          <w:lang w:eastAsia="zh-CN"/>
        </w:rPr>
        <w:t>Caco-2</w:t>
      </w:r>
      <w:r w:rsidR="00D50183" w:rsidRPr="0083505F">
        <w:rPr>
          <w:rFonts w:hint="eastAsia"/>
          <w:lang w:eastAsia="zh-CN"/>
        </w:rPr>
        <w:t>细胞或其他过表达</w:t>
      </w:r>
      <w:r w:rsidR="00D50183" w:rsidRPr="0083505F">
        <w:rPr>
          <w:lang w:eastAsia="zh-CN"/>
        </w:rPr>
        <w:t>P-</w:t>
      </w:r>
      <w:proofErr w:type="spellStart"/>
      <w:r w:rsidR="00D50183" w:rsidRPr="0083505F">
        <w:rPr>
          <w:lang w:eastAsia="zh-CN"/>
        </w:rPr>
        <w:t>gp</w:t>
      </w:r>
      <w:proofErr w:type="spellEnd"/>
      <w:r w:rsidR="00D50183" w:rsidRPr="0083505F">
        <w:rPr>
          <w:rFonts w:hint="eastAsia"/>
          <w:lang w:eastAsia="zh-CN"/>
        </w:rPr>
        <w:t>的细胞）中的净外排率（</w:t>
      </w:r>
      <w:r w:rsidR="00D50183" w:rsidRPr="0083505F">
        <w:rPr>
          <w:lang w:eastAsia="zh-CN"/>
        </w:rPr>
        <w:t>Net efflux rate</w:t>
      </w:r>
      <w:r w:rsidR="00D50183" w:rsidRPr="0083505F">
        <w:rPr>
          <w:rFonts w:hint="eastAsia"/>
          <w:lang w:eastAsia="zh-CN"/>
        </w:rPr>
        <w:t>，</w:t>
      </w:r>
      <w:r w:rsidR="00D50183" w:rsidRPr="0083505F">
        <w:rPr>
          <w:lang w:eastAsia="zh-CN"/>
        </w:rPr>
        <w:t>net ER</w:t>
      </w:r>
      <w:r w:rsidR="00D50183" w:rsidRPr="0083505F">
        <w:rPr>
          <w:rFonts w:hint="eastAsia"/>
          <w:lang w:eastAsia="zh-CN"/>
        </w:rPr>
        <w:t>）≥</w:t>
      </w:r>
      <w:r w:rsidR="00D50183" w:rsidRPr="0083505F">
        <w:rPr>
          <w:lang w:eastAsia="zh-CN"/>
        </w:rPr>
        <w:t>2</w:t>
      </w:r>
      <w:r w:rsidR="00D50183" w:rsidRPr="0083505F">
        <w:rPr>
          <w:rFonts w:hint="eastAsia"/>
          <w:lang w:eastAsia="zh-CN"/>
        </w:rPr>
        <w:t>。</w:t>
      </w:r>
    </w:p>
    <w:p w14:paraId="704AA962" w14:textId="5AFA130F" w:rsidR="00D50183" w:rsidRPr="0083505F" w:rsidRDefault="00CB0133" w:rsidP="00CB0133">
      <w:pPr>
        <w:spacing w:after="0"/>
        <w:ind w:firstLine="420"/>
        <w:rPr>
          <w:lang w:eastAsia="zh-CN"/>
        </w:rPr>
      </w:pPr>
      <w:r w:rsidRPr="00CB0133">
        <w:rPr>
          <w:rFonts w:ascii="微软雅黑" w:eastAsia="微软雅黑" w:hAnsi="微软雅黑" w:hint="eastAsia"/>
          <w:sz w:val="21"/>
          <w:szCs w:val="21"/>
          <w:lang w:eastAsia="zh-CN"/>
        </w:rPr>
        <w:t>●</w:t>
      </w:r>
      <w:r w:rsidR="002D5A7E">
        <w:rPr>
          <w:rFonts w:ascii="微软雅黑" w:eastAsia="微软雅黑" w:hAnsi="微软雅黑" w:hint="eastAsia"/>
          <w:sz w:val="21"/>
          <w:szCs w:val="21"/>
          <w:lang w:eastAsia="zh-CN"/>
        </w:rPr>
        <w:t xml:space="preserve"> </w:t>
      </w:r>
      <w:r w:rsidR="00D50183" w:rsidRPr="0083505F">
        <w:rPr>
          <w:rFonts w:hint="eastAsia"/>
          <w:lang w:eastAsia="zh-CN"/>
        </w:rPr>
        <w:t>外排至少会被一种已知的</w:t>
      </w:r>
      <w:r w:rsidR="00D50183" w:rsidRPr="0083505F">
        <w:rPr>
          <w:lang w:eastAsia="zh-CN"/>
        </w:rPr>
        <w:t>P-</w:t>
      </w:r>
      <w:proofErr w:type="spellStart"/>
      <w:r w:rsidR="00D50183" w:rsidRPr="0083505F">
        <w:rPr>
          <w:lang w:eastAsia="zh-CN"/>
        </w:rPr>
        <w:t>gp</w:t>
      </w:r>
      <w:proofErr w:type="spellEnd"/>
      <w:r w:rsidR="00D50183" w:rsidRPr="0083505F">
        <w:rPr>
          <w:rFonts w:hint="eastAsia"/>
          <w:lang w:eastAsia="zh-CN"/>
        </w:rPr>
        <w:t>抑制剂在高于其</w:t>
      </w:r>
      <w:r w:rsidR="00D50183" w:rsidRPr="0083505F">
        <w:rPr>
          <w:lang w:eastAsia="zh-CN"/>
        </w:rPr>
        <w:t>K</w:t>
      </w:r>
      <w:r w:rsidR="00D50183" w:rsidRPr="0083505F">
        <w:rPr>
          <w:vertAlign w:val="subscript"/>
          <w:lang w:eastAsia="zh-CN"/>
        </w:rPr>
        <w:t>i</w:t>
      </w:r>
      <w:r w:rsidR="00D50183" w:rsidRPr="0083505F">
        <w:rPr>
          <w:rFonts w:hint="eastAsia"/>
          <w:lang w:eastAsia="zh-CN"/>
        </w:rPr>
        <w:t>或者</w:t>
      </w:r>
      <w:r w:rsidR="00D50183" w:rsidRPr="0083505F">
        <w:rPr>
          <w:lang w:eastAsia="zh-CN"/>
        </w:rPr>
        <w:t>IC</w:t>
      </w:r>
      <w:r w:rsidR="00D50183" w:rsidRPr="0083505F">
        <w:rPr>
          <w:vertAlign w:val="subscript"/>
          <w:lang w:eastAsia="zh-CN"/>
        </w:rPr>
        <w:t>50</w:t>
      </w:r>
      <w:r w:rsidR="00D50183" w:rsidRPr="0083505F">
        <w:rPr>
          <w:rFonts w:hint="eastAsia"/>
          <w:lang w:eastAsia="zh-CN"/>
        </w:rPr>
        <w:t>至少</w:t>
      </w:r>
      <w:r w:rsidR="00D50183" w:rsidRPr="0083505F">
        <w:rPr>
          <w:lang w:eastAsia="zh-CN"/>
        </w:rPr>
        <w:t>10</w:t>
      </w:r>
      <w:r w:rsidR="00D50183" w:rsidRPr="0083505F">
        <w:rPr>
          <w:rFonts w:hint="eastAsia"/>
          <w:lang w:eastAsia="zh-CN"/>
        </w:rPr>
        <w:t>倍的浓度下抑制（比如，与无抑制剂的对照组相比，加入抑制剂可使</w:t>
      </w:r>
      <w:r w:rsidR="00D50183" w:rsidRPr="0083505F">
        <w:rPr>
          <w:lang w:eastAsia="zh-CN"/>
        </w:rPr>
        <w:t>ER</w:t>
      </w:r>
      <w:r w:rsidR="00D50183" w:rsidRPr="0083505F">
        <w:rPr>
          <w:rFonts w:hint="eastAsia"/>
          <w:lang w:eastAsia="zh-CN"/>
        </w:rPr>
        <w:t>值下降</w:t>
      </w:r>
      <w:r w:rsidR="00D50183" w:rsidRPr="0083505F">
        <w:rPr>
          <w:lang w:eastAsia="zh-CN"/>
        </w:rPr>
        <w:t>50</w:t>
      </w:r>
      <w:r w:rsidR="00D50183" w:rsidRPr="0083505F">
        <w:rPr>
          <w:rFonts w:hint="eastAsia"/>
          <w:lang w:eastAsia="zh-CN"/>
        </w:rPr>
        <w:t>％以上）。</w:t>
      </w:r>
    </w:p>
    <w:p w14:paraId="7B510D15" w14:textId="3FABCF1A" w:rsidR="00D50183" w:rsidRPr="009E464F" w:rsidRDefault="00D50183" w:rsidP="00CB0133">
      <w:pPr>
        <w:spacing w:after="0"/>
        <w:ind w:firstLine="640"/>
        <w:rPr>
          <w:rFonts w:cs="Times New Roman"/>
          <w:lang w:eastAsia="zh-CN"/>
        </w:rPr>
      </w:pPr>
      <w:r w:rsidRPr="009E464F">
        <w:rPr>
          <w:rFonts w:cs="Times New Roman"/>
          <w:lang w:eastAsia="zh-CN"/>
        </w:rPr>
        <w:t>如果采用表达多种外排转运体的</w:t>
      </w:r>
      <w:r w:rsidRPr="009E464F">
        <w:rPr>
          <w:rFonts w:cs="Times New Roman"/>
          <w:lang w:eastAsia="zh-CN"/>
        </w:rPr>
        <w:t>Caco-2</w:t>
      </w:r>
      <w:r w:rsidRPr="009E464F">
        <w:rPr>
          <w:rFonts w:cs="Times New Roman"/>
          <w:lang w:eastAsia="zh-CN"/>
        </w:rPr>
        <w:t>细胞，</w:t>
      </w:r>
      <w:r>
        <w:rPr>
          <w:rFonts w:cs="Times New Roman" w:hint="eastAsia"/>
          <w:lang w:eastAsia="zh-CN"/>
        </w:rPr>
        <w:t>则</w:t>
      </w:r>
      <w:r w:rsidRPr="009E464F">
        <w:rPr>
          <w:rFonts w:cs="Times New Roman"/>
          <w:lang w:eastAsia="zh-CN"/>
        </w:rPr>
        <w:t>应使用多种</w:t>
      </w:r>
      <w:r w:rsidRPr="009E464F">
        <w:rPr>
          <w:rFonts w:cs="Times New Roman"/>
          <w:lang w:eastAsia="zh-CN"/>
        </w:rPr>
        <w:t>P-</w:t>
      </w:r>
      <w:proofErr w:type="spellStart"/>
      <w:r w:rsidRPr="009E464F">
        <w:rPr>
          <w:rFonts w:cs="Times New Roman"/>
          <w:lang w:eastAsia="zh-CN"/>
        </w:rPr>
        <w:t>gp</w:t>
      </w:r>
      <w:proofErr w:type="spellEnd"/>
      <w:r w:rsidRPr="009E464F">
        <w:rPr>
          <w:rFonts w:cs="Times New Roman"/>
          <w:lang w:eastAsia="zh-CN"/>
        </w:rPr>
        <w:t>抑制剂来确定外排的专属性。</w:t>
      </w:r>
    </w:p>
    <w:p w14:paraId="6F6FE1D3" w14:textId="18FE15EA" w:rsidR="00D50183" w:rsidRPr="009E464F" w:rsidRDefault="00D50183" w:rsidP="00CB0133">
      <w:pPr>
        <w:spacing w:after="0"/>
        <w:ind w:firstLine="640"/>
        <w:rPr>
          <w:rFonts w:cs="Times New Roman"/>
          <w:lang w:eastAsia="zh-CN"/>
        </w:rPr>
      </w:pPr>
      <w:r w:rsidRPr="009E464F">
        <w:rPr>
          <w:rFonts w:cs="Times New Roman"/>
          <w:lang w:eastAsia="zh-CN"/>
        </w:rPr>
        <w:t>如果体外研究表明药物是</w:t>
      </w:r>
      <w:r w:rsidRPr="009E464F">
        <w:rPr>
          <w:rFonts w:cs="Times New Roman"/>
          <w:lang w:eastAsia="zh-CN"/>
        </w:rPr>
        <w:t>P-</w:t>
      </w:r>
      <w:proofErr w:type="spellStart"/>
      <w:r w:rsidRPr="009E464F">
        <w:rPr>
          <w:rFonts w:cs="Times New Roman"/>
          <w:lang w:eastAsia="zh-CN"/>
        </w:rPr>
        <w:t>gp</w:t>
      </w:r>
      <w:proofErr w:type="spellEnd"/>
      <w:r w:rsidRPr="009E464F">
        <w:rPr>
          <w:rFonts w:cs="Times New Roman"/>
          <w:lang w:eastAsia="zh-CN"/>
        </w:rPr>
        <w:t>的底物，则应该根据药物的安全范围、治疗指数以及临床上可能合用的</w:t>
      </w:r>
      <w:r w:rsidRPr="009E464F">
        <w:rPr>
          <w:rFonts w:cs="Times New Roman"/>
          <w:lang w:eastAsia="zh-CN"/>
        </w:rPr>
        <w:t>P-</w:t>
      </w:r>
      <w:proofErr w:type="spellStart"/>
      <w:r w:rsidRPr="009E464F">
        <w:rPr>
          <w:rFonts w:cs="Times New Roman"/>
          <w:lang w:eastAsia="zh-CN"/>
        </w:rPr>
        <w:t>gp</w:t>
      </w:r>
      <w:proofErr w:type="spellEnd"/>
      <w:r w:rsidRPr="009E464F">
        <w:rPr>
          <w:rFonts w:cs="Times New Roman"/>
          <w:lang w:eastAsia="zh-CN"/>
        </w:rPr>
        <w:t>抑制剂等因素来考虑是否开展体内研究。申请人也可以根据上述研究方</w:t>
      </w:r>
      <w:r w:rsidRPr="009E464F">
        <w:rPr>
          <w:rFonts w:cs="Times New Roman"/>
          <w:lang w:eastAsia="zh-CN"/>
        </w:rPr>
        <w:lastRenderedPageBreak/>
        <w:t>法和策略考察药物是否为</w:t>
      </w:r>
      <w:r w:rsidRPr="009E464F">
        <w:rPr>
          <w:rFonts w:cs="Times New Roman"/>
          <w:lang w:eastAsia="zh-CN"/>
        </w:rPr>
        <w:t>BCRP</w:t>
      </w:r>
      <w:r w:rsidRPr="009E464F">
        <w:rPr>
          <w:rFonts w:cs="Times New Roman"/>
          <w:lang w:eastAsia="zh-CN"/>
        </w:rPr>
        <w:t>的底物和考虑是否进行体内研究。</w:t>
      </w:r>
    </w:p>
    <w:p w14:paraId="32375DF4" w14:textId="06E9B1D0" w:rsidR="006C3CFA" w:rsidRDefault="002D4D37" w:rsidP="00CB0133">
      <w:pPr>
        <w:spacing w:after="0"/>
        <w:ind w:firstLine="640"/>
        <w:rPr>
          <w:rFonts w:cs="Times New Roman"/>
          <w:lang w:eastAsia="zh-CN"/>
        </w:rPr>
      </w:pPr>
      <w:r w:rsidRPr="0083505F">
        <w:rPr>
          <w:rFonts w:cs="Times New Roman" w:hint="eastAsia"/>
          <w:lang w:eastAsia="zh-CN"/>
        </w:rPr>
        <w:t>申请人也可以根据上述方法，使用已知的</w:t>
      </w:r>
      <w:r w:rsidRPr="0083505F">
        <w:rPr>
          <w:rFonts w:cs="Times New Roman"/>
          <w:lang w:eastAsia="zh-CN"/>
        </w:rPr>
        <w:t>BCRP</w:t>
      </w:r>
      <w:r w:rsidRPr="0083505F">
        <w:rPr>
          <w:rFonts w:cs="Times New Roman" w:hint="eastAsia"/>
          <w:lang w:eastAsia="zh-CN"/>
        </w:rPr>
        <w:t>抑制剂，确定该药物是否为</w:t>
      </w:r>
      <w:r w:rsidRPr="0083505F">
        <w:rPr>
          <w:rFonts w:cs="Times New Roman"/>
          <w:lang w:eastAsia="zh-CN"/>
        </w:rPr>
        <w:t>BCRP</w:t>
      </w:r>
      <w:r w:rsidRPr="0083505F">
        <w:rPr>
          <w:rFonts w:cs="Times New Roman" w:hint="eastAsia"/>
          <w:lang w:eastAsia="zh-CN"/>
        </w:rPr>
        <w:t>的底物。如果体外研究表明药物是</w:t>
      </w:r>
      <w:r w:rsidRPr="0083505F">
        <w:rPr>
          <w:rFonts w:cs="Times New Roman"/>
          <w:lang w:eastAsia="zh-CN"/>
        </w:rPr>
        <w:t>BCRP</w:t>
      </w:r>
      <w:r w:rsidRPr="0083505F">
        <w:rPr>
          <w:rFonts w:cs="Times New Roman" w:hint="eastAsia"/>
          <w:lang w:eastAsia="zh-CN"/>
        </w:rPr>
        <w:t>的底物，则应根据药物的安全范围、治疗指数以及可能的合用药物（为特定患者群体中已知的</w:t>
      </w:r>
      <w:r w:rsidRPr="0083505F">
        <w:rPr>
          <w:rFonts w:cs="Times New Roman"/>
          <w:lang w:eastAsia="zh-CN"/>
        </w:rPr>
        <w:t>BCRP</w:t>
      </w:r>
      <w:r w:rsidRPr="0083505F">
        <w:rPr>
          <w:rFonts w:cs="Times New Roman" w:hint="eastAsia"/>
          <w:lang w:eastAsia="zh-CN"/>
        </w:rPr>
        <w:t>抑制剂）来考虑是否进行体内研究</w:t>
      </w:r>
      <w:r w:rsidR="00BB41FB">
        <w:rPr>
          <w:rFonts w:cs="Times New Roman" w:hint="eastAsia"/>
          <w:lang w:eastAsia="zh-CN"/>
        </w:rPr>
        <w:t>。</w:t>
      </w:r>
    </w:p>
    <w:p w14:paraId="111C2EB0" w14:textId="4E916AA6" w:rsidR="00861E5F" w:rsidRPr="009E464F" w:rsidRDefault="003F60A7" w:rsidP="00CB0133">
      <w:pPr>
        <w:spacing w:after="0"/>
        <w:ind w:firstLine="640"/>
        <w:rPr>
          <w:rFonts w:cs="Times New Roman"/>
          <w:lang w:eastAsia="zh-CN"/>
        </w:rPr>
      </w:pPr>
      <w:r w:rsidRPr="009E464F">
        <w:rPr>
          <w:rFonts w:cs="Times New Roman"/>
          <w:lang w:eastAsia="zh-CN"/>
        </w:rPr>
        <w:t>（</w:t>
      </w:r>
      <w:r w:rsidR="00861E5F" w:rsidRPr="009E464F">
        <w:rPr>
          <w:rFonts w:cs="Times New Roman"/>
          <w:lang w:eastAsia="zh-CN"/>
        </w:rPr>
        <w:t>2</w:t>
      </w:r>
      <w:r w:rsidR="00861E5F" w:rsidRPr="009E464F">
        <w:rPr>
          <w:rFonts w:cs="Times New Roman"/>
          <w:lang w:eastAsia="zh-CN"/>
        </w:rPr>
        <w:t>）是否</w:t>
      </w:r>
      <w:r w:rsidR="00A14E9A">
        <w:rPr>
          <w:rFonts w:cs="Times New Roman" w:hint="eastAsia"/>
          <w:lang w:eastAsia="zh-CN"/>
        </w:rPr>
        <w:t>为</w:t>
      </w:r>
      <w:r w:rsidR="00861E5F" w:rsidRPr="009E464F">
        <w:rPr>
          <w:rFonts w:cs="Times New Roman"/>
          <w:lang w:eastAsia="zh-CN"/>
        </w:rPr>
        <w:t>肝脏转运体</w:t>
      </w:r>
      <w:r w:rsidR="00861E5F" w:rsidRPr="009E464F">
        <w:rPr>
          <w:rFonts w:cs="Times New Roman"/>
          <w:lang w:eastAsia="zh-CN"/>
        </w:rPr>
        <w:t>OATP1B1</w:t>
      </w:r>
      <w:r w:rsidR="00861E5F" w:rsidRPr="009E464F">
        <w:rPr>
          <w:rFonts w:cs="Times New Roman"/>
          <w:lang w:eastAsia="zh-CN"/>
        </w:rPr>
        <w:t>和</w:t>
      </w:r>
      <w:r w:rsidR="00861E5F" w:rsidRPr="009E464F">
        <w:rPr>
          <w:rFonts w:cs="Times New Roman"/>
          <w:lang w:eastAsia="zh-CN"/>
        </w:rPr>
        <w:t>OATP1B3</w:t>
      </w:r>
      <w:r w:rsidR="00861E5F" w:rsidRPr="009E464F">
        <w:rPr>
          <w:rFonts w:cs="Times New Roman"/>
          <w:lang w:eastAsia="zh-CN"/>
        </w:rPr>
        <w:t>的底物</w:t>
      </w:r>
    </w:p>
    <w:p w14:paraId="607C34B1" w14:textId="3BB55000" w:rsidR="003E6C16" w:rsidRDefault="00235245" w:rsidP="00CB0133">
      <w:pPr>
        <w:spacing w:after="0"/>
        <w:ind w:firstLine="640"/>
        <w:rPr>
          <w:rFonts w:cs="Times New Roman"/>
          <w:lang w:eastAsia="zh-CN"/>
        </w:rPr>
      </w:pPr>
      <w:r>
        <w:rPr>
          <w:rFonts w:cs="Times New Roman" w:hint="eastAsia"/>
          <w:lang w:eastAsia="zh-CN"/>
        </w:rPr>
        <w:t>（</w:t>
      </w:r>
      <w:proofErr w:type="spellStart"/>
      <w:r>
        <w:rPr>
          <w:rFonts w:cs="Times New Roman"/>
          <w:lang w:eastAsia="zh-CN"/>
        </w:rPr>
        <w:t>i</w:t>
      </w:r>
      <w:proofErr w:type="spellEnd"/>
      <w:r>
        <w:rPr>
          <w:rFonts w:cs="Times New Roman"/>
          <w:lang w:eastAsia="zh-CN"/>
        </w:rPr>
        <w:t>）</w:t>
      </w:r>
      <w:r w:rsidR="003E6C16">
        <w:rPr>
          <w:rFonts w:cs="Times New Roman" w:hint="eastAsia"/>
          <w:lang w:eastAsia="zh-CN"/>
        </w:rPr>
        <w:t>研究内容</w:t>
      </w:r>
    </w:p>
    <w:p w14:paraId="0137CFA3" w14:textId="4D6CFC9B" w:rsidR="00861E5F" w:rsidRDefault="00861E5F" w:rsidP="00CB0133">
      <w:pPr>
        <w:spacing w:after="0"/>
        <w:ind w:firstLine="640"/>
        <w:rPr>
          <w:rFonts w:cs="Times New Roman"/>
          <w:lang w:eastAsia="zh-CN"/>
        </w:rPr>
      </w:pPr>
      <w:r w:rsidRPr="009E464F">
        <w:rPr>
          <w:rFonts w:cs="Times New Roman"/>
          <w:lang w:eastAsia="zh-CN"/>
        </w:rPr>
        <w:t>如果体外研究或人</w:t>
      </w:r>
      <w:r w:rsidRPr="009E464F">
        <w:rPr>
          <w:rFonts w:cs="Times New Roman"/>
          <w:lang w:eastAsia="zh-CN"/>
        </w:rPr>
        <w:t>/</w:t>
      </w:r>
      <w:r w:rsidRPr="009E464F">
        <w:rPr>
          <w:rFonts w:cs="Times New Roman"/>
          <w:lang w:eastAsia="zh-CN"/>
        </w:rPr>
        <w:t>动物的吸收、分布、代谢和</w:t>
      </w:r>
      <w:r w:rsidRPr="009E464F">
        <w:rPr>
          <w:rFonts w:cs="Times New Roman"/>
          <w:lang w:eastAsia="zh-CN"/>
        </w:rPr>
        <w:t>/</w:t>
      </w:r>
      <w:r w:rsidRPr="009E464F">
        <w:rPr>
          <w:rFonts w:cs="Times New Roman"/>
          <w:lang w:eastAsia="zh-CN"/>
        </w:rPr>
        <w:t>或排泄数据表明在</w:t>
      </w:r>
      <w:proofErr w:type="gramStart"/>
      <w:r w:rsidRPr="009E464F">
        <w:rPr>
          <w:rFonts w:cs="Times New Roman"/>
          <w:lang w:eastAsia="zh-CN"/>
        </w:rPr>
        <w:t>研</w:t>
      </w:r>
      <w:proofErr w:type="gramEnd"/>
      <w:r w:rsidRPr="009E464F">
        <w:rPr>
          <w:rFonts w:cs="Times New Roman"/>
          <w:lang w:eastAsia="zh-CN"/>
        </w:rPr>
        <w:t>药物</w:t>
      </w:r>
      <w:r w:rsidR="004E264B">
        <w:rPr>
          <w:rFonts w:cs="Times New Roman" w:hint="eastAsia"/>
          <w:lang w:eastAsia="zh-CN"/>
        </w:rPr>
        <w:t>存在明显的</w:t>
      </w:r>
      <w:r w:rsidRPr="009E464F">
        <w:rPr>
          <w:rFonts w:cs="Times New Roman"/>
          <w:lang w:eastAsia="zh-CN"/>
        </w:rPr>
        <w:t>肝摄取或者消除（如通过肝脏代谢或胆汁分泌的药物清除率</w:t>
      </w:r>
      <w:r w:rsidRPr="009E464F">
        <w:rPr>
          <w:rFonts w:cs="Times New Roman"/>
          <w:lang w:eastAsia="zh-CN"/>
        </w:rPr>
        <w:t>≥</w:t>
      </w:r>
      <w:proofErr w:type="gramStart"/>
      <w:r w:rsidR="003D515C" w:rsidRPr="009E464F">
        <w:rPr>
          <w:rFonts w:cs="Times New Roman"/>
          <w:lang w:eastAsia="zh-CN"/>
        </w:rPr>
        <w:t>总</w:t>
      </w:r>
      <w:r w:rsidRPr="009E464F">
        <w:rPr>
          <w:rFonts w:cs="Times New Roman"/>
          <w:lang w:eastAsia="zh-CN"/>
        </w:rPr>
        <w:t>药物</w:t>
      </w:r>
      <w:proofErr w:type="gramEnd"/>
      <w:r w:rsidRPr="009E464F">
        <w:rPr>
          <w:rFonts w:cs="Times New Roman"/>
          <w:lang w:eastAsia="zh-CN"/>
        </w:rPr>
        <w:t>清除率的</w:t>
      </w:r>
      <w:r w:rsidRPr="009E464F">
        <w:rPr>
          <w:rFonts w:cs="Times New Roman"/>
          <w:lang w:eastAsia="zh-CN"/>
        </w:rPr>
        <w:t>25%</w:t>
      </w:r>
      <w:r w:rsidRPr="009E464F">
        <w:rPr>
          <w:rFonts w:cs="Times New Roman"/>
          <w:lang w:eastAsia="zh-CN"/>
        </w:rPr>
        <w:t>），或者药物</w:t>
      </w:r>
      <w:r w:rsidR="004E264B">
        <w:rPr>
          <w:rFonts w:cs="Times New Roman" w:hint="eastAsia"/>
          <w:lang w:eastAsia="zh-CN"/>
        </w:rPr>
        <w:t>的肝摄取</w:t>
      </w:r>
      <w:r w:rsidRPr="009E464F">
        <w:rPr>
          <w:rFonts w:cs="Times New Roman"/>
          <w:lang w:eastAsia="zh-CN"/>
        </w:rPr>
        <w:t>具有重要临床意义（</w:t>
      </w:r>
      <w:r w:rsidR="00663115" w:rsidRPr="009E464F">
        <w:rPr>
          <w:rFonts w:cs="Times New Roman"/>
          <w:lang w:eastAsia="zh-CN"/>
        </w:rPr>
        <w:t>发生</w:t>
      </w:r>
      <w:r w:rsidR="004E264B">
        <w:rPr>
          <w:rFonts w:cs="Times New Roman" w:hint="eastAsia"/>
          <w:lang w:eastAsia="zh-CN"/>
        </w:rPr>
        <w:t>生物转化</w:t>
      </w:r>
      <w:r w:rsidRPr="009E464F">
        <w:rPr>
          <w:rFonts w:cs="Times New Roman"/>
          <w:lang w:eastAsia="zh-CN"/>
        </w:rPr>
        <w:t>或产生药理作用），应进行体外研究以确定该药物是否</w:t>
      </w:r>
      <w:r w:rsidR="00A14E9A">
        <w:rPr>
          <w:rFonts w:cs="Times New Roman" w:hint="eastAsia"/>
          <w:lang w:eastAsia="zh-CN"/>
        </w:rPr>
        <w:t>为</w:t>
      </w:r>
      <w:r w:rsidRPr="009E464F">
        <w:rPr>
          <w:rFonts w:cs="Times New Roman"/>
          <w:lang w:eastAsia="zh-CN"/>
        </w:rPr>
        <w:t>肝脏摄取转运体</w:t>
      </w:r>
      <w:r w:rsidRPr="009E464F">
        <w:rPr>
          <w:rFonts w:cs="Times New Roman"/>
          <w:lang w:eastAsia="zh-CN"/>
        </w:rPr>
        <w:t>OATP1B1</w:t>
      </w:r>
      <w:r w:rsidRPr="009E464F">
        <w:rPr>
          <w:rFonts w:cs="Times New Roman"/>
          <w:lang w:eastAsia="zh-CN"/>
        </w:rPr>
        <w:t>和</w:t>
      </w:r>
      <w:r w:rsidRPr="009E464F">
        <w:rPr>
          <w:rFonts w:cs="Times New Roman"/>
          <w:lang w:eastAsia="zh-CN"/>
        </w:rPr>
        <w:t>OATP1B3</w:t>
      </w:r>
      <w:r w:rsidRPr="009E464F">
        <w:rPr>
          <w:rFonts w:cs="Times New Roman"/>
          <w:lang w:eastAsia="zh-CN"/>
        </w:rPr>
        <w:t>的底物。</w:t>
      </w:r>
    </w:p>
    <w:p w14:paraId="2FAC853A" w14:textId="6923997A" w:rsidR="00682710" w:rsidRDefault="00235245" w:rsidP="00CB0133">
      <w:pPr>
        <w:spacing w:after="0"/>
        <w:ind w:firstLine="640"/>
        <w:rPr>
          <w:rFonts w:cs="Times New Roman"/>
          <w:lang w:eastAsia="zh-CN"/>
        </w:rPr>
      </w:pPr>
      <w:r>
        <w:rPr>
          <w:rFonts w:cs="Times New Roman" w:hint="eastAsia"/>
          <w:lang w:eastAsia="zh-CN"/>
        </w:rPr>
        <w:t>（</w:t>
      </w:r>
      <w:r>
        <w:rPr>
          <w:rFonts w:cs="Times New Roman" w:hint="eastAsia"/>
          <w:lang w:eastAsia="zh-CN"/>
        </w:rPr>
        <w:t>ii</w:t>
      </w:r>
      <w:r>
        <w:rPr>
          <w:rFonts w:cs="Times New Roman" w:hint="eastAsia"/>
          <w:lang w:eastAsia="zh-CN"/>
        </w:rPr>
        <w:t>）</w:t>
      </w:r>
      <w:r>
        <w:rPr>
          <w:rFonts w:cs="Times New Roman"/>
          <w:lang w:eastAsia="zh-CN"/>
        </w:rPr>
        <w:t>数据分析</w:t>
      </w:r>
    </w:p>
    <w:p w14:paraId="133F4808" w14:textId="23C719D3" w:rsidR="00235245" w:rsidRPr="009E464F" w:rsidRDefault="00235245" w:rsidP="00CB0133">
      <w:pPr>
        <w:spacing w:after="0"/>
        <w:ind w:firstLine="640"/>
        <w:rPr>
          <w:rFonts w:cs="Times New Roman"/>
          <w:lang w:eastAsia="zh-CN"/>
        </w:rPr>
      </w:pPr>
      <w:r w:rsidRPr="009E464F">
        <w:rPr>
          <w:rFonts w:cs="Times New Roman"/>
          <w:lang w:eastAsia="zh-CN"/>
        </w:rPr>
        <w:t>以下情况</w:t>
      </w:r>
      <w:r>
        <w:rPr>
          <w:rFonts w:cs="Times New Roman" w:hint="eastAsia"/>
          <w:lang w:eastAsia="zh-CN"/>
        </w:rPr>
        <w:t>提示</w:t>
      </w:r>
      <w:r w:rsidRPr="009E464F">
        <w:rPr>
          <w:rFonts w:cs="Times New Roman"/>
          <w:lang w:eastAsia="zh-CN"/>
        </w:rPr>
        <w:t>在</w:t>
      </w:r>
      <w:proofErr w:type="gramStart"/>
      <w:r w:rsidRPr="009E464F">
        <w:rPr>
          <w:rFonts w:cs="Times New Roman"/>
          <w:lang w:eastAsia="zh-CN"/>
        </w:rPr>
        <w:t>研</w:t>
      </w:r>
      <w:proofErr w:type="gramEnd"/>
      <w:r w:rsidRPr="009E464F">
        <w:rPr>
          <w:rFonts w:cs="Times New Roman"/>
          <w:lang w:eastAsia="zh-CN"/>
        </w:rPr>
        <w:t>药物</w:t>
      </w:r>
      <w:r>
        <w:rPr>
          <w:rFonts w:cs="Times New Roman" w:hint="eastAsia"/>
          <w:lang w:eastAsia="zh-CN"/>
        </w:rPr>
        <w:t>可能</w:t>
      </w:r>
      <w:r w:rsidRPr="009E464F">
        <w:rPr>
          <w:rFonts w:cs="Times New Roman"/>
          <w:lang w:eastAsia="zh-CN"/>
        </w:rPr>
        <w:t>是</w:t>
      </w:r>
      <w:r w:rsidRPr="009E464F">
        <w:rPr>
          <w:rFonts w:cs="Times New Roman"/>
          <w:lang w:eastAsia="zh-CN"/>
        </w:rPr>
        <w:t>OATP1B1</w:t>
      </w:r>
      <w:r w:rsidRPr="009E464F">
        <w:rPr>
          <w:rFonts w:cs="Times New Roman"/>
          <w:lang w:eastAsia="zh-CN"/>
        </w:rPr>
        <w:t>或</w:t>
      </w:r>
      <w:r w:rsidRPr="009E464F">
        <w:rPr>
          <w:rFonts w:cs="Times New Roman"/>
          <w:lang w:eastAsia="zh-CN"/>
        </w:rPr>
        <w:t>OATP1B3</w:t>
      </w:r>
      <w:r w:rsidRPr="009E464F">
        <w:rPr>
          <w:rFonts w:cs="Times New Roman"/>
          <w:lang w:eastAsia="zh-CN"/>
        </w:rPr>
        <w:t>的底物：</w:t>
      </w:r>
    </w:p>
    <w:p w14:paraId="7DBB06F6" w14:textId="6E340789" w:rsidR="00235245" w:rsidRPr="009E464F" w:rsidRDefault="00CB0133" w:rsidP="00CB0133">
      <w:pPr>
        <w:spacing w:after="0"/>
        <w:ind w:firstLine="420"/>
        <w:rPr>
          <w:rFonts w:cs="Times New Roman"/>
          <w:lang w:eastAsia="zh-CN"/>
        </w:rPr>
      </w:pPr>
      <w:r w:rsidRPr="00CB0133">
        <w:rPr>
          <w:rFonts w:ascii="微软雅黑" w:eastAsia="微软雅黑" w:hAnsi="微软雅黑" w:hint="eastAsia"/>
          <w:sz w:val="21"/>
          <w:szCs w:val="21"/>
          <w:lang w:eastAsia="zh-CN"/>
        </w:rPr>
        <w:t>●</w:t>
      </w:r>
      <w:r w:rsidR="00DC0229">
        <w:rPr>
          <w:rFonts w:ascii="微软雅黑" w:eastAsia="微软雅黑" w:hAnsi="微软雅黑" w:hint="eastAsia"/>
          <w:sz w:val="21"/>
          <w:szCs w:val="21"/>
          <w:lang w:eastAsia="zh-CN"/>
        </w:rPr>
        <w:t xml:space="preserve"> </w:t>
      </w:r>
      <w:r w:rsidR="00235245" w:rsidRPr="009E464F">
        <w:rPr>
          <w:rFonts w:cs="Times New Roman"/>
          <w:lang w:eastAsia="zh-CN"/>
        </w:rPr>
        <w:t>对</w:t>
      </w:r>
      <w:r w:rsidR="00235245" w:rsidRPr="009E464F">
        <w:rPr>
          <w:rFonts w:cs="Times New Roman"/>
          <w:lang w:eastAsia="zh-CN"/>
        </w:rPr>
        <w:t>OATP1B1</w:t>
      </w:r>
      <w:r w:rsidR="00235245" w:rsidRPr="009E464F">
        <w:rPr>
          <w:rFonts w:cs="Times New Roman"/>
          <w:lang w:eastAsia="zh-CN"/>
        </w:rPr>
        <w:t>或者</w:t>
      </w:r>
      <w:r w:rsidR="00235245" w:rsidRPr="009E464F">
        <w:rPr>
          <w:rFonts w:cs="Times New Roman"/>
          <w:lang w:eastAsia="zh-CN"/>
        </w:rPr>
        <w:t>OATP1B3</w:t>
      </w:r>
      <w:r w:rsidR="00235245" w:rsidRPr="009E464F">
        <w:rPr>
          <w:rFonts w:cs="Times New Roman"/>
          <w:lang w:eastAsia="zh-CN"/>
        </w:rPr>
        <w:t>转染细胞，其药物的摄取至少是空白载体转染细胞的</w:t>
      </w:r>
      <w:r w:rsidR="00235245" w:rsidRPr="009E464F">
        <w:rPr>
          <w:rFonts w:cs="Times New Roman"/>
          <w:lang w:eastAsia="zh-CN"/>
        </w:rPr>
        <w:t>2</w:t>
      </w:r>
      <w:r w:rsidR="00235245" w:rsidRPr="009E464F">
        <w:rPr>
          <w:rFonts w:cs="Times New Roman"/>
          <w:lang w:eastAsia="zh-CN"/>
        </w:rPr>
        <w:t>倍；</w:t>
      </w:r>
    </w:p>
    <w:p w14:paraId="0B070415" w14:textId="22B77E11" w:rsidR="00235245" w:rsidRPr="009E464F" w:rsidRDefault="00CB0133" w:rsidP="00CB0133">
      <w:pPr>
        <w:spacing w:after="0"/>
        <w:ind w:firstLine="420"/>
        <w:rPr>
          <w:rFonts w:cs="Times New Roman"/>
          <w:lang w:eastAsia="zh-CN"/>
        </w:rPr>
      </w:pPr>
      <w:r w:rsidRPr="00CB0133">
        <w:rPr>
          <w:rFonts w:ascii="微软雅黑" w:eastAsia="微软雅黑" w:hAnsi="微软雅黑" w:hint="eastAsia"/>
          <w:sz w:val="21"/>
          <w:szCs w:val="21"/>
          <w:lang w:eastAsia="zh-CN"/>
        </w:rPr>
        <w:lastRenderedPageBreak/>
        <w:t>●</w:t>
      </w:r>
      <w:r w:rsidR="00DC0229">
        <w:rPr>
          <w:rFonts w:ascii="微软雅黑" w:eastAsia="微软雅黑" w:hAnsi="微软雅黑" w:hint="eastAsia"/>
          <w:sz w:val="21"/>
          <w:szCs w:val="21"/>
          <w:lang w:eastAsia="zh-CN"/>
        </w:rPr>
        <w:t xml:space="preserve"> </w:t>
      </w:r>
      <w:r w:rsidR="00235245" w:rsidRPr="007261B2">
        <w:rPr>
          <w:rFonts w:hint="eastAsia"/>
          <w:lang w:eastAsia="zh-CN"/>
        </w:rPr>
        <w:t>已知的抑制剂（如利福平）能够在高于其</w:t>
      </w:r>
      <w:r w:rsidR="00235245" w:rsidRPr="007261B2">
        <w:rPr>
          <w:lang w:eastAsia="zh-CN"/>
        </w:rPr>
        <w:t>K</w:t>
      </w:r>
      <w:r w:rsidR="002D4D37" w:rsidRPr="0083505F">
        <w:rPr>
          <w:vertAlign w:val="subscript"/>
          <w:lang w:eastAsia="zh-CN"/>
        </w:rPr>
        <w:t>i</w:t>
      </w:r>
      <w:r w:rsidR="00235245" w:rsidRPr="007261B2">
        <w:rPr>
          <w:rFonts w:hint="eastAsia"/>
          <w:lang w:eastAsia="zh-CN"/>
        </w:rPr>
        <w:t>或者</w:t>
      </w:r>
      <w:r w:rsidR="00235245" w:rsidRPr="007261B2">
        <w:rPr>
          <w:lang w:eastAsia="zh-CN"/>
        </w:rPr>
        <w:t>IC</w:t>
      </w:r>
      <w:r w:rsidR="002D4D37" w:rsidRPr="0083505F">
        <w:rPr>
          <w:vertAlign w:val="subscript"/>
          <w:lang w:eastAsia="zh-CN"/>
        </w:rPr>
        <w:t>50</w:t>
      </w:r>
      <w:r w:rsidR="00235245" w:rsidRPr="007261B2">
        <w:rPr>
          <w:rFonts w:hint="eastAsia"/>
          <w:lang w:eastAsia="zh-CN"/>
        </w:rPr>
        <w:t>至少</w:t>
      </w:r>
      <w:r w:rsidR="00235245" w:rsidRPr="007261B2">
        <w:rPr>
          <w:lang w:eastAsia="zh-CN"/>
        </w:rPr>
        <w:t xml:space="preserve">10 </w:t>
      </w:r>
      <w:proofErr w:type="gramStart"/>
      <w:r w:rsidR="00235245" w:rsidRPr="007261B2">
        <w:rPr>
          <w:rFonts w:hint="eastAsia"/>
          <w:lang w:eastAsia="zh-CN"/>
        </w:rPr>
        <w:t>倍</w:t>
      </w:r>
      <w:proofErr w:type="gramEnd"/>
      <w:r w:rsidR="00235245" w:rsidRPr="007261B2">
        <w:rPr>
          <w:rFonts w:hint="eastAsia"/>
          <w:lang w:eastAsia="zh-CN"/>
        </w:rPr>
        <w:t>的浓度下，使药物的摄取降至</w:t>
      </w:r>
      <w:r w:rsidR="00235245" w:rsidRPr="007261B2">
        <w:rPr>
          <w:lang w:eastAsia="zh-CN"/>
        </w:rPr>
        <w:t>50%</w:t>
      </w:r>
      <w:r w:rsidR="00235245" w:rsidRPr="007261B2">
        <w:rPr>
          <w:rFonts w:hint="eastAsia"/>
          <w:lang w:eastAsia="zh-CN"/>
        </w:rPr>
        <w:t>以下；也可以基于既往经验来阐明采用其他临界值的合理性</w:t>
      </w:r>
      <w:r w:rsidR="00235245" w:rsidRPr="009E464F">
        <w:rPr>
          <w:rFonts w:cs="Times New Roman"/>
          <w:lang w:eastAsia="zh-CN"/>
        </w:rPr>
        <w:t>。</w:t>
      </w:r>
    </w:p>
    <w:p w14:paraId="1A56EF50" w14:textId="67E83857" w:rsidR="00861E5F" w:rsidRPr="009E464F" w:rsidRDefault="003F60A7" w:rsidP="00CB0133">
      <w:pPr>
        <w:spacing w:after="0"/>
        <w:ind w:firstLine="640"/>
        <w:rPr>
          <w:rFonts w:cs="Times New Roman"/>
          <w:lang w:eastAsia="zh-CN"/>
        </w:rPr>
      </w:pPr>
      <w:r w:rsidRPr="009E464F">
        <w:rPr>
          <w:rFonts w:cs="Times New Roman"/>
          <w:lang w:eastAsia="zh-CN"/>
        </w:rPr>
        <w:t>（</w:t>
      </w:r>
      <w:r w:rsidR="00861E5F" w:rsidRPr="009E464F">
        <w:rPr>
          <w:rFonts w:cs="Times New Roman"/>
          <w:lang w:eastAsia="zh-CN"/>
        </w:rPr>
        <w:t>3</w:t>
      </w:r>
      <w:r w:rsidR="00861E5F" w:rsidRPr="009E464F">
        <w:rPr>
          <w:rFonts w:cs="Times New Roman"/>
          <w:lang w:eastAsia="zh-CN"/>
        </w:rPr>
        <w:t>）是否</w:t>
      </w:r>
      <w:r w:rsidR="00A14E9A">
        <w:rPr>
          <w:rFonts w:cs="Times New Roman" w:hint="eastAsia"/>
          <w:lang w:eastAsia="zh-CN"/>
        </w:rPr>
        <w:t>为</w:t>
      </w:r>
      <w:r w:rsidR="00861E5F" w:rsidRPr="009E464F">
        <w:rPr>
          <w:rFonts w:cs="Times New Roman"/>
          <w:lang w:eastAsia="zh-CN"/>
        </w:rPr>
        <w:t>OAT</w:t>
      </w:r>
      <w:r w:rsidR="00861E5F" w:rsidRPr="009E464F">
        <w:rPr>
          <w:rFonts w:cs="Times New Roman"/>
          <w:lang w:eastAsia="zh-CN"/>
        </w:rPr>
        <w:t>、</w:t>
      </w:r>
      <w:r w:rsidR="00861E5F" w:rsidRPr="009E464F">
        <w:rPr>
          <w:rFonts w:cs="Times New Roman"/>
          <w:lang w:eastAsia="zh-CN"/>
        </w:rPr>
        <w:t>OCT</w:t>
      </w:r>
      <w:r w:rsidR="00861E5F" w:rsidRPr="009E464F">
        <w:rPr>
          <w:rFonts w:cs="Times New Roman"/>
          <w:lang w:eastAsia="zh-CN"/>
        </w:rPr>
        <w:t>、</w:t>
      </w:r>
      <w:r w:rsidR="00861E5F" w:rsidRPr="009E464F">
        <w:rPr>
          <w:rFonts w:cs="Times New Roman"/>
          <w:lang w:eastAsia="zh-CN"/>
        </w:rPr>
        <w:t>MATEs</w:t>
      </w:r>
      <w:r w:rsidR="00861E5F" w:rsidRPr="009E464F">
        <w:rPr>
          <w:rFonts w:cs="Times New Roman"/>
          <w:lang w:eastAsia="zh-CN"/>
        </w:rPr>
        <w:t>的底物</w:t>
      </w:r>
    </w:p>
    <w:p w14:paraId="138406BF" w14:textId="52C640C3" w:rsidR="003E6C16" w:rsidRDefault="004C6D2B" w:rsidP="00CB0133">
      <w:pPr>
        <w:spacing w:after="0"/>
        <w:ind w:firstLine="640"/>
        <w:rPr>
          <w:rFonts w:cs="Times New Roman"/>
          <w:lang w:eastAsia="zh-CN"/>
        </w:rPr>
      </w:pPr>
      <w:r>
        <w:rPr>
          <w:rFonts w:cs="Times New Roman" w:hint="eastAsia"/>
          <w:lang w:eastAsia="zh-CN"/>
        </w:rPr>
        <w:t>（</w:t>
      </w:r>
      <w:proofErr w:type="spellStart"/>
      <w:r>
        <w:rPr>
          <w:rFonts w:cs="Times New Roman"/>
          <w:lang w:eastAsia="zh-CN"/>
        </w:rPr>
        <w:t>i</w:t>
      </w:r>
      <w:proofErr w:type="spellEnd"/>
      <w:r>
        <w:rPr>
          <w:rFonts w:cs="Times New Roman"/>
          <w:lang w:eastAsia="zh-CN"/>
        </w:rPr>
        <w:t>）</w:t>
      </w:r>
      <w:r w:rsidR="003E6C16">
        <w:rPr>
          <w:rFonts w:cs="Times New Roman" w:hint="eastAsia"/>
          <w:lang w:eastAsia="zh-CN"/>
        </w:rPr>
        <w:t>研究内容</w:t>
      </w:r>
    </w:p>
    <w:p w14:paraId="14279B12" w14:textId="23F16FF8" w:rsidR="00861E5F" w:rsidRDefault="00861E5F" w:rsidP="00CB0133">
      <w:pPr>
        <w:spacing w:after="0"/>
        <w:ind w:firstLine="640"/>
        <w:rPr>
          <w:rFonts w:cs="Times New Roman"/>
          <w:lang w:eastAsia="zh-CN"/>
        </w:rPr>
      </w:pPr>
      <w:r w:rsidRPr="009E464F">
        <w:rPr>
          <w:rFonts w:cs="Times New Roman"/>
          <w:lang w:eastAsia="zh-CN"/>
        </w:rPr>
        <w:t>如果体内代谢的相关数据表明</w:t>
      </w:r>
      <w:r w:rsidR="00975C9D" w:rsidRPr="009E464F">
        <w:rPr>
          <w:rFonts w:cs="Times New Roman"/>
          <w:lang w:eastAsia="zh-CN"/>
        </w:rPr>
        <w:t>在</w:t>
      </w:r>
      <w:proofErr w:type="gramStart"/>
      <w:r w:rsidR="00975C9D" w:rsidRPr="009E464F">
        <w:rPr>
          <w:rFonts w:cs="Times New Roman"/>
          <w:lang w:eastAsia="zh-CN"/>
        </w:rPr>
        <w:t>研</w:t>
      </w:r>
      <w:proofErr w:type="gramEnd"/>
      <w:r w:rsidR="00975C9D" w:rsidRPr="009E464F">
        <w:rPr>
          <w:rFonts w:cs="Times New Roman"/>
          <w:lang w:eastAsia="zh-CN"/>
        </w:rPr>
        <w:t>药物</w:t>
      </w:r>
      <w:r w:rsidR="00975C9D">
        <w:rPr>
          <w:rFonts w:cs="Times New Roman" w:hint="eastAsia"/>
          <w:lang w:eastAsia="zh-CN"/>
        </w:rPr>
        <w:t>存在明显的</w:t>
      </w:r>
      <w:proofErr w:type="gramStart"/>
      <w:r w:rsidRPr="009E464F">
        <w:rPr>
          <w:rFonts w:cs="Times New Roman"/>
          <w:lang w:eastAsia="zh-CN"/>
        </w:rPr>
        <w:t>肾</w:t>
      </w:r>
      <w:r w:rsidRPr="009E464F">
        <w:rPr>
          <w:rFonts w:cs="Times New Roman" w:hint="eastAsia"/>
          <w:lang w:eastAsia="zh-CN"/>
        </w:rPr>
        <w:t>主动</w:t>
      </w:r>
      <w:proofErr w:type="gramEnd"/>
      <w:r w:rsidRPr="009E464F">
        <w:rPr>
          <w:rFonts w:cs="Times New Roman" w:hint="eastAsia"/>
          <w:lang w:eastAsia="zh-CN"/>
        </w:rPr>
        <w:t>分泌</w:t>
      </w:r>
      <w:r w:rsidR="002D4D37" w:rsidRPr="00446341">
        <w:rPr>
          <w:rFonts w:cs="Times New Roman" w:hint="eastAsia"/>
          <w:lang w:eastAsia="zh-CN"/>
        </w:rPr>
        <w:t>清除</w:t>
      </w:r>
      <w:r w:rsidRPr="00446341">
        <w:rPr>
          <w:rFonts w:cs="Times New Roman"/>
          <w:lang w:eastAsia="zh-CN"/>
        </w:rPr>
        <w:t>（例如，</w:t>
      </w:r>
      <w:r w:rsidR="00CA1B88" w:rsidRPr="00446341">
        <w:rPr>
          <w:rFonts w:cs="Times New Roman"/>
          <w:lang w:eastAsia="zh-CN"/>
        </w:rPr>
        <w:t>原形药物</w:t>
      </w:r>
      <w:r w:rsidRPr="00446341">
        <w:rPr>
          <w:rFonts w:cs="Times New Roman"/>
          <w:lang w:eastAsia="zh-CN"/>
        </w:rPr>
        <w:t>的</w:t>
      </w:r>
      <w:proofErr w:type="gramStart"/>
      <w:r w:rsidRPr="00446341">
        <w:rPr>
          <w:rFonts w:cs="Times New Roman"/>
          <w:lang w:eastAsia="zh-CN"/>
        </w:rPr>
        <w:t>肾</w:t>
      </w:r>
      <w:r w:rsidRPr="00446341">
        <w:rPr>
          <w:rFonts w:cs="Times New Roman" w:hint="eastAsia"/>
          <w:lang w:eastAsia="zh-CN"/>
        </w:rPr>
        <w:t>主动</w:t>
      </w:r>
      <w:proofErr w:type="gramEnd"/>
      <w:r w:rsidRPr="00446341">
        <w:rPr>
          <w:rFonts w:cs="Times New Roman" w:hint="eastAsia"/>
          <w:lang w:eastAsia="zh-CN"/>
        </w:rPr>
        <w:t>分泌</w:t>
      </w:r>
      <w:r w:rsidR="002D4D37" w:rsidRPr="00446341">
        <w:rPr>
          <w:rFonts w:cs="Times New Roman" w:hint="eastAsia"/>
          <w:lang w:eastAsia="zh-CN"/>
        </w:rPr>
        <w:t>清除</w:t>
      </w:r>
      <w:r w:rsidR="00AB5BE9" w:rsidRPr="0083505F">
        <w:rPr>
          <w:rFonts w:cs="Times New Roman" w:hint="eastAsia"/>
          <w:lang w:eastAsia="zh-CN"/>
        </w:rPr>
        <w:t>率</w:t>
      </w:r>
      <w:r w:rsidRPr="009E464F">
        <w:rPr>
          <w:rFonts w:cs="Times New Roman"/>
          <w:lang w:eastAsia="zh-CN"/>
        </w:rPr>
        <w:t>≥</w:t>
      </w:r>
      <w:proofErr w:type="gramStart"/>
      <w:r w:rsidR="00072000" w:rsidRPr="009E464F">
        <w:rPr>
          <w:rFonts w:cs="Times New Roman"/>
          <w:lang w:eastAsia="zh-CN"/>
        </w:rPr>
        <w:t>总</w:t>
      </w:r>
      <w:r w:rsidRPr="009E464F">
        <w:rPr>
          <w:rFonts w:cs="Times New Roman"/>
          <w:lang w:eastAsia="zh-CN"/>
        </w:rPr>
        <w:t>药物</w:t>
      </w:r>
      <w:proofErr w:type="gramEnd"/>
      <w:r w:rsidRPr="009E464F">
        <w:rPr>
          <w:rFonts w:cs="Times New Roman"/>
          <w:lang w:eastAsia="zh-CN"/>
        </w:rPr>
        <w:t>清除</w:t>
      </w:r>
      <w:r w:rsidR="006800FA" w:rsidRPr="009E464F">
        <w:rPr>
          <w:rFonts w:cs="Times New Roman"/>
          <w:lang w:eastAsia="zh-CN"/>
        </w:rPr>
        <w:t>率</w:t>
      </w:r>
      <w:r w:rsidRPr="009E464F">
        <w:rPr>
          <w:rFonts w:cs="Times New Roman"/>
          <w:lang w:eastAsia="zh-CN"/>
        </w:rPr>
        <w:t>的</w:t>
      </w:r>
      <w:r w:rsidRPr="009E464F">
        <w:rPr>
          <w:rFonts w:cs="Times New Roman"/>
          <w:lang w:eastAsia="zh-CN"/>
        </w:rPr>
        <w:t>25%</w:t>
      </w:r>
      <w:r w:rsidRPr="009E464F">
        <w:rPr>
          <w:rFonts w:cs="Times New Roman"/>
          <w:lang w:eastAsia="zh-CN"/>
        </w:rPr>
        <w:t>），则应进行体外评估，以确定该药物是否是转运体</w:t>
      </w:r>
      <w:r w:rsidRPr="009E464F">
        <w:rPr>
          <w:rFonts w:cs="Times New Roman"/>
          <w:lang w:eastAsia="zh-CN"/>
        </w:rPr>
        <w:t>OAT1/3</w:t>
      </w:r>
      <w:r w:rsidRPr="009E464F">
        <w:rPr>
          <w:rFonts w:cs="Times New Roman"/>
          <w:lang w:eastAsia="zh-CN"/>
        </w:rPr>
        <w:t>、</w:t>
      </w:r>
      <w:r w:rsidRPr="009E464F">
        <w:rPr>
          <w:rFonts w:cs="Times New Roman"/>
          <w:lang w:eastAsia="zh-CN"/>
        </w:rPr>
        <w:t>OCT2</w:t>
      </w:r>
      <w:r w:rsidRPr="009E464F">
        <w:rPr>
          <w:rFonts w:cs="Times New Roman"/>
          <w:lang w:eastAsia="zh-CN"/>
        </w:rPr>
        <w:t>、</w:t>
      </w:r>
      <w:r w:rsidRPr="009E464F">
        <w:rPr>
          <w:rFonts w:cs="Times New Roman"/>
          <w:lang w:eastAsia="zh-CN"/>
        </w:rPr>
        <w:t>MATE1</w:t>
      </w:r>
      <w:r w:rsidRPr="009E464F">
        <w:rPr>
          <w:rFonts w:cs="Times New Roman"/>
          <w:lang w:eastAsia="zh-CN"/>
        </w:rPr>
        <w:t>和</w:t>
      </w:r>
      <w:r w:rsidRPr="009E464F">
        <w:rPr>
          <w:rFonts w:cs="Times New Roman"/>
          <w:lang w:eastAsia="zh-CN"/>
        </w:rPr>
        <w:t>MATE2-K</w:t>
      </w:r>
      <w:r w:rsidRPr="009E464F">
        <w:rPr>
          <w:rFonts w:cs="Times New Roman"/>
          <w:lang w:eastAsia="zh-CN"/>
        </w:rPr>
        <w:t>的底物。有关主动分泌的计算公式，</w:t>
      </w:r>
      <w:r w:rsidRPr="00446341">
        <w:rPr>
          <w:rFonts w:cs="Times New Roman" w:hint="eastAsia"/>
          <w:lang w:eastAsia="zh-CN"/>
        </w:rPr>
        <w:t>见图</w:t>
      </w:r>
      <w:r w:rsidR="00682710" w:rsidRPr="0083505F">
        <w:rPr>
          <w:rFonts w:cs="Times New Roman"/>
          <w:lang w:eastAsia="zh-CN"/>
        </w:rPr>
        <w:t>5</w:t>
      </w:r>
      <w:r w:rsidRPr="00446341">
        <w:rPr>
          <w:rFonts w:cs="Times New Roman"/>
          <w:lang w:eastAsia="zh-CN"/>
        </w:rPr>
        <w:t>。</w:t>
      </w:r>
    </w:p>
    <w:p w14:paraId="4E74AE32" w14:textId="46034D78" w:rsidR="00D50183" w:rsidRPr="00953D8E" w:rsidRDefault="00145505" w:rsidP="0083505F">
      <w:pPr>
        <w:spacing w:line="500" w:lineRule="exact"/>
        <w:ind w:firstLine="420"/>
        <w:jc w:val="center"/>
        <w:rPr>
          <w:rFonts w:cs="Times New Roman"/>
          <w:b/>
          <w:sz w:val="21"/>
          <w:szCs w:val="21"/>
          <w:lang w:eastAsia="zh-CN"/>
        </w:rPr>
      </w:pPr>
      <w:r>
        <w:rPr>
          <w:rFonts w:cs="Times New Roman"/>
          <w:noProof/>
          <w:sz w:val="21"/>
          <w:szCs w:val="21"/>
          <w:lang w:eastAsia="zh-CN"/>
        </w:rPr>
        <mc:AlternateContent>
          <mc:Choice Requires="wps">
            <w:drawing>
              <wp:anchor distT="0" distB="0" distL="114300" distR="114300" simplePos="0" relativeHeight="251703296" behindDoc="0" locked="0" layoutInCell="1" allowOverlap="1" wp14:anchorId="57DF5314" wp14:editId="01FFE21D">
                <wp:simplePos x="0" y="0"/>
                <wp:positionH relativeFrom="margin">
                  <wp:align>right</wp:align>
                </wp:positionH>
                <wp:positionV relativeFrom="paragraph">
                  <wp:posOffset>307206</wp:posOffset>
                </wp:positionV>
                <wp:extent cx="5524901" cy="862330"/>
                <wp:effectExtent l="0" t="0" r="19050" b="13970"/>
                <wp:wrapNone/>
                <wp:docPr id="5"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901" cy="862330"/>
                        </a:xfrm>
                        <a:prstGeom prst="rect">
                          <a:avLst/>
                        </a:prstGeom>
                        <a:solidFill>
                          <a:srgbClr val="FFFFFF"/>
                        </a:solidFill>
                        <a:ln w="9525">
                          <a:solidFill>
                            <a:srgbClr val="000000"/>
                          </a:solidFill>
                          <a:miter lim="800000"/>
                          <a:headEnd/>
                          <a:tailEnd/>
                        </a:ln>
                      </wps:spPr>
                      <wps:txbx>
                        <w:txbxContent>
                          <w:p w14:paraId="49CCDB99" w14:textId="77777777" w:rsidR="00921CF9" w:rsidRPr="0037591B" w:rsidRDefault="00921CF9" w:rsidP="00D50183">
                            <w:pPr>
                              <w:spacing w:after="0"/>
                              <w:ind w:firstLine="420"/>
                              <w:rPr>
                                <w:rFonts w:cs="Times New Roman"/>
                                <w:sz w:val="21"/>
                                <w:szCs w:val="21"/>
                                <w:lang w:eastAsia="zh-CN"/>
                              </w:rPr>
                            </w:pPr>
                            <w:proofErr w:type="gramStart"/>
                            <w:r w:rsidRPr="0037591B">
                              <w:rPr>
                                <w:rFonts w:hAnsi="宋体" w:cs="Times New Roman" w:hint="eastAsia"/>
                                <w:sz w:val="21"/>
                                <w:szCs w:val="21"/>
                                <w:lang w:eastAsia="zh-CN"/>
                              </w:rPr>
                              <w:t>肾</w:t>
                            </w:r>
                            <w:r w:rsidRPr="0037591B">
                              <w:rPr>
                                <w:rFonts w:hAnsi="宋体" w:cs="Times New Roman"/>
                                <w:sz w:val="21"/>
                                <w:szCs w:val="21"/>
                                <w:lang w:eastAsia="zh-CN"/>
                              </w:rPr>
                              <w:t>主动</w:t>
                            </w:r>
                            <w:proofErr w:type="gramEnd"/>
                            <w:r w:rsidRPr="0037591B">
                              <w:rPr>
                                <w:rFonts w:hAnsi="宋体" w:cs="Times New Roman"/>
                                <w:sz w:val="21"/>
                                <w:szCs w:val="21"/>
                                <w:lang w:eastAsia="zh-CN"/>
                              </w:rPr>
                              <w:t>分泌</w:t>
                            </w:r>
                            <w:r w:rsidRPr="0037591B">
                              <w:rPr>
                                <w:rFonts w:cs="Times New Roman"/>
                                <w:sz w:val="21"/>
                                <w:szCs w:val="21"/>
                                <w:lang w:eastAsia="zh-CN"/>
                              </w:rPr>
                              <w:t>=CL</w:t>
                            </w:r>
                            <w:r w:rsidRPr="0037591B">
                              <w:rPr>
                                <w:rFonts w:cs="Times New Roman"/>
                                <w:sz w:val="21"/>
                                <w:szCs w:val="21"/>
                                <w:vertAlign w:val="subscript"/>
                                <w:lang w:eastAsia="zh-CN"/>
                              </w:rPr>
                              <w:t>r</w:t>
                            </w:r>
                            <w:r w:rsidRPr="0037591B">
                              <w:rPr>
                                <w:rFonts w:cs="Times New Roman" w:hint="eastAsia"/>
                                <w:sz w:val="21"/>
                                <w:szCs w:val="21"/>
                                <w:lang w:eastAsia="zh-CN"/>
                              </w:rPr>
                              <w:t>－</w:t>
                            </w:r>
                            <w:r w:rsidRPr="0037591B">
                              <w:rPr>
                                <w:rFonts w:hAnsi="宋体" w:cs="Times New Roman"/>
                                <w:sz w:val="21"/>
                                <w:szCs w:val="21"/>
                                <w:lang w:eastAsia="zh-CN"/>
                              </w:rPr>
                              <w:t>（</w:t>
                            </w:r>
                            <w:r w:rsidRPr="0037591B">
                              <w:rPr>
                                <w:rFonts w:cs="Times New Roman"/>
                                <w:sz w:val="21"/>
                                <w:szCs w:val="21"/>
                                <w:lang w:eastAsia="zh-CN"/>
                              </w:rPr>
                              <w:t>f</w:t>
                            </w:r>
                            <w:r w:rsidRPr="0037591B">
                              <w:rPr>
                                <w:rFonts w:cs="Times New Roman"/>
                                <w:sz w:val="21"/>
                                <w:szCs w:val="21"/>
                                <w:vertAlign w:val="subscript"/>
                                <w:lang w:eastAsia="zh-CN"/>
                              </w:rPr>
                              <w:t>u,p</w:t>
                            </w:r>
                            <w:r w:rsidRPr="0037591B">
                              <w:rPr>
                                <w:rFonts w:cs="Times New Roman"/>
                                <w:sz w:val="21"/>
                                <w:szCs w:val="21"/>
                                <w:lang w:eastAsia="zh-CN"/>
                              </w:rPr>
                              <w:t>×GFR</w:t>
                            </w:r>
                            <w:r w:rsidRPr="0037591B">
                              <w:rPr>
                                <w:rFonts w:hAnsi="宋体" w:cs="Times New Roman"/>
                                <w:sz w:val="21"/>
                                <w:szCs w:val="21"/>
                                <w:lang w:eastAsia="zh-CN"/>
                              </w:rPr>
                              <w:t>）</w:t>
                            </w:r>
                          </w:p>
                          <w:p w14:paraId="53115AB1" w14:textId="77777777" w:rsidR="00921CF9" w:rsidRPr="00162604" w:rsidRDefault="00921CF9" w:rsidP="00D50183">
                            <w:pPr>
                              <w:spacing w:after="0"/>
                              <w:ind w:firstLine="420"/>
                              <w:rPr>
                                <w:rFonts w:hAnsi="宋体" w:cs="Times New Roman"/>
                                <w:sz w:val="21"/>
                                <w:szCs w:val="21"/>
                                <w:lang w:eastAsia="zh-CN"/>
                              </w:rPr>
                            </w:pPr>
                            <w:r w:rsidRPr="00162604">
                              <w:rPr>
                                <w:rFonts w:cs="Times New Roman"/>
                                <w:sz w:val="21"/>
                                <w:szCs w:val="21"/>
                                <w:lang w:eastAsia="zh-CN"/>
                              </w:rPr>
                              <w:t>CL</w:t>
                            </w:r>
                            <w:r w:rsidRPr="00162604">
                              <w:rPr>
                                <w:rFonts w:cs="Times New Roman"/>
                                <w:sz w:val="21"/>
                                <w:szCs w:val="21"/>
                                <w:vertAlign w:val="subscript"/>
                                <w:lang w:eastAsia="zh-CN"/>
                              </w:rPr>
                              <w:t>r</w:t>
                            </w:r>
                            <w:r w:rsidRPr="00162604">
                              <w:rPr>
                                <w:rFonts w:hAnsi="宋体" w:cs="Times New Roman"/>
                                <w:sz w:val="21"/>
                                <w:szCs w:val="21"/>
                                <w:lang w:eastAsia="zh-CN"/>
                              </w:rPr>
                              <w:t>：肾脏清除率</w:t>
                            </w:r>
                            <w:r w:rsidRPr="00162604">
                              <w:rPr>
                                <w:rFonts w:hAnsi="宋体" w:cs="Times New Roman" w:hint="eastAsia"/>
                                <w:sz w:val="21"/>
                                <w:szCs w:val="21"/>
                                <w:lang w:eastAsia="zh-CN"/>
                              </w:rPr>
                              <w:t>；</w:t>
                            </w:r>
                            <w:r w:rsidRPr="00162604">
                              <w:rPr>
                                <w:rFonts w:cs="Times New Roman"/>
                                <w:sz w:val="21"/>
                                <w:szCs w:val="21"/>
                                <w:lang w:eastAsia="zh-CN"/>
                              </w:rPr>
                              <w:t>f</w:t>
                            </w:r>
                            <w:r w:rsidRPr="00162604">
                              <w:rPr>
                                <w:rFonts w:cs="Times New Roman"/>
                                <w:sz w:val="21"/>
                                <w:szCs w:val="21"/>
                                <w:vertAlign w:val="subscript"/>
                                <w:lang w:eastAsia="zh-CN"/>
                              </w:rPr>
                              <w:t>u,p</w:t>
                            </w:r>
                            <w:r w:rsidRPr="00162604">
                              <w:rPr>
                                <w:rFonts w:hAnsi="宋体" w:cs="Times New Roman"/>
                                <w:sz w:val="21"/>
                                <w:szCs w:val="21"/>
                                <w:lang w:eastAsia="zh-CN"/>
                              </w:rPr>
                              <w:t>：血浆中</w:t>
                            </w:r>
                            <w:r>
                              <w:rPr>
                                <w:rFonts w:hAnsi="宋体" w:cs="Times New Roman" w:hint="eastAsia"/>
                                <w:sz w:val="21"/>
                                <w:szCs w:val="21"/>
                                <w:lang w:eastAsia="zh-CN"/>
                              </w:rPr>
                              <w:t>药物</w:t>
                            </w:r>
                            <w:r w:rsidRPr="00162604">
                              <w:rPr>
                                <w:rFonts w:hAnsi="宋体" w:cs="Times New Roman"/>
                                <w:sz w:val="21"/>
                                <w:szCs w:val="21"/>
                                <w:lang w:eastAsia="zh-CN"/>
                              </w:rPr>
                              <w:t>游离</w:t>
                            </w:r>
                            <w:r>
                              <w:rPr>
                                <w:rFonts w:hAnsi="宋体" w:cs="Times New Roman" w:hint="eastAsia"/>
                                <w:sz w:val="21"/>
                                <w:szCs w:val="21"/>
                                <w:lang w:eastAsia="zh-CN"/>
                              </w:rPr>
                              <w:t>分数</w:t>
                            </w:r>
                            <w:r w:rsidRPr="00162604">
                              <w:rPr>
                                <w:rFonts w:hAnsi="宋体" w:cs="Times New Roman" w:hint="eastAsia"/>
                                <w:sz w:val="21"/>
                                <w:szCs w:val="21"/>
                                <w:lang w:eastAsia="zh-CN"/>
                              </w:rPr>
                              <w:t>；</w:t>
                            </w:r>
                            <w:r w:rsidRPr="00162604">
                              <w:rPr>
                                <w:rFonts w:cs="Times New Roman"/>
                                <w:sz w:val="21"/>
                                <w:szCs w:val="21"/>
                                <w:lang w:eastAsia="zh-CN"/>
                              </w:rPr>
                              <w:t>GFR</w:t>
                            </w:r>
                            <w:r>
                              <w:rPr>
                                <w:rFonts w:hAnsi="宋体" w:cs="Times New Roman" w:hint="eastAsia"/>
                                <w:sz w:val="21"/>
                                <w:szCs w:val="21"/>
                                <w:lang w:eastAsia="zh-CN"/>
                              </w:rPr>
                              <w:t>：</w:t>
                            </w:r>
                            <w:r w:rsidRPr="00162604">
                              <w:rPr>
                                <w:rFonts w:hAnsi="宋体" w:cs="Times New Roman"/>
                                <w:sz w:val="21"/>
                                <w:szCs w:val="21"/>
                                <w:lang w:eastAsia="zh-CN"/>
                              </w:rPr>
                              <w:t>肾小球滤过率。</w:t>
                            </w:r>
                          </w:p>
                          <w:p w14:paraId="5BD11789" w14:textId="77777777" w:rsidR="00921CF9" w:rsidRPr="00173760" w:rsidRDefault="00921CF9" w:rsidP="00D50183">
                            <w:pPr>
                              <w:spacing w:after="0"/>
                              <w:ind w:firstLine="420"/>
                              <w:rPr>
                                <w:sz w:val="28"/>
                                <w:szCs w:val="28"/>
                                <w:lang w:eastAsia="zh-CN"/>
                              </w:rPr>
                            </w:pPr>
                            <w:r w:rsidRPr="00162604">
                              <w:rPr>
                                <w:rFonts w:cs="Times New Roman"/>
                                <w:sz w:val="21"/>
                                <w:szCs w:val="21"/>
                                <w:vertAlign w:val="superscript"/>
                                <w:lang w:eastAsia="zh-CN"/>
                              </w:rPr>
                              <w:t>*</w:t>
                            </w:r>
                            <w:r>
                              <w:rPr>
                                <w:rFonts w:hAnsi="宋体" w:cs="Times New Roman" w:hint="eastAsia"/>
                                <w:sz w:val="21"/>
                                <w:szCs w:val="21"/>
                                <w:lang w:eastAsia="zh-CN"/>
                              </w:rPr>
                              <w:t>此</w:t>
                            </w:r>
                            <w:r w:rsidRPr="00162604">
                              <w:rPr>
                                <w:rFonts w:hAnsi="宋体" w:cs="Times New Roman"/>
                                <w:sz w:val="21"/>
                                <w:szCs w:val="21"/>
                                <w:lang w:eastAsia="zh-CN"/>
                              </w:rPr>
                              <w:t>公式</w:t>
                            </w:r>
                            <w:r>
                              <w:rPr>
                                <w:rFonts w:hAnsi="宋体" w:cs="Times New Roman" w:hint="eastAsia"/>
                                <w:sz w:val="21"/>
                                <w:szCs w:val="21"/>
                                <w:lang w:eastAsia="zh-CN"/>
                              </w:rPr>
                              <w:t>的假设</w:t>
                            </w:r>
                            <w:r w:rsidRPr="00162604">
                              <w:rPr>
                                <w:rFonts w:hAnsi="宋体" w:cs="Times New Roman" w:hint="eastAsia"/>
                                <w:sz w:val="21"/>
                                <w:szCs w:val="21"/>
                                <w:lang w:eastAsia="zh-CN"/>
                              </w:rPr>
                              <w:t>是</w:t>
                            </w:r>
                            <w:r>
                              <w:rPr>
                                <w:rFonts w:hAnsi="宋体" w:cs="Times New Roman" w:hint="eastAsia"/>
                                <w:sz w:val="21"/>
                                <w:szCs w:val="21"/>
                                <w:lang w:eastAsia="zh-CN"/>
                              </w:rPr>
                              <w:t>无</w:t>
                            </w:r>
                            <w:r w:rsidRPr="00162604">
                              <w:rPr>
                                <w:rFonts w:hAnsi="宋体" w:cs="Times New Roman"/>
                                <w:sz w:val="21"/>
                                <w:szCs w:val="21"/>
                                <w:lang w:eastAsia="zh-CN"/>
                              </w:rPr>
                              <w:t>重吸收。</w:t>
                            </w:r>
                            <w:r>
                              <w:rPr>
                                <w:rFonts w:hAnsi="宋体" w:cs="Times New Roman" w:hint="eastAsia"/>
                                <w:sz w:val="21"/>
                                <w:szCs w:val="21"/>
                                <w:lang w:eastAsia="zh-CN"/>
                              </w:rPr>
                              <w:t>若</w:t>
                            </w:r>
                            <w:r w:rsidRPr="00162604">
                              <w:rPr>
                                <w:rFonts w:hAnsi="宋体" w:cs="Times New Roman"/>
                                <w:sz w:val="21"/>
                                <w:szCs w:val="21"/>
                                <w:lang w:eastAsia="zh-CN"/>
                              </w:rPr>
                              <w:t>受试者</w:t>
                            </w:r>
                            <w:r>
                              <w:rPr>
                                <w:rFonts w:hAnsi="宋体" w:cs="Times New Roman" w:hint="eastAsia"/>
                                <w:sz w:val="21"/>
                                <w:szCs w:val="21"/>
                                <w:lang w:eastAsia="zh-CN"/>
                              </w:rPr>
                              <w:t>未</w:t>
                            </w:r>
                            <w:r w:rsidRPr="00162604">
                              <w:rPr>
                                <w:rFonts w:hAnsi="宋体" w:cs="Times New Roman"/>
                                <w:sz w:val="21"/>
                                <w:szCs w:val="21"/>
                                <w:lang w:eastAsia="zh-CN"/>
                              </w:rPr>
                              <w:t>测</w:t>
                            </w:r>
                            <w:r>
                              <w:rPr>
                                <w:rFonts w:hAnsi="宋体" w:cs="Times New Roman" w:hint="eastAsia"/>
                                <w:sz w:val="21"/>
                                <w:szCs w:val="21"/>
                                <w:lang w:eastAsia="zh-CN"/>
                              </w:rPr>
                              <w:t>定</w:t>
                            </w:r>
                            <w:r w:rsidRPr="00162604">
                              <w:rPr>
                                <w:rFonts w:cs="Times New Roman"/>
                                <w:sz w:val="21"/>
                                <w:szCs w:val="21"/>
                                <w:lang w:eastAsia="zh-CN"/>
                              </w:rPr>
                              <w:t>GFR</w:t>
                            </w:r>
                            <w:r w:rsidRPr="00162604">
                              <w:rPr>
                                <w:rFonts w:hAnsi="宋体" w:cs="Times New Roman"/>
                                <w:sz w:val="21"/>
                                <w:szCs w:val="21"/>
                                <w:lang w:eastAsia="zh-CN"/>
                              </w:rPr>
                              <w:t>，则</w:t>
                            </w:r>
                            <w:r w:rsidRPr="00162604">
                              <w:rPr>
                                <w:rFonts w:cs="Times New Roman"/>
                                <w:sz w:val="21"/>
                                <w:szCs w:val="21"/>
                                <w:lang w:eastAsia="zh-CN"/>
                              </w:rPr>
                              <w:t>GFR</w:t>
                            </w:r>
                            <w:r w:rsidRPr="00162604">
                              <w:rPr>
                                <w:rFonts w:hAnsi="宋体" w:cs="Times New Roman"/>
                                <w:sz w:val="21"/>
                                <w:szCs w:val="21"/>
                                <w:lang w:eastAsia="zh-CN"/>
                              </w:rPr>
                              <w:t>默认为</w:t>
                            </w:r>
                            <w:r w:rsidRPr="00162604">
                              <w:rPr>
                                <w:rFonts w:cs="Times New Roman"/>
                                <w:sz w:val="21"/>
                                <w:szCs w:val="21"/>
                                <w:lang w:eastAsia="zh-CN"/>
                              </w:rPr>
                              <w:t>125 mL/min</w:t>
                            </w:r>
                            <w:r w:rsidRPr="00162604">
                              <w:rPr>
                                <w:rFonts w:hAnsi="宋体" w:cs="Times New Roman"/>
                                <w:sz w:val="21"/>
                                <w:szCs w:val="21"/>
                                <w:lang w:eastAsia="zh-C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DF5314" id="文本框 1" o:spid="_x0000_s1030" type="#_x0000_t202" style="position:absolute;left:0;text-align:left;margin-left:383.85pt;margin-top:24.2pt;width:435.05pt;height:67.9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tfPwIAAFgEAAAOAAAAZHJzL2Uyb0RvYy54bWysVM2O0zAQviPxDpbvNGm3XbZR09XSpQhp&#10;+ZEWHsBxnMTC8RjbbVIeAN6AExfuPFefg7HTlvJ3QeRgeezxNzPfN5PFdd8qshXWSdA5HY9SSoTm&#10;UEpd5/Ttm/WjK0qcZ7pkCrTI6U44er18+GDRmUxMoAFVCksQRLusMzltvDdZkjjeiJa5ERih8bIC&#10;2zKPpq2T0rIO0VuVTNL0MunAlsYCF87h6e1wSZcRv6oE96+qyglPVE4xNx9XG9cirMlywbLaMtNI&#10;fkiD/UMWLZMag56gbplnZGPlb1Ct5BYcVH7EoU2gqiQXsQasZpz+Us19w4yItSA5zpxocv8Plr/c&#10;vrZEljmdUaJZixLtP3/af/m2//qRjAM9nXEZet0b9PP9E+hR5liqM3fA3zmiYdUwXYsba6FrBCsx&#10;vfgyOXs64LgAUnQvoMQ4bOMhAvWVbQN3yAZBdJRpd5JG9J5wPJzNJtN5OqaE493V5eTiImqXsOz4&#10;2ljnnwloSdjk1KL0EZ1t75zHOtD16BKCOVCyXEulomHrYqUs2TJsk3X8Qun45Cc3pUmX0/lsMhsI&#10;+CtEGr8/QbTSY78r2WIVJyeWBdqe6jJ2o2dSDXuMrzSmEXgM1A0k+r7oo2LTozwFlDsk1sLQ3jiO&#10;uGnAfqCkw9bOqXu/YVZQop5rFGc+nk7DLERjOns8QcOe3xTnN0xzhMqpp2TYrvwwPxtjZd1gpKEd&#10;NNygoJWMXIeMh6wO6WP7Rj4Poxbm49yOXj9+CMvvAAAA//8DAFBLAwQUAAYACAAAACEAUh72qN0A&#10;AAAHAQAADwAAAGRycy9kb3ducmV2LnhtbEyPwU7DMBBE70j8g7VIXBB1WqI2hDgVQgLBDQpqr268&#10;TSLsdbDdNPw9ywmOoxnNvKnWk7NixBB7TwrmswwEUuNNT62Cj/fH6wJETJqMtp5QwTdGWNfnZ5Uu&#10;jT/RG46b1AouoVhqBV1KQyllbDp0Os78gMTewQenE8vQShP0icudlYssW0qne+KFTg/40GHzuTk6&#10;BUX+PO7iy83rtlke7G26Wo1PX0Gpy4vp/g5Ewin9heEXn9GhZqa9P5KJwirgI0lBXuQg2C1W2RzE&#10;nmNFvgBZV/I/f/0DAAD//wMAUEsBAi0AFAAGAAgAAAAhALaDOJL+AAAA4QEAABMAAAAAAAAAAAAA&#10;AAAAAAAAAFtDb250ZW50X1R5cGVzXS54bWxQSwECLQAUAAYACAAAACEAOP0h/9YAAACUAQAACwAA&#10;AAAAAAAAAAAAAAAvAQAAX3JlbHMvLnJlbHNQSwECLQAUAAYACAAAACEAXnt7Xz8CAABYBAAADgAA&#10;AAAAAAAAAAAAAAAuAgAAZHJzL2Uyb0RvYy54bWxQSwECLQAUAAYACAAAACEAUh72qN0AAAAHAQAA&#10;DwAAAAAAAAAAAAAAAACZBAAAZHJzL2Rvd25yZXYueG1sUEsFBgAAAAAEAAQA8wAAAKMFAAAAAA==&#10;">
                <v:textbox>
                  <w:txbxContent>
                    <w:p w14:paraId="49CCDB99" w14:textId="77777777" w:rsidR="00921CF9" w:rsidRPr="0037591B" w:rsidRDefault="00921CF9" w:rsidP="00D50183">
                      <w:pPr>
                        <w:spacing w:after="0"/>
                        <w:ind w:firstLine="420"/>
                        <w:rPr>
                          <w:rFonts w:cs="Times New Roman"/>
                          <w:sz w:val="21"/>
                          <w:szCs w:val="21"/>
                          <w:lang w:eastAsia="zh-CN"/>
                        </w:rPr>
                      </w:pPr>
                      <w:proofErr w:type="gramStart"/>
                      <w:r w:rsidRPr="0037591B">
                        <w:rPr>
                          <w:rFonts w:hAnsi="宋体" w:cs="Times New Roman" w:hint="eastAsia"/>
                          <w:sz w:val="21"/>
                          <w:szCs w:val="21"/>
                          <w:lang w:eastAsia="zh-CN"/>
                        </w:rPr>
                        <w:t>肾</w:t>
                      </w:r>
                      <w:r w:rsidRPr="0037591B">
                        <w:rPr>
                          <w:rFonts w:hAnsi="宋体" w:cs="Times New Roman"/>
                          <w:sz w:val="21"/>
                          <w:szCs w:val="21"/>
                          <w:lang w:eastAsia="zh-CN"/>
                        </w:rPr>
                        <w:t>主动</w:t>
                      </w:r>
                      <w:proofErr w:type="gramEnd"/>
                      <w:r w:rsidRPr="0037591B">
                        <w:rPr>
                          <w:rFonts w:hAnsi="宋体" w:cs="Times New Roman"/>
                          <w:sz w:val="21"/>
                          <w:szCs w:val="21"/>
                          <w:lang w:eastAsia="zh-CN"/>
                        </w:rPr>
                        <w:t>分泌</w:t>
                      </w:r>
                      <w:r w:rsidRPr="0037591B">
                        <w:rPr>
                          <w:rFonts w:cs="Times New Roman"/>
                          <w:sz w:val="21"/>
                          <w:szCs w:val="21"/>
                          <w:lang w:eastAsia="zh-CN"/>
                        </w:rPr>
                        <w:t>=CL</w:t>
                      </w:r>
                      <w:r w:rsidRPr="0037591B">
                        <w:rPr>
                          <w:rFonts w:cs="Times New Roman"/>
                          <w:sz w:val="21"/>
                          <w:szCs w:val="21"/>
                          <w:vertAlign w:val="subscript"/>
                          <w:lang w:eastAsia="zh-CN"/>
                        </w:rPr>
                        <w:t>r</w:t>
                      </w:r>
                      <w:r w:rsidRPr="0037591B">
                        <w:rPr>
                          <w:rFonts w:cs="Times New Roman" w:hint="eastAsia"/>
                          <w:sz w:val="21"/>
                          <w:szCs w:val="21"/>
                          <w:lang w:eastAsia="zh-CN"/>
                        </w:rPr>
                        <w:t>－</w:t>
                      </w:r>
                      <w:r w:rsidRPr="0037591B">
                        <w:rPr>
                          <w:rFonts w:hAnsi="宋体" w:cs="Times New Roman"/>
                          <w:sz w:val="21"/>
                          <w:szCs w:val="21"/>
                          <w:lang w:eastAsia="zh-CN"/>
                        </w:rPr>
                        <w:t>（</w:t>
                      </w:r>
                      <w:r w:rsidRPr="0037591B">
                        <w:rPr>
                          <w:rFonts w:cs="Times New Roman"/>
                          <w:sz w:val="21"/>
                          <w:szCs w:val="21"/>
                          <w:lang w:eastAsia="zh-CN"/>
                        </w:rPr>
                        <w:t>f</w:t>
                      </w:r>
                      <w:r w:rsidRPr="0037591B">
                        <w:rPr>
                          <w:rFonts w:cs="Times New Roman"/>
                          <w:sz w:val="21"/>
                          <w:szCs w:val="21"/>
                          <w:vertAlign w:val="subscript"/>
                          <w:lang w:eastAsia="zh-CN"/>
                        </w:rPr>
                        <w:t>u,p</w:t>
                      </w:r>
                      <w:r w:rsidRPr="0037591B">
                        <w:rPr>
                          <w:rFonts w:cs="Times New Roman"/>
                          <w:sz w:val="21"/>
                          <w:szCs w:val="21"/>
                          <w:lang w:eastAsia="zh-CN"/>
                        </w:rPr>
                        <w:t>×GFR</w:t>
                      </w:r>
                      <w:r w:rsidRPr="0037591B">
                        <w:rPr>
                          <w:rFonts w:hAnsi="宋体" w:cs="Times New Roman"/>
                          <w:sz w:val="21"/>
                          <w:szCs w:val="21"/>
                          <w:lang w:eastAsia="zh-CN"/>
                        </w:rPr>
                        <w:t>）</w:t>
                      </w:r>
                    </w:p>
                    <w:p w14:paraId="53115AB1" w14:textId="77777777" w:rsidR="00921CF9" w:rsidRPr="00162604" w:rsidRDefault="00921CF9" w:rsidP="00D50183">
                      <w:pPr>
                        <w:spacing w:after="0"/>
                        <w:ind w:firstLine="420"/>
                        <w:rPr>
                          <w:rFonts w:hAnsi="宋体" w:cs="Times New Roman"/>
                          <w:sz w:val="21"/>
                          <w:szCs w:val="21"/>
                          <w:lang w:eastAsia="zh-CN"/>
                        </w:rPr>
                      </w:pPr>
                      <w:r w:rsidRPr="00162604">
                        <w:rPr>
                          <w:rFonts w:cs="Times New Roman"/>
                          <w:sz w:val="21"/>
                          <w:szCs w:val="21"/>
                          <w:lang w:eastAsia="zh-CN"/>
                        </w:rPr>
                        <w:t>CL</w:t>
                      </w:r>
                      <w:r w:rsidRPr="00162604">
                        <w:rPr>
                          <w:rFonts w:cs="Times New Roman"/>
                          <w:sz w:val="21"/>
                          <w:szCs w:val="21"/>
                          <w:vertAlign w:val="subscript"/>
                          <w:lang w:eastAsia="zh-CN"/>
                        </w:rPr>
                        <w:t>r</w:t>
                      </w:r>
                      <w:r w:rsidRPr="00162604">
                        <w:rPr>
                          <w:rFonts w:hAnsi="宋体" w:cs="Times New Roman"/>
                          <w:sz w:val="21"/>
                          <w:szCs w:val="21"/>
                          <w:lang w:eastAsia="zh-CN"/>
                        </w:rPr>
                        <w:t>：肾脏清除率</w:t>
                      </w:r>
                      <w:r w:rsidRPr="00162604">
                        <w:rPr>
                          <w:rFonts w:hAnsi="宋体" w:cs="Times New Roman" w:hint="eastAsia"/>
                          <w:sz w:val="21"/>
                          <w:szCs w:val="21"/>
                          <w:lang w:eastAsia="zh-CN"/>
                        </w:rPr>
                        <w:t>；</w:t>
                      </w:r>
                      <w:r w:rsidRPr="00162604">
                        <w:rPr>
                          <w:rFonts w:cs="Times New Roman"/>
                          <w:sz w:val="21"/>
                          <w:szCs w:val="21"/>
                          <w:lang w:eastAsia="zh-CN"/>
                        </w:rPr>
                        <w:t>f</w:t>
                      </w:r>
                      <w:r w:rsidRPr="00162604">
                        <w:rPr>
                          <w:rFonts w:cs="Times New Roman"/>
                          <w:sz w:val="21"/>
                          <w:szCs w:val="21"/>
                          <w:vertAlign w:val="subscript"/>
                          <w:lang w:eastAsia="zh-CN"/>
                        </w:rPr>
                        <w:t>u,p</w:t>
                      </w:r>
                      <w:r w:rsidRPr="00162604">
                        <w:rPr>
                          <w:rFonts w:hAnsi="宋体" w:cs="Times New Roman"/>
                          <w:sz w:val="21"/>
                          <w:szCs w:val="21"/>
                          <w:lang w:eastAsia="zh-CN"/>
                        </w:rPr>
                        <w:t>：血浆中</w:t>
                      </w:r>
                      <w:r>
                        <w:rPr>
                          <w:rFonts w:hAnsi="宋体" w:cs="Times New Roman" w:hint="eastAsia"/>
                          <w:sz w:val="21"/>
                          <w:szCs w:val="21"/>
                          <w:lang w:eastAsia="zh-CN"/>
                        </w:rPr>
                        <w:t>药物</w:t>
                      </w:r>
                      <w:r w:rsidRPr="00162604">
                        <w:rPr>
                          <w:rFonts w:hAnsi="宋体" w:cs="Times New Roman"/>
                          <w:sz w:val="21"/>
                          <w:szCs w:val="21"/>
                          <w:lang w:eastAsia="zh-CN"/>
                        </w:rPr>
                        <w:t>游离</w:t>
                      </w:r>
                      <w:r>
                        <w:rPr>
                          <w:rFonts w:hAnsi="宋体" w:cs="Times New Roman" w:hint="eastAsia"/>
                          <w:sz w:val="21"/>
                          <w:szCs w:val="21"/>
                          <w:lang w:eastAsia="zh-CN"/>
                        </w:rPr>
                        <w:t>分数</w:t>
                      </w:r>
                      <w:r w:rsidRPr="00162604">
                        <w:rPr>
                          <w:rFonts w:hAnsi="宋体" w:cs="Times New Roman" w:hint="eastAsia"/>
                          <w:sz w:val="21"/>
                          <w:szCs w:val="21"/>
                          <w:lang w:eastAsia="zh-CN"/>
                        </w:rPr>
                        <w:t>；</w:t>
                      </w:r>
                      <w:r w:rsidRPr="00162604">
                        <w:rPr>
                          <w:rFonts w:cs="Times New Roman"/>
                          <w:sz w:val="21"/>
                          <w:szCs w:val="21"/>
                          <w:lang w:eastAsia="zh-CN"/>
                        </w:rPr>
                        <w:t>GFR</w:t>
                      </w:r>
                      <w:r>
                        <w:rPr>
                          <w:rFonts w:hAnsi="宋体" w:cs="Times New Roman" w:hint="eastAsia"/>
                          <w:sz w:val="21"/>
                          <w:szCs w:val="21"/>
                          <w:lang w:eastAsia="zh-CN"/>
                        </w:rPr>
                        <w:t>：</w:t>
                      </w:r>
                      <w:r w:rsidRPr="00162604">
                        <w:rPr>
                          <w:rFonts w:hAnsi="宋体" w:cs="Times New Roman"/>
                          <w:sz w:val="21"/>
                          <w:szCs w:val="21"/>
                          <w:lang w:eastAsia="zh-CN"/>
                        </w:rPr>
                        <w:t>肾小球滤过率。</w:t>
                      </w:r>
                    </w:p>
                    <w:p w14:paraId="5BD11789" w14:textId="77777777" w:rsidR="00921CF9" w:rsidRPr="00173760" w:rsidRDefault="00921CF9" w:rsidP="00D50183">
                      <w:pPr>
                        <w:spacing w:after="0"/>
                        <w:ind w:firstLine="420"/>
                        <w:rPr>
                          <w:sz w:val="28"/>
                          <w:szCs w:val="28"/>
                          <w:lang w:eastAsia="zh-CN"/>
                        </w:rPr>
                      </w:pPr>
                      <w:r w:rsidRPr="00162604">
                        <w:rPr>
                          <w:rFonts w:cs="Times New Roman"/>
                          <w:sz w:val="21"/>
                          <w:szCs w:val="21"/>
                          <w:vertAlign w:val="superscript"/>
                          <w:lang w:eastAsia="zh-CN"/>
                        </w:rPr>
                        <w:t>*</w:t>
                      </w:r>
                      <w:r>
                        <w:rPr>
                          <w:rFonts w:hAnsi="宋体" w:cs="Times New Roman" w:hint="eastAsia"/>
                          <w:sz w:val="21"/>
                          <w:szCs w:val="21"/>
                          <w:lang w:eastAsia="zh-CN"/>
                        </w:rPr>
                        <w:t>此</w:t>
                      </w:r>
                      <w:r w:rsidRPr="00162604">
                        <w:rPr>
                          <w:rFonts w:hAnsi="宋体" w:cs="Times New Roman"/>
                          <w:sz w:val="21"/>
                          <w:szCs w:val="21"/>
                          <w:lang w:eastAsia="zh-CN"/>
                        </w:rPr>
                        <w:t>公式</w:t>
                      </w:r>
                      <w:r>
                        <w:rPr>
                          <w:rFonts w:hAnsi="宋体" w:cs="Times New Roman" w:hint="eastAsia"/>
                          <w:sz w:val="21"/>
                          <w:szCs w:val="21"/>
                          <w:lang w:eastAsia="zh-CN"/>
                        </w:rPr>
                        <w:t>的假设</w:t>
                      </w:r>
                      <w:r w:rsidRPr="00162604">
                        <w:rPr>
                          <w:rFonts w:hAnsi="宋体" w:cs="Times New Roman" w:hint="eastAsia"/>
                          <w:sz w:val="21"/>
                          <w:szCs w:val="21"/>
                          <w:lang w:eastAsia="zh-CN"/>
                        </w:rPr>
                        <w:t>是</w:t>
                      </w:r>
                      <w:r>
                        <w:rPr>
                          <w:rFonts w:hAnsi="宋体" w:cs="Times New Roman" w:hint="eastAsia"/>
                          <w:sz w:val="21"/>
                          <w:szCs w:val="21"/>
                          <w:lang w:eastAsia="zh-CN"/>
                        </w:rPr>
                        <w:t>无</w:t>
                      </w:r>
                      <w:r w:rsidRPr="00162604">
                        <w:rPr>
                          <w:rFonts w:hAnsi="宋体" w:cs="Times New Roman"/>
                          <w:sz w:val="21"/>
                          <w:szCs w:val="21"/>
                          <w:lang w:eastAsia="zh-CN"/>
                        </w:rPr>
                        <w:t>重吸收。</w:t>
                      </w:r>
                      <w:r>
                        <w:rPr>
                          <w:rFonts w:hAnsi="宋体" w:cs="Times New Roman" w:hint="eastAsia"/>
                          <w:sz w:val="21"/>
                          <w:szCs w:val="21"/>
                          <w:lang w:eastAsia="zh-CN"/>
                        </w:rPr>
                        <w:t>若</w:t>
                      </w:r>
                      <w:r w:rsidRPr="00162604">
                        <w:rPr>
                          <w:rFonts w:hAnsi="宋体" w:cs="Times New Roman"/>
                          <w:sz w:val="21"/>
                          <w:szCs w:val="21"/>
                          <w:lang w:eastAsia="zh-CN"/>
                        </w:rPr>
                        <w:t>受试者</w:t>
                      </w:r>
                      <w:r>
                        <w:rPr>
                          <w:rFonts w:hAnsi="宋体" w:cs="Times New Roman" w:hint="eastAsia"/>
                          <w:sz w:val="21"/>
                          <w:szCs w:val="21"/>
                          <w:lang w:eastAsia="zh-CN"/>
                        </w:rPr>
                        <w:t>未</w:t>
                      </w:r>
                      <w:r w:rsidRPr="00162604">
                        <w:rPr>
                          <w:rFonts w:hAnsi="宋体" w:cs="Times New Roman"/>
                          <w:sz w:val="21"/>
                          <w:szCs w:val="21"/>
                          <w:lang w:eastAsia="zh-CN"/>
                        </w:rPr>
                        <w:t>测</w:t>
                      </w:r>
                      <w:r>
                        <w:rPr>
                          <w:rFonts w:hAnsi="宋体" w:cs="Times New Roman" w:hint="eastAsia"/>
                          <w:sz w:val="21"/>
                          <w:szCs w:val="21"/>
                          <w:lang w:eastAsia="zh-CN"/>
                        </w:rPr>
                        <w:t>定</w:t>
                      </w:r>
                      <w:r w:rsidRPr="00162604">
                        <w:rPr>
                          <w:rFonts w:cs="Times New Roman"/>
                          <w:sz w:val="21"/>
                          <w:szCs w:val="21"/>
                          <w:lang w:eastAsia="zh-CN"/>
                        </w:rPr>
                        <w:t>GFR</w:t>
                      </w:r>
                      <w:r w:rsidRPr="00162604">
                        <w:rPr>
                          <w:rFonts w:hAnsi="宋体" w:cs="Times New Roman"/>
                          <w:sz w:val="21"/>
                          <w:szCs w:val="21"/>
                          <w:lang w:eastAsia="zh-CN"/>
                        </w:rPr>
                        <w:t>，则</w:t>
                      </w:r>
                      <w:r w:rsidRPr="00162604">
                        <w:rPr>
                          <w:rFonts w:cs="Times New Roman"/>
                          <w:sz w:val="21"/>
                          <w:szCs w:val="21"/>
                          <w:lang w:eastAsia="zh-CN"/>
                        </w:rPr>
                        <w:t>GFR</w:t>
                      </w:r>
                      <w:r w:rsidRPr="00162604">
                        <w:rPr>
                          <w:rFonts w:hAnsi="宋体" w:cs="Times New Roman"/>
                          <w:sz w:val="21"/>
                          <w:szCs w:val="21"/>
                          <w:lang w:eastAsia="zh-CN"/>
                        </w:rPr>
                        <w:t>默认为</w:t>
                      </w:r>
                      <w:r w:rsidRPr="00162604">
                        <w:rPr>
                          <w:rFonts w:cs="Times New Roman"/>
                          <w:sz w:val="21"/>
                          <w:szCs w:val="21"/>
                          <w:lang w:eastAsia="zh-CN"/>
                        </w:rPr>
                        <w:t>125 mL/min</w:t>
                      </w:r>
                      <w:r w:rsidRPr="00162604">
                        <w:rPr>
                          <w:rFonts w:hAnsi="宋体" w:cs="Times New Roman"/>
                          <w:sz w:val="21"/>
                          <w:szCs w:val="21"/>
                          <w:lang w:eastAsia="zh-CN"/>
                        </w:rPr>
                        <w:t>。</w:t>
                      </w:r>
                    </w:p>
                  </w:txbxContent>
                </v:textbox>
                <w10:wrap anchorx="margin"/>
              </v:shape>
            </w:pict>
          </mc:Fallback>
        </mc:AlternateContent>
      </w:r>
      <w:r w:rsidR="00D50183" w:rsidRPr="00953D8E">
        <w:rPr>
          <w:rFonts w:cs="Times New Roman"/>
          <w:b/>
          <w:sz w:val="21"/>
          <w:szCs w:val="21"/>
          <w:lang w:eastAsia="zh-CN"/>
        </w:rPr>
        <w:t>图</w:t>
      </w:r>
      <w:r w:rsidR="00682710">
        <w:rPr>
          <w:rFonts w:cs="Times New Roman"/>
          <w:b/>
          <w:sz w:val="21"/>
          <w:szCs w:val="21"/>
          <w:lang w:eastAsia="zh-CN"/>
        </w:rPr>
        <w:t>5</w:t>
      </w:r>
      <w:r w:rsidR="00D50183" w:rsidRPr="00953D8E">
        <w:rPr>
          <w:rFonts w:cs="Times New Roman"/>
          <w:b/>
          <w:sz w:val="21"/>
          <w:szCs w:val="21"/>
          <w:lang w:eastAsia="zh-CN"/>
        </w:rPr>
        <w:t>主动分泌的计算公式</w:t>
      </w:r>
      <w:r w:rsidR="00D50183" w:rsidRPr="00953D8E">
        <w:rPr>
          <w:rFonts w:cs="Times New Roman"/>
          <w:b/>
          <w:sz w:val="21"/>
          <w:szCs w:val="21"/>
          <w:lang w:eastAsia="zh-CN"/>
        </w:rPr>
        <w:t>*</w:t>
      </w:r>
    </w:p>
    <w:p w14:paraId="6D4B97E4" w14:textId="20BE77B6" w:rsidR="00D50183" w:rsidRDefault="00D50183" w:rsidP="0083505F">
      <w:pPr>
        <w:spacing w:line="500" w:lineRule="exact"/>
        <w:ind w:firstLine="420"/>
        <w:rPr>
          <w:rFonts w:cs="Times New Roman"/>
          <w:sz w:val="21"/>
          <w:szCs w:val="21"/>
          <w:lang w:eastAsia="zh-CN"/>
        </w:rPr>
      </w:pPr>
    </w:p>
    <w:p w14:paraId="080EFCF8" w14:textId="24AFA39F" w:rsidR="00D50183" w:rsidRDefault="00D50183" w:rsidP="0083505F">
      <w:pPr>
        <w:spacing w:line="500" w:lineRule="exact"/>
        <w:ind w:firstLine="420"/>
        <w:rPr>
          <w:rFonts w:cs="Times New Roman"/>
          <w:sz w:val="21"/>
          <w:szCs w:val="21"/>
          <w:lang w:eastAsia="zh-CN"/>
        </w:rPr>
      </w:pPr>
    </w:p>
    <w:p w14:paraId="06B223F3" w14:textId="046459C1" w:rsidR="00682710" w:rsidRDefault="004C6D2B" w:rsidP="0083505F">
      <w:pPr>
        <w:spacing w:line="500" w:lineRule="exact"/>
        <w:ind w:firstLine="640"/>
        <w:rPr>
          <w:rFonts w:cs="Times New Roman"/>
          <w:lang w:eastAsia="zh-CN"/>
        </w:rPr>
      </w:pPr>
      <w:r>
        <w:rPr>
          <w:rFonts w:cs="Times New Roman" w:hint="eastAsia"/>
          <w:lang w:eastAsia="zh-CN"/>
        </w:rPr>
        <w:t>（</w:t>
      </w:r>
      <w:r>
        <w:rPr>
          <w:rFonts w:cs="Times New Roman" w:hint="eastAsia"/>
          <w:lang w:eastAsia="zh-CN"/>
        </w:rPr>
        <w:t>ii</w:t>
      </w:r>
      <w:r>
        <w:rPr>
          <w:rFonts w:cs="Times New Roman" w:hint="eastAsia"/>
          <w:lang w:eastAsia="zh-CN"/>
        </w:rPr>
        <w:t>）</w:t>
      </w:r>
      <w:r>
        <w:rPr>
          <w:rFonts w:cs="Times New Roman"/>
          <w:lang w:eastAsia="zh-CN"/>
        </w:rPr>
        <w:t>数据分析</w:t>
      </w:r>
    </w:p>
    <w:p w14:paraId="4F930BC4" w14:textId="5F22C0B3" w:rsidR="004C6D2B" w:rsidRPr="009E464F" w:rsidRDefault="004C6D2B" w:rsidP="0083505F">
      <w:pPr>
        <w:spacing w:line="500" w:lineRule="exact"/>
        <w:ind w:firstLine="640"/>
        <w:rPr>
          <w:rFonts w:cs="Times New Roman"/>
          <w:lang w:eastAsia="zh-CN"/>
        </w:rPr>
      </w:pPr>
      <w:r w:rsidRPr="009E464F">
        <w:rPr>
          <w:rFonts w:cs="Times New Roman"/>
          <w:lang w:eastAsia="zh-CN"/>
        </w:rPr>
        <w:t>以下情况</w:t>
      </w:r>
      <w:r>
        <w:rPr>
          <w:rFonts w:cs="Times New Roman" w:hint="eastAsia"/>
          <w:lang w:eastAsia="zh-CN"/>
        </w:rPr>
        <w:t>提示</w:t>
      </w:r>
      <w:r w:rsidRPr="009E464F">
        <w:rPr>
          <w:rFonts w:cs="Times New Roman"/>
          <w:lang w:eastAsia="zh-CN"/>
        </w:rPr>
        <w:t>在</w:t>
      </w:r>
      <w:proofErr w:type="gramStart"/>
      <w:r w:rsidRPr="009E464F">
        <w:rPr>
          <w:rFonts w:cs="Times New Roman"/>
          <w:lang w:eastAsia="zh-CN"/>
        </w:rPr>
        <w:t>研</w:t>
      </w:r>
      <w:proofErr w:type="gramEnd"/>
      <w:r w:rsidRPr="009E464F">
        <w:rPr>
          <w:rFonts w:cs="Times New Roman"/>
          <w:lang w:eastAsia="zh-CN"/>
        </w:rPr>
        <w:t>药物</w:t>
      </w:r>
      <w:r>
        <w:rPr>
          <w:rFonts w:cs="Times New Roman" w:hint="eastAsia"/>
          <w:lang w:eastAsia="zh-CN"/>
        </w:rPr>
        <w:t>可能</w:t>
      </w:r>
      <w:r w:rsidRPr="009E464F">
        <w:rPr>
          <w:rFonts w:cs="Times New Roman"/>
          <w:lang w:eastAsia="zh-CN"/>
        </w:rPr>
        <w:t>是</w:t>
      </w:r>
      <w:proofErr w:type="gramStart"/>
      <w:r w:rsidRPr="009E464F">
        <w:rPr>
          <w:rFonts w:cs="Times New Roman"/>
          <w:lang w:eastAsia="zh-CN"/>
        </w:rPr>
        <w:t>以上肾</w:t>
      </w:r>
      <w:proofErr w:type="gramEnd"/>
      <w:r w:rsidRPr="009E464F">
        <w:rPr>
          <w:rFonts w:cs="Times New Roman"/>
          <w:lang w:eastAsia="zh-CN"/>
        </w:rPr>
        <w:t>转运体的体外底物：</w:t>
      </w:r>
    </w:p>
    <w:p w14:paraId="57372CA7" w14:textId="6FF01A79" w:rsidR="004C6D2B" w:rsidRPr="009E464F" w:rsidRDefault="00593FAB" w:rsidP="00593FAB">
      <w:pPr>
        <w:spacing w:after="0"/>
        <w:ind w:firstLine="420"/>
        <w:rPr>
          <w:rFonts w:cs="Times New Roman"/>
          <w:lang w:eastAsia="zh-CN"/>
        </w:rPr>
      </w:pPr>
      <w:r w:rsidRPr="00CB0133">
        <w:rPr>
          <w:rFonts w:ascii="微软雅黑" w:eastAsia="微软雅黑" w:hAnsi="微软雅黑" w:hint="eastAsia"/>
          <w:sz w:val="21"/>
          <w:szCs w:val="21"/>
          <w:lang w:eastAsia="zh-CN"/>
        </w:rPr>
        <w:t>●</w:t>
      </w:r>
      <w:r w:rsidR="00DC0229">
        <w:rPr>
          <w:rFonts w:ascii="微软雅黑" w:eastAsia="微软雅黑" w:hAnsi="微软雅黑" w:hint="eastAsia"/>
          <w:sz w:val="21"/>
          <w:szCs w:val="21"/>
          <w:lang w:eastAsia="zh-CN"/>
        </w:rPr>
        <w:t xml:space="preserve"> </w:t>
      </w:r>
      <w:r w:rsidR="004C6D2B" w:rsidRPr="009E464F">
        <w:rPr>
          <w:rFonts w:cs="Times New Roman"/>
          <w:lang w:eastAsia="zh-CN"/>
        </w:rPr>
        <w:t>试验药在表达转运体的细胞中药物的摄取是对照细胞（或含有空白载体的细胞）的药物摄取的</w:t>
      </w:r>
      <w:r w:rsidR="004C6D2B">
        <w:rPr>
          <w:rFonts w:cs="Times New Roman" w:hint="eastAsia"/>
          <w:lang w:eastAsia="zh-CN"/>
        </w:rPr>
        <w:t>2</w:t>
      </w:r>
      <w:r w:rsidR="004C6D2B" w:rsidRPr="009E464F">
        <w:rPr>
          <w:rFonts w:cs="Times New Roman"/>
          <w:lang w:eastAsia="zh-CN"/>
        </w:rPr>
        <w:t>倍及以上；</w:t>
      </w:r>
    </w:p>
    <w:p w14:paraId="7AB8E352" w14:textId="42833B3E" w:rsidR="004C6D2B" w:rsidRPr="009E464F" w:rsidRDefault="00593FAB" w:rsidP="00593FAB">
      <w:pPr>
        <w:spacing w:after="0"/>
        <w:ind w:firstLine="420"/>
        <w:rPr>
          <w:rFonts w:cs="Times New Roman"/>
          <w:lang w:eastAsia="zh-CN"/>
        </w:rPr>
      </w:pPr>
      <w:r w:rsidRPr="00CB0133">
        <w:rPr>
          <w:rFonts w:ascii="微软雅黑" w:eastAsia="微软雅黑" w:hAnsi="微软雅黑" w:hint="eastAsia"/>
          <w:sz w:val="21"/>
          <w:szCs w:val="21"/>
          <w:lang w:eastAsia="zh-CN"/>
        </w:rPr>
        <w:t>●</w:t>
      </w:r>
      <w:r w:rsidR="00DC0229">
        <w:rPr>
          <w:rFonts w:ascii="微软雅黑" w:eastAsia="微软雅黑" w:hAnsi="微软雅黑" w:hint="eastAsia"/>
          <w:sz w:val="21"/>
          <w:szCs w:val="21"/>
          <w:lang w:eastAsia="zh-CN"/>
        </w:rPr>
        <w:t xml:space="preserve"> </w:t>
      </w:r>
      <w:r w:rsidR="004C6D2B" w:rsidRPr="007261B2">
        <w:rPr>
          <w:rFonts w:hint="eastAsia"/>
          <w:lang w:eastAsia="zh-CN"/>
        </w:rPr>
        <w:t>已知抑制剂（如利福平）能够在高于其</w:t>
      </w:r>
      <w:r w:rsidR="004C6D2B" w:rsidRPr="007261B2">
        <w:rPr>
          <w:lang w:eastAsia="zh-CN"/>
        </w:rPr>
        <w:t>Ki</w:t>
      </w:r>
      <w:r w:rsidR="004C6D2B" w:rsidRPr="007261B2">
        <w:rPr>
          <w:rFonts w:hint="eastAsia"/>
          <w:lang w:eastAsia="zh-CN"/>
        </w:rPr>
        <w:t>或者</w:t>
      </w:r>
      <w:r w:rsidR="004C6D2B" w:rsidRPr="007261B2">
        <w:rPr>
          <w:lang w:eastAsia="zh-CN"/>
        </w:rPr>
        <w:t>IC</w:t>
      </w:r>
      <w:r w:rsidR="004C6D2B" w:rsidRPr="0083505F">
        <w:rPr>
          <w:vertAlign w:val="subscript"/>
          <w:lang w:eastAsia="zh-CN"/>
        </w:rPr>
        <w:t>50</w:t>
      </w:r>
      <w:r w:rsidR="004C6D2B" w:rsidRPr="007261B2">
        <w:rPr>
          <w:rFonts w:hint="eastAsia"/>
          <w:lang w:eastAsia="zh-CN"/>
        </w:rPr>
        <w:t>至少</w:t>
      </w:r>
      <w:r w:rsidR="004C6D2B" w:rsidRPr="007261B2">
        <w:rPr>
          <w:lang w:eastAsia="zh-CN"/>
        </w:rPr>
        <w:t xml:space="preserve">10 </w:t>
      </w:r>
      <w:proofErr w:type="gramStart"/>
      <w:r w:rsidR="004C6D2B" w:rsidRPr="007261B2">
        <w:rPr>
          <w:rFonts w:hint="eastAsia"/>
          <w:lang w:eastAsia="zh-CN"/>
        </w:rPr>
        <w:t>倍</w:t>
      </w:r>
      <w:proofErr w:type="gramEnd"/>
      <w:r w:rsidR="004C6D2B" w:rsidRPr="007261B2">
        <w:rPr>
          <w:rFonts w:hint="eastAsia"/>
          <w:lang w:eastAsia="zh-CN"/>
        </w:rPr>
        <w:t>的浓度下，使药物的摄取降低至</w:t>
      </w:r>
      <w:r w:rsidR="004C6D2B" w:rsidRPr="007261B2">
        <w:rPr>
          <w:lang w:eastAsia="zh-CN"/>
        </w:rPr>
        <w:t>50%</w:t>
      </w:r>
      <w:r w:rsidR="004C6D2B" w:rsidRPr="007261B2">
        <w:rPr>
          <w:rFonts w:hint="eastAsia"/>
          <w:lang w:eastAsia="zh-CN"/>
        </w:rPr>
        <w:t>以下；</w:t>
      </w:r>
      <w:r w:rsidR="004C6D2B" w:rsidRPr="009E464F">
        <w:rPr>
          <w:rFonts w:cs="Times New Roman"/>
          <w:lang w:eastAsia="zh-CN"/>
        </w:rPr>
        <w:t>也可以基于既往经验来阐明采用其他临界值的合理性。</w:t>
      </w:r>
    </w:p>
    <w:p w14:paraId="21F5CD22" w14:textId="0E3F94CF" w:rsidR="004C6D2B" w:rsidRPr="00BB41FB" w:rsidRDefault="004C6D2B" w:rsidP="00593FAB">
      <w:pPr>
        <w:spacing w:after="0"/>
        <w:ind w:firstLine="640"/>
        <w:rPr>
          <w:rFonts w:cs="Times New Roman"/>
          <w:lang w:eastAsia="zh-CN"/>
        </w:rPr>
      </w:pPr>
      <w:r w:rsidRPr="009E464F">
        <w:rPr>
          <w:rFonts w:cs="Times New Roman"/>
          <w:lang w:eastAsia="zh-CN"/>
        </w:rPr>
        <w:lastRenderedPageBreak/>
        <w:t>如果体外研究</w:t>
      </w:r>
      <w:r>
        <w:rPr>
          <w:rFonts w:cs="Times New Roman" w:hint="eastAsia"/>
          <w:lang w:eastAsia="zh-CN"/>
        </w:rPr>
        <w:t>提示</w:t>
      </w:r>
      <w:r w:rsidRPr="009E464F">
        <w:rPr>
          <w:rFonts w:cs="Times New Roman"/>
          <w:lang w:eastAsia="zh-CN"/>
        </w:rPr>
        <w:t>在</w:t>
      </w:r>
      <w:proofErr w:type="gramStart"/>
      <w:r w:rsidRPr="009E464F">
        <w:rPr>
          <w:rFonts w:cs="Times New Roman"/>
          <w:lang w:eastAsia="zh-CN"/>
        </w:rPr>
        <w:t>研</w:t>
      </w:r>
      <w:proofErr w:type="gramEnd"/>
      <w:r w:rsidRPr="009E464F">
        <w:rPr>
          <w:rFonts w:cs="Times New Roman"/>
          <w:lang w:eastAsia="zh-CN"/>
        </w:rPr>
        <w:t>药物是一个或者多个肾脏转运体的底物，则应根据在</w:t>
      </w:r>
      <w:proofErr w:type="gramStart"/>
      <w:r w:rsidRPr="009E464F">
        <w:rPr>
          <w:rFonts w:cs="Times New Roman"/>
          <w:lang w:eastAsia="zh-CN"/>
        </w:rPr>
        <w:t>研</w:t>
      </w:r>
      <w:proofErr w:type="gramEnd"/>
      <w:r w:rsidRPr="009E464F">
        <w:rPr>
          <w:rFonts w:cs="Times New Roman"/>
          <w:lang w:eastAsia="zh-CN"/>
        </w:rPr>
        <w:t>药物的安全范围、治疗指数以及临床上可能合用的肾转运体抑制剂等因素考虑是否</w:t>
      </w:r>
      <w:r w:rsidR="006C3CFA">
        <w:rPr>
          <w:rFonts w:cs="Times New Roman"/>
          <w:lang w:eastAsia="zh-CN"/>
        </w:rPr>
        <w:t>需要</w:t>
      </w:r>
      <w:r w:rsidRPr="009E464F">
        <w:rPr>
          <w:rFonts w:cs="Times New Roman"/>
          <w:lang w:eastAsia="zh-CN"/>
        </w:rPr>
        <w:t>开展体内研究。（详见第三章）。</w:t>
      </w:r>
      <w:proofErr w:type="gramStart"/>
      <w:r w:rsidR="002D4D37" w:rsidRPr="00BB41FB">
        <w:rPr>
          <w:rFonts w:cs="Times New Roman" w:hint="eastAsia"/>
          <w:lang w:eastAsia="zh-CN"/>
        </w:rPr>
        <w:t>若试验</w:t>
      </w:r>
      <w:proofErr w:type="gramEnd"/>
      <w:r w:rsidR="002D4D37" w:rsidRPr="00BB41FB">
        <w:rPr>
          <w:rFonts w:cs="Times New Roman" w:hint="eastAsia"/>
          <w:lang w:eastAsia="zh-CN"/>
        </w:rPr>
        <w:t>结果提示在</w:t>
      </w:r>
      <w:proofErr w:type="gramStart"/>
      <w:r w:rsidR="002D4D37" w:rsidRPr="00BB41FB">
        <w:rPr>
          <w:rFonts w:cs="Times New Roman" w:hint="eastAsia"/>
          <w:lang w:eastAsia="zh-CN"/>
        </w:rPr>
        <w:t>研</w:t>
      </w:r>
      <w:proofErr w:type="gramEnd"/>
      <w:r w:rsidR="002D4D37" w:rsidRPr="00BB41FB">
        <w:rPr>
          <w:rFonts w:cs="Times New Roman" w:hint="eastAsia"/>
          <w:lang w:eastAsia="zh-CN"/>
        </w:rPr>
        <w:t>药物为</w:t>
      </w:r>
      <w:r w:rsidR="002D4D37" w:rsidRPr="00BB41FB">
        <w:rPr>
          <w:rFonts w:cs="Times New Roman"/>
          <w:lang w:eastAsia="zh-CN"/>
        </w:rPr>
        <w:t>OCT2</w:t>
      </w:r>
      <w:r w:rsidR="002D4D37" w:rsidRPr="00BB41FB">
        <w:rPr>
          <w:rFonts w:cs="Times New Roman" w:hint="eastAsia"/>
          <w:lang w:eastAsia="zh-CN"/>
        </w:rPr>
        <w:t>转运体</w:t>
      </w:r>
      <w:r w:rsidR="006C3CFA" w:rsidRPr="0083505F">
        <w:rPr>
          <w:rFonts w:cs="Times New Roman" w:hint="eastAsia"/>
          <w:lang w:eastAsia="zh-CN"/>
        </w:rPr>
        <w:t>的</w:t>
      </w:r>
      <w:r w:rsidR="002D4D37" w:rsidRPr="00BB41FB">
        <w:rPr>
          <w:rFonts w:cs="Times New Roman" w:hint="eastAsia"/>
          <w:lang w:eastAsia="zh-CN"/>
        </w:rPr>
        <w:t>底物，由于目前由抑制该转运体所引起的临床药</w:t>
      </w:r>
      <w:r w:rsidR="006C3CFA" w:rsidRPr="0083505F">
        <w:rPr>
          <w:rFonts w:cs="Times New Roman"/>
          <w:lang w:eastAsia="zh-CN"/>
        </w:rPr>
        <w:t>DDI</w:t>
      </w:r>
      <w:r w:rsidR="002D4D37" w:rsidRPr="00BB41FB">
        <w:rPr>
          <w:rFonts w:cs="Times New Roman" w:hint="eastAsia"/>
          <w:lang w:eastAsia="zh-CN"/>
        </w:rPr>
        <w:t>并无相关报道，则不需要进行临床</w:t>
      </w:r>
      <w:r w:rsidR="006C3CFA" w:rsidRPr="0083505F">
        <w:rPr>
          <w:rFonts w:cs="Times New Roman"/>
          <w:lang w:eastAsia="zh-CN"/>
        </w:rPr>
        <w:t>DDI</w:t>
      </w:r>
      <w:r w:rsidR="002D4D37" w:rsidRPr="00BB41FB">
        <w:rPr>
          <w:rFonts w:cs="Times New Roman" w:hint="eastAsia"/>
          <w:lang w:eastAsia="zh-CN"/>
        </w:rPr>
        <w:t>研究，但需要在药物信息中说明</w:t>
      </w:r>
      <w:r w:rsidR="006C3CFA" w:rsidRPr="0083505F">
        <w:rPr>
          <w:rFonts w:cs="Times New Roman" w:hint="eastAsia"/>
          <w:lang w:eastAsia="zh-CN"/>
        </w:rPr>
        <w:t>在</w:t>
      </w:r>
      <w:proofErr w:type="gramStart"/>
      <w:r w:rsidR="006C3CFA" w:rsidRPr="0083505F">
        <w:rPr>
          <w:rFonts w:cs="Times New Roman" w:hint="eastAsia"/>
          <w:lang w:eastAsia="zh-CN"/>
        </w:rPr>
        <w:t>研</w:t>
      </w:r>
      <w:proofErr w:type="gramEnd"/>
      <w:r w:rsidR="002D4D37" w:rsidRPr="00BB41FB">
        <w:rPr>
          <w:rFonts w:cs="Times New Roman" w:hint="eastAsia"/>
          <w:lang w:eastAsia="zh-CN"/>
        </w:rPr>
        <w:t>药物为该转运体底物。</w:t>
      </w:r>
    </w:p>
    <w:p w14:paraId="6DCB4D11" w14:textId="46337B1E" w:rsidR="000259D0" w:rsidRPr="009E464F" w:rsidRDefault="000259D0" w:rsidP="00593FAB">
      <w:pPr>
        <w:spacing w:after="0"/>
        <w:ind w:firstLine="640"/>
        <w:rPr>
          <w:rFonts w:cs="Times New Roman"/>
          <w:lang w:eastAsia="zh-CN"/>
        </w:rPr>
      </w:pPr>
      <w:r w:rsidRPr="009E464F">
        <w:rPr>
          <w:rFonts w:cs="Times New Roman"/>
          <w:lang w:eastAsia="zh-CN"/>
        </w:rPr>
        <w:t>评估在</w:t>
      </w:r>
      <w:proofErr w:type="gramStart"/>
      <w:r w:rsidRPr="009E464F">
        <w:rPr>
          <w:rFonts w:cs="Times New Roman"/>
          <w:lang w:eastAsia="zh-CN"/>
        </w:rPr>
        <w:t>研</w:t>
      </w:r>
      <w:proofErr w:type="gramEnd"/>
      <w:r w:rsidRPr="009E464F">
        <w:rPr>
          <w:rFonts w:cs="Times New Roman"/>
          <w:lang w:eastAsia="zh-CN"/>
        </w:rPr>
        <w:t>药物是否是转运体底物的</w:t>
      </w:r>
      <w:r w:rsidR="009D5C8E" w:rsidRPr="009E464F">
        <w:rPr>
          <w:rFonts w:cs="Times New Roman"/>
          <w:lang w:eastAsia="zh-CN"/>
        </w:rPr>
        <w:t>体外试验</w:t>
      </w:r>
      <w:r w:rsidRPr="009E464F">
        <w:rPr>
          <w:rFonts w:cs="Times New Roman"/>
          <w:lang w:eastAsia="zh-CN"/>
        </w:rPr>
        <w:t>的具体要求详见</w:t>
      </w:r>
      <w:r w:rsidR="00FB41B6">
        <w:rPr>
          <w:rFonts w:cs="Times New Roman"/>
          <w:lang w:eastAsia="zh-CN"/>
        </w:rPr>
        <w:t>附录</w:t>
      </w:r>
      <w:r w:rsidR="00FB41B6">
        <w:rPr>
          <w:rFonts w:cs="Times New Roman"/>
          <w:lang w:eastAsia="zh-CN"/>
        </w:rPr>
        <w:t>4</w:t>
      </w:r>
      <w:r w:rsidRPr="009E464F">
        <w:rPr>
          <w:rFonts w:cs="Times New Roman"/>
          <w:lang w:eastAsia="zh-CN"/>
        </w:rPr>
        <w:t>。</w:t>
      </w:r>
    </w:p>
    <w:p w14:paraId="2B587C77" w14:textId="40071573" w:rsidR="001C6982" w:rsidRPr="009E464F" w:rsidRDefault="001C6982" w:rsidP="00593FAB">
      <w:pPr>
        <w:spacing w:after="0"/>
        <w:ind w:firstLine="640"/>
        <w:rPr>
          <w:rFonts w:cs="Times New Roman"/>
          <w:lang w:eastAsia="zh-CN"/>
        </w:rPr>
      </w:pPr>
      <w:r w:rsidRPr="009E464F">
        <w:rPr>
          <w:rFonts w:cs="Times New Roman"/>
          <w:lang w:eastAsia="zh-CN"/>
        </w:rPr>
        <w:t>2.</w:t>
      </w:r>
      <w:r w:rsidR="00975C9D">
        <w:rPr>
          <w:rFonts w:cs="Times New Roman" w:hint="eastAsia"/>
          <w:lang w:eastAsia="zh-CN"/>
        </w:rPr>
        <w:t>评估</w:t>
      </w:r>
      <w:r w:rsidRPr="009E464F">
        <w:rPr>
          <w:rFonts w:cs="Times New Roman"/>
          <w:lang w:eastAsia="zh-CN"/>
        </w:rPr>
        <w:t>在</w:t>
      </w:r>
      <w:proofErr w:type="gramStart"/>
      <w:r w:rsidRPr="009E464F">
        <w:rPr>
          <w:rFonts w:cs="Times New Roman"/>
          <w:lang w:eastAsia="zh-CN"/>
        </w:rPr>
        <w:t>研</w:t>
      </w:r>
      <w:proofErr w:type="gramEnd"/>
      <w:r w:rsidRPr="009E464F">
        <w:rPr>
          <w:rFonts w:cs="Times New Roman"/>
          <w:lang w:eastAsia="zh-CN"/>
        </w:rPr>
        <w:t>药物</w:t>
      </w:r>
      <w:r w:rsidR="00975C9D">
        <w:rPr>
          <w:rFonts w:cs="Times New Roman" w:hint="eastAsia"/>
          <w:lang w:eastAsia="zh-CN"/>
        </w:rPr>
        <w:t>是否</w:t>
      </w:r>
      <w:r w:rsidRPr="009E464F">
        <w:rPr>
          <w:rFonts w:cs="Times New Roman"/>
          <w:lang w:eastAsia="zh-CN"/>
        </w:rPr>
        <w:t>为转运体</w:t>
      </w:r>
      <w:r w:rsidR="00975C9D">
        <w:rPr>
          <w:rFonts w:cs="Times New Roman" w:hint="eastAsia"/>
          <w:lang w:eastAsia="zh-CN"/>
        </w:rPr>
        <w:t>的</w:t>
      </w:r>
      <w:r w:rsidRPr="009E464F">
        <w:rPr>
          <w:rFonts w:cs="Times New Roman"/>
          <w:lang w:eastAsia="zh-CN"/>
        </w:rPr>
        <w:t>抑制剂</w:t>
      </w:r>
    </w:p>
    <w:p w14:paraId="40DAF51A" w14:textId="1768DB43" w:rsidR="003E6C16" w:rsidRDefault="00A12172" w:rsidP="00593FAB">
      <w:pPr>
        <w:spacing w:after="0"/>
        <w:ind w:firstLine="640"/>
        <w:rPr>
          <w:rFonts w:cs="Times New Roman"/>
          <w:lang w:eastAsia="zh-CN"/>
        </w:rPr>
      </w:pPr>
      <w:r>
        <w:rPr>
          <w:rFonts w:cs="Times New Roman" w:hint="eastAsia"/>
          <w:lang w:eastAsia="zh-CN"/>
        </w:rPr>
        <w:t>（</w:t>
      </w:r>
      <w:r>
        <w:rPr>
          <w:rFonts w:cs="Times New Roman"/>
          <w:lang w:eastAsia="zh-CN"/>
        </w:rPr>
        <w:t>1</w:t>
      </w:r>
      <w:r>
        <w:rPr>
          <w:rFonts w:cs="Times New Roman"/>
          <w:lang w:eastAsia="zh-CN"/>
        </w:rPr>
        <w:t>）</w:t>
      </w:r>
      <w:r w:rsidR="003E6C16">
        <w:rPr>
          <w:rFonts w:cs="Times New Roman" w:hint="eastAsia"/>
          <w:lang w:eastAsia="zh-CN"/>
        </w:rPr>
        <w:t>研究内容</w:t>
      </w:r>
    </w:p>
    <w:p w14:paraId="7CAB9B4C" w14:textId="119BBFD7" w:rsidR="00036A9E" w:rsidRDefault="003E6C16" w:rsidP="00593FAB">
      <w:pPr>
        <w:spacing w:after="0"/>
        <w:ind w:firstLine="640"/>
        <w:rPr>
          <w:rFonts w:cs="Times New Roman"/>
          <w:lang w:eastAsia="zh-CN"/>
        </w:rPr>
      </w:pPr>
      <w:r>
        <w:rPr>
          <w:rFonts w:cs="Times New Roman" w:hint="eastAsia"/>
          <w:lang w:eastAsia="zh-CN"/>
        </w:rPr>
        <w:t>体外试验</w:t>
      </w:r>
      <w:r w:rsidR="007862AF" w:rsidRPr="009E464F">
        <w:rPr>
          <w:rFonts w:cs="Times New Roman"/>
          <w:lang w:eastAsia="zh-CN"/>
        </w:rPr>
        <w:t>考察</w:t>
      </w:r>
      <w:r w:rsidR="001C6982" w:rsidRPr="009E464F">
        <w:rPr>
          <w:rFonts w:cs="Times New Roman"/>
          <w:lang w:eastAsia="zh-CN"/>
        </w:rPr>
        <w:t>在</w:t>
      </w:r>
      <w:proofErr w:type="gramStart"/>
      <w:r w:rsidR="001C6982" w:rsidRPr="009E464F">
        <w:rPr>
          <w:rFonts w:cs="Times New Roman"/>
          <w:lang w:eastAsia="zh-CN"/>
        </w:rPr>
        <w:t>研</w:t>
      </w:r>
      <w:proofErr w:type="gramEnd"/>
      <w:r w:rsidR="001C6982" w:rsidRPr="009E464F">
        <w:rPr>
          <w:rFonts w:cs="Times New Roman"/>
          <w:lang w:eastAsia="zh-CN"/>
        </w:rPr>
        <w:t>药物是否是</w:t>
      </w:r>
      <w:r w:rsidR="001C6982" w:rsidRPr="009E464F">
        <w:rPr>
          <w:rFonts w:cs="Times New Roman"/>
          <w:lang w:eastAsia="zh-CN"/>
        </w:rPr>
        <w:t>P-</w:t>
      </w:r>
      <w:proofErr w:type="spellStart"/>
      <w:r w:rsidR="001C6982" w:rsidRPr="009E464F">
        <w:rPr>
          <w:rFonts w:cs="Times New Roman"/>
          <w:lang w:eastAsia="zh-CN"/>
        </w:rPr>
        <w:t>gp</w:t>
      </w:r>
      <w:proofErr w:type="spellEnd"/>
      <w:r w:rsidR="001C6982" w:rsidRPr="009E464F">
        <w:rPr>
          <w:rFonts w:cs="Times New Roman"/>
          <w:lang w:eastAsia="zh-CN"/>
        </w:rPr>
        <w:t>、</w:t>
      </w:r>
      <w:r w:rsidR="001C6982" w:rsidRPr="009E464F">
        <w:rPr>
          <w:rFonts w:cs="Times New Roman"/>
          <w:lang w:eastAsia="zh-CN"/>
        </w:rPr>
        <w:t>BCRP</w:t>
      </w:r>
      <w:r w:rsidR="001C6982" w:rsidRPr="009E464F">
        <w:rPr>
          <w:rFonts w:cs="Times New Roman"/>
          <w:lang w:eastAsia="zh-CN"/>
        </w:rPr>
        <w:t>、</w:t>
      </w:r>
      <w:r w:rsidR="001C6982" w:rsidRPr="009E464F">
        <w:rPr>
          <w:rFonts w:cs="Times New Roman"/>
          <w:lang w:eastAsia="zh-CN"/>
        </w:rPr>
        <w:t>OATP1B1</w:t>
      </w:r>
      <w:r w:rsidR="001C6982" w:rsidRPr="009E464F">
        <w:rPr>
          <w:rFonts w:cs="Times New Roman"/>
          <w:lang w:eastAsia="zh-CN"/>
        </w:rPr>
        <w:t>、</w:t>
      </w:r>
      <w:r w:rsidR="001C6982" w:rsidRPr="009E464F">
        <w:rPr>
          <w:rFonts w:cs="Times New Roman"/>
          <w:lang w:eastAsia="zh-CN"/>
        </w:rPr>
        <w:t>OATP1B3</w:t>
      </w:r>
      <w:r w:rsidR="001C6982" w:rsidRPr="009E464F">
        <w:rPr>
          <w:rFonts w:cs="Times New Roman"/>
          <w:lang w:eastAsia="zh-CN"/>
        </w:rPr>
        <w:t>、</w:t>
      </w:r>
      <w:r w:rsidR="001C6982" w:rsidRPr="009E464F">
        <w:rPr>
          <w:rFonts w:cs="Times New Roman"/>
          <w:lang w:eastAsia="zh-CN"/>
        </w:rPr>
        <w:t>OCT2</w:t>
      </w:r>
      <w:r w:rsidR="001C6982" w:rsidRPr="009E464F">
        <w:rPr>
          <w:rFonts w:cs="Times New Roman"/>
          <w:lang w:eastAsia="zh-CN"/>
        </w:rPr>
        <w:t>、</w:t>
      </w:r>
      <w:r w:rsidR="001C6982" w:rsidRPr="009E464F">
        <w:rPr>
          <w:rFonts w:cs="Times New Roman"/>
          <w:lang w:eastAsia="zh-CN"/>
        </w:rPr>
        <w:t>MATEs</w:t>
      </w:r>
      <w:r w:rsidR="001C6982" w:rsidRPr="009E464F">
        <w:rPr>
          <w:rFonts w:cs="Times New Roman"/>
          <w:lang w:eastAsia="zh-CN"/>
        </w:rPr>
        <w:t>（</w:t>
      </w:r>
      <w:r w:rsidR="001C6982" w:rsidRPr="009E464F">
        <w:rPr>
          <w:rFonts w:cs="Times New Roman"/>
          <w:lang w:eastAsia="zh-CN"/>
        </w:rPr>
        <w:t>MATE1</w:t>
      </w:r>
      <w:r w:rsidR="001C6982" w:rsidRPr="009E464F">
        <w:rPr>
          <w:rFonts w:cs="Times New Roman"/>
          <w:lang w:eastAsia="zh-CN"/>
        </w:rPr>
        <w:t>和</w:t>
      </w:r>
      <w:r w:rsidR="001C6982" w:rsidRPr="009E464F">
        <w:rPr>
          <w:rFonts w:cs="Times New Roman"/>
          <w:lang w:eastAsia="zh-CN"/>
        </w:rPr>
        <w:t>MATE2-K</w:t>
      </w:r>
      <w:r w:rsidR="001C6982" w:rsidRPr="009E464F">
        <w:rPr>
          <w:rFonts w:cs="Times New Roman"/>
          <w:lang w:eastAsia="zh-CN"/>
        </w:rPr>
        <w:t>）、</w:t>
      </w:r>
      <w:r w:rsidR="001C6982" w:rsidRPr="009E464F">
        <w:rPr>
          <w:rFonts w:cs="Times New Roman"/>
          <w:lang w:eastAsia="zh-CN"/>
        </w:rPr>
        <w:t>OAT1</w:t>
      </w:r>
      <w:r w:rsidR="001C6982" w:rsidRPr="009E464F">
        <w:rPr>
          <w:rFonts w:cs="Times New Roman"/>
          <w:lang w:eastAsia="zh-CN"/>
        </w:rPr>
        <w:t>和</w:t>
      </w:r>
      <w:r w:rsidR="001C6982" w:rsidRPr="009E464F">
        <w:rPr>
          <w:rFonts w:cs="Times New Roman"/>
          <w:lang w:eastAsia="zh-CN"/>
        </w:rPr>
        <w:t>OAT3</w:t>
      </w:r>
      <w:r w:rsidR="00682710">
        <w:rPr>
          <w:rFonts w:cs="Times New Roman" w:hint="eastAsia"/>
          <w:lang w:eastAsia="zh-CN"/>
        </w:rPr>
        <w:t>的</w:t>
      </w:r>
      <w:r w:rsidR="001C6982" w:rsidRPr="009E464F">
        <w:rPr>
          <w:rFonts w:cs="Times New Roman"/>
          <w:lang w:eastAsia="zh-CN"/>
        </w:rPr>
        <w:t>抑制剂。</w:t>
      </w:r>
    </w:p>
    <w:p w14:paraId="5E71AA0B" w14:textId="7045CE01" w:rsidR="00A12172" w:rsidRDefault="00A12172" w:rsidP="00593FAB">
      <w:pPr>
        <w:spacing w:after="0"/>
        <w:ind w:firstLine="640"/>
        <w:rPr>
          <w:rFonts w:cs="Times New Roman"/>
          <w:lang w:eastAsia="zh-CN"/>
        </w:rPr>
      </w:pPr>
      <w:r>
        <w:rPr>
          <w:rFonts w:cs="Times New Roman" w:hint="eastAsia"/>
          <w:lang w:eastAsia="zh-CN"/>
        </w:rPr>
        <w:t>（</w:t>
      </w:r>
      <w:r w:rsidR="00497E34">
        <w:rPr>
          <w:rFonts w:cs="Times New Roman"/>
          <w:lang w:eastAsia="zh-CN"/>
        </w:rPr>
        <w:t>2</w:t>
      </w:r>
      <w:r>
        <w:rPr>
          <w:rFonts w:cs="Times New Roman" w:hint="eastAsia"/>
          <w:lang w:eastAsia="zh-CN"/>
        </w:rPr>
        <w:t>）</w:t>
      </w:r>
      <w:r>
        <w:rPr>
          <w:rFonts w:cs="Times New Roman"/>
          <w:lang w:eastAsia="zh-CN"/>
        </w:rPr>
        <w:t>数据分析</w:t>
      </w:r>
    </w:p>
    <w:p w14:paraId="49955684" w14:textId="1553E1AB" w:rsidR="00E839A5" w:rsidRPr="009E464F" w:rsidRDefault="00E839A5" w:rsidP="00593FAB">
      <w:pPr>
        <w:spacing w:after="0"/>
        <w:ind w:firstLine="643"/>
        <w:rPr>
          <w:rFonts w:cs="Times New Roman"/>
          <w:lang w:eastAsia="zh-CN"/>
        </w:rPr>
      </w:pPr>
      <w:r w:rsidRPr="0083505F">
        <w:rPr>
          <w:b/>
          <w:u w:val="single"/>
          <w:lang w:eastAsia="zh-CN"/>
        </w:rPr>
        <w:t>P-</w:t>
      </w:r>
      <w:proofErr w:type="spellStart"/>
      <w:r w:rsidRPr="0083505F">
        <w:rPr>
          <w:b/>
          <w:u w:val="single"/>
          <w:lang w:eastAsia="zh-CN"/>
        </w:rPr>
        <w:t>gp</w:t>
      </w:r>
      <w:proofErr w:type="spellEnd"/>
      <w:r w:rsidRPr="0083505F">
        <w:rPr>
          <w:b/>
          <w:u w:val="single"/>
          <w:lang w:eastAsia="zh-CN"/>
        </w:rPr>
        <w:t xml:space="preserve"> </w:t>
      </w:r>
      <w:r w:rsidRPr="0083505F">
        <w:rPr>
          <w:rFonts w:hint="eastAsia"/>
          <w:b/>
          <w:u w:val="single"/>
          <w:lang w:eastAsia="zh-CN"/>
        </w:rPr>
        <w:t>和</w:t>
      </w:r>
      <w:r w:rsidRPr="0083505F">
        <w:rPr>
          <w:b/>
          <w:u w:val="single"/>
          <w:lang w:eastAsia="zh-CN"/>
        </w:rPr>
        <w:t>BCRP</w:t>
      </w:r>
      <w:r w:rsidRPr="0083505F">
        <w:rPr>
          <w:rFonts w:hint="eastAsia"/>
          <w:u w:val="single"/>
          <w:lang w:eastAsia="zh-CN"/>
        </w:rPr>
        <w:t>：</w:t>
      </w:r>
      <w:r w:rsidRPr="00BB41FB">
        <w:rPr>
          <w:rFonts w:cs="Times New Roman" w:hint="eastAsia"/>
          <w:lang w:eastAsia="zh-CN"/>
        </w:rPr>
        <w:t>应采用</w:t>
      </w:r>
      <w:r w:rsidRPr="00BB41FB">
        <w:rPr>
          <w:rFonts w:cs="Times New Roman"/>
          <w:lang w:eastAsia="zh-CN"/>
        </w:rPr>
        <w:t>Caco-2</w:t>
      </w:r>
      <w:r w:rsidRPr="00BB41FB">
        <w:rPr>
          <w:rFonts w:cs="Times New Roman" w:hint="eastAsia"/>
          <w:lang w:eastAsia="zh-CN"/>
        </w:rPr>
        <w:t>或过表达</w:t>
      </w:r>
      <w:r w:rsidRPr="00BB41FB">
        <w:rPr>
          <w:rFonts w:cs="Times New Roman"/>
          <w:lang w:eastAsia="zh-CN"/>
        </w:rPr>
        <w:t>P-</w:t>
      </w:r>
      <w:proofErr w:type="spellStart"/>
      <w:r w:rsidRPr="00BB41FB">
        <w:rPr>
          <w:rFonts w:cs="Times New Roman"/>
          <w:lang w:eastAsia="zh-CN"/>
        </w:rPr>
        <w:t>gp</w:t>
      </w:r>
      <w:proofErr w:type="spellEnd"/>
      <w:r w:rsidRPr="00BB41FB">
        <w:rPr>
          <w:rFonts w:cs="Times New Roman" w:hint="eastAsia"/>
          <w:lang w:eastAsia="zh-CN"/>
        </w:rPr>
        <w:t>或</w:t>
      </w:r>
      <w:r w:rsidRPr="00BB41FB">
        <w:rPr>
          <w:rFonts w:cs="Times New Roman"/>
          <w:lang w:eastAsia="zh-CN"/>
        </w:rPr>
        <w:t>BCRP</w:t>
      </w:r>
      <w:r w:rsidRPr="00BB41FB">
        <w:rPr>
          <w:rFonts w:cs="Times New Roman" w:hint="eastAsia"/>
          <w:lang w:eastAsia="zh-CN"/>
        </w:rPr>
        <w:t>的细胞考察在</w:t>
      </w:r>
      <w:proofErr w:type="gramStart"/>
      <w:r w:rsidRPr="00BB41FB">
        <w:rPr>
          <w:rFonts w:cs="Times New Roman" w:hint="eastAsia"/>
          <w:lang w:eastAsia="zh-CN"/>
        </w:rPr>
        <w:t>研</w:t>
      </w:r>
      <w:proofErr w:type="gramEnd"/>
      <w:r w:rsidRPr="00BB41FB">
        <w:rPr>
          <w:rFonts w:cs="Times New Roman" w:hint="eastAsia"/>
          <w:lang w:eastAsia="zh-CN"/>
        </w:rPr>
        <w:t>药物是否会抑制已知</w:t>
      </w:r>
      <w:r w:rsidRPr="00BB41FB">
        <w:rPr>
          <w:rFonts w:cs="Times New Roman"/>
          <w:lang w:eastAsia="zh-CN"/>
        </w:rPr>
        <w:t>P-</w:t>
      </w:r>
      <w:proofErr w:type="spellStart"/>
      <w:r w:rsidRPr="00BB41FB">
        <w:rPr>
          <w:rFonts w:cs="Times New Roman"/>
          <w:lang w:eastAsia="zh-CN"/>
        </w:rPr>
        <w:t>gp</w:t>
      </w:r>
      <w:proofErr w:type="spellEnd"/>
      <w:r w:rsidRPr="00BB41FB">
        <w:rPr>
          <w:rFonts w:cs="Times New Roman" w:hint="eastAsia"/>
          <w:lang w:eastAsia="zh-CN"/>
        </w:rPr>
        <w:t>或</w:t>
      </w:r>
      <w:r w:rsidRPr="00BB41FB">
        <w:rPr>
          <w:rFonts w:cs="Times New Roman"/>
          <w:lang w:eastAsia="zh-CN"/>
        </w:rPr>
        <w:t>BCRP</w:t>
      </w:r>
      <w:r w:rsidRPr="00BB41FB">
        <w:rPr>
          <w:rFonts w:cs="Times New Roman" w:hint="eastAsia"/>
          <w:lang w:eastAsia="zh-CN"/>
        </w:rPr>
        <w:t>底物的外排</w:t>
      </w:r>
      <w:proofErr w:type="gramStart"/>
      <w:r w:rsidRPr="00BB41FB">
        <w:rPr>
          <w:rFonts w:cs="Times New Roman" w:hint="eastAsia"/>
          <w:lang w:eastAsia="zh-CN"/>
        </w:rPr>
        <w:t>率或者净</w:t>
      </w:r>
      <w:proofErr w:type="gramEnd"/>
      <w:r w:rsidRPr="00BB41FB">
        <w:rPr>
          <w:rFonts w:cs="Times New Roman" w:hint="eastAsia"/>
          <w:lang w:eastAsia="zh-CN"/>
        </w:rPr>
        <w:t>外排，也可用膜囊</w:t>
      </w:r>
      <w:proofErr w:type="gramStart"/>
      <w:r w:rsidRPr="00BB41FB">
        <w:rPr>
          <w:rFonts w:cs="Times New Roman" w:hint="eastAsia"/>
          <w:lang w:eastAsia="zh-CN"/>
        </w:rPr>
        <w:t>泡考察</w:t>
      </w:r>
      <w:proofErr w:type="gramEnd"/>
      <w:r w:rsidRPr="00BB41FB">
        <w:rPr>
          <w:rFonts w:cs="Times New Roman" w:hint="eastAsia"/>
          <w:lang w:eastAsia="zh-CN"/>
        </w:rPr>
        <w:t>对摄取转运体的抑制，并确定其对转运体抑制的强弱（即</w:t>
      </w:r>
      <w:r w:rsidRPr="00BB41FB">
        <w:rPr>
          <w:rFonts w:cs="Times New Roman"/>
          <w:lang w:eastAsia="zh-CN"/>
        </w:rPr>
        <w:t>IC</w:t>
      </w:r>
      <w:r w:rsidRPr="00BB41FB">
        <w:rPr>
          <w:rFonts w:cs="Times New Roman"/>
          <w:vertAlign w:val="subscript"/>
          <w:lang w:eastAsia="zh-CN"/>
        </w:rPr>
        <w:t>50</w:t>
      </w:r>
      <w:r w:rsidRPr="00BB41FB">
        <w:rPr>
          <w:rFonts w:cs="Times New Roman" w:hint="eastAsia"/>
          <w:lang w:eastAsia="zh-CN"/>
        </w:rPr>
        <w:t>或</w:t>
      </w:r>
      <w:r w:rsidRPr="00BB41FB">
        <w:rPr>
          <w:rFonts w:cs="Times New Roman"/>
          <w:lang w:eastAsia="zh-CN"/>
        </w:rPr>
        <w:t>K</w:t>
      </w:r>
      <w:r w:rsidRPr="00BB41FB">
        <w:rPr>
          <w:rFonts w:cs="Times New Roman"/>
          <w:vertAlign w:val="subscript"/>
          <w:lang w:eastAsia="zh-CN"/>
        </w:rPr>
        <w:t>i</w:t>
      </w:r>
      <w:r w:rsidRPr="00BB41FB">
        <w:rPr>
          <w:rFonts w:cs="Times New Roman" w:hint="eastAsia"/>
          <w:lang w:eastAsia="zh-CN"/>
        </w:rPr>
        <w:t>）。</w:t>
      </w:r>
      <w:r w:rsidRPr="009E464F">
        <w:rPr>
          <w:rFonts w:cs="Times New Roman"/>
          <w:lang w:eastAsia="zh-CN"/>
        </w:rPr>
        <w:t>当口服给药且</w:t>
      </w:r>
      <w:proofErr w:type="spellStart"/>
      <w:r w:rsidRPr="009E464F">
        <w:rPr>
          <w:rFonts w:cs="Times New Roman"/>
          <w:lang w:eastAsia="zh-CN"/>
        </w:rPr>
        <w:t>I</w:t>
      </w:r>
      <w:r w:rsidRPr="009E464F">
        <w:rPr>
          <w:rFonts w:cs="Times New Roman"/>
          <w:vertAlign w:val="subscript"/>
          <w:lang w:eastAsia="zh-CN"/>
        </w:rPr>
        <w:t>gut</w:t>
      </w:r>
      <w:proofErr w:type="spellEnd"/>
      <w:r w:rsidRPr="009E464F">
        <w:rPr>
          <w:rFonts w:cs="Times New Roman"/>
          <w:lang w:eastAsia="zh-CN"/>
        </w:rPr>
        <w:t>/IC</w:t>
      </w:r>
      <w:r w:rsidRPr="009E464F">
        <w:rPr>
          <w:rFonts w:cs="Times New Roman"/>
          <w:vertAlign w:val="subscript"/>
          <w:lang w:eastAsia="zh-CN"/>
        </w:rPr>
        <w:t>50</w:t>
      </w:r>
      <w:r w:rsidRPr="009E464F">
        <w:rPr>
          <w:rFonts w:cs="Times New Roman"/>
          <w:lang w:eastAsia="zh-CN"/>
        </w:rPr>
        <w:t>（或</w:t>
      </w:r>
      <w:r w:rsidRPr="009E464F">
        <w:rPr>
          <w:rFonts w:cs="Times New Roman"/>
          <w:lang w:eastAsia="zh-CN"/>
        </w:rPr>
        <w:t>K</w:t>
      </w:r>
      <w:r w:rsidRPr="009E464F">
        <w:rPr>
          <w:rFonts w:cs="Times New Roman"/>
          <w:vertAlign w:val="subscript"/>
          <w:lang w:eastAsia="zh-CN"/>
        </w:rPr>
        <w:t>i</w:t>
      </w:r>
      <w:r w:rsidRPr="009E464F">
        <w:rPr>
          <w:rFonts w:cs="Times New Roman"/>
          <w:lang w:eastAsia="zh-CN"/>
        </w:rPr>
        <w:t>）</w:t>
      </w:r>
      <w:r w:rsidRPr="009E464F">
        <w:rPr>
          <w:rFonts w:cs="Times New Roman"/>
          <w:lang w:eastAsia="zh-CN"/>
        </w:rPr>
        <w:t>≥10</w:t>
      </w:r>
      <w:r w:rsidRPr="009E464F">
        <w:rPr>
          <w:rFonts w:cs="Times New Roman"/>
          <w:lang w:eastAsia="zh-CN"/>
        </w:rPr>
        <w:t>（</w:t>
      </w:r>
      <w:proofErr w:type="spellStart"/>
      <w:r w:rsidRPr="009E464F">
        <w:rPr>
          <w:rFonts w:cs="Times New Roman"/>
          <w:lang w:eastAsia="zh-CN"/>
        </w:rPr>
        <w:t>I</w:t>
      </w:r>
      <w:r w:rsidRPr="009E464F">
        <w:rPr>
          <w:rFonts w:cs="Times New Roman"/>
          <w:vertAlign w:val="subscript"/>
          <w:lang w:eastAsia="zh-CN"/>
        </w:rPr>
        <w:t>gut</w:t>
      </w:r>
      <w:proofErr w:type="spellEnd"/>
      <w:r w:rsidRPr="009E464F">
        <w:rPr>
          <w:rFonts w:cs="Times New Roman"/>
          <w:lang w:eastAsia="zh-CN"/>
        </w:rPr>
        <w:t>=</w:t>
      </w:r>
      <w:r w:rsidRPr="009E464F">
        <w:rPr>
          <w:rFonts w:cs="Times New Roman"/>
          <w:lang w:eastAsia="zh-CN"/>
        </w:rPr>
        <w:t>抑制剂剂量</w:t>
      </w:r>
      <w:r w:rsidRPr="009E464F">
        <w:rPr>
          <w:rFonts w:cs="Times New Roman"/>
          <w:lang w:eastAsia="zh-CN"/>
        </w:rPr>
        <w:t>/250 mL</w:t>
      </w:r>
      <w:r w:rsidRPr="009E464F">
        <w:rPr>
          <w:rFonts w:cs="Times New Roman"/>
          <w:lang w:eastAsia="zh-CN"/>
        </w:rPr>
        <w:t>）时，试验药可能在体内抑制</w:t>
      </w:r>
      <w:r w:rsidRPr="009E464F">
        <w:rPr>
          <w:rFonts w:cs="Times New Roman"/>
          <w:lang w:eastAsia="zh-CN"/>
        </w:rPr>
        <w:t>P-</w:t>
      </w:r>
      <w:proofErr w:type="spellStart"/>
      <w:r w:rsidRPr="009E464F">
        <w:rPr>
          <w:rFonts w:cs="Times New Roman"/>
          <w:lang w:eastAsia="zh-CN"/>
        </w:rPr>
        <w:t>gp</w:t>
      </w:r>
      <w:proofErr w:type="spellEnd"/>
      <w:r w:rsidRPr="009E464F">
        <w:rPr>
          <w:rFonts w:cs="Times New Roman"/>
          <w:lang w:eastAsia="zh-CN"/>
        </w:rPr>
        <w:t>或</w:t>
      </w:r>
      <w:r w:rsidRPr="009E464F">
        <w:rPr>
          <w:rFonts w:cs="Times New Roman"/>
          <w:lang w:eastAsia="zh-CN"/>
        </w:rPr>
        <w:t>BCRP</w:t>
      </w:r>
      <w:r w:rsidRPr="009E464F">
        <w:rPr>
          <w:rFonts w:cs="Times New Roman"/>
          <w:lang w:eastAsia="zh-CN"/>
        </w:rPr>
        <w:t>。如果药物的代谢产物是转运体抑</w:t>
      </w:r>
      <w:r w:rsidRPr="009E464F">
        <w:rPr>
          <w:rFonts w:cs="Times New Roman"/>
          <w:lang w:eastAsia="zh-CN"/>
        </w:rPr>
        <w:lastRenderedPageBreak/>
        <w:t>制剂或者在</w:t>
      </w:r>
      <w:proofErr w:type="gramStart"/>
      <w:r w:rsidRPr="009E464F">
        <w:rPr>
          <w:rFonts w:cs="Times New Roman"/>
          <w:lang w:eastAsia="zh-CN"/>
        </w:rPr>
        <w:t>研</w:t>
      </w:r>
      <w:proofErr w:type="gramEnd"/>
      <w:r w:rsidRPr="009E464F">
        <w:rPr>
          <w:rFonts w:cs="Times New Roman"/>
          <w:lang w:eastAsia="zh-CN"/>
        </w:rPr>
        <w:t>药物是胃肠道外给药的，那么当</w:t>
      </w:r>
      <w:r w:rsidRPr="009E464F">
        <w:rPr>
          <w:rFonts w:cs="Times New Roman"/>
          <w:lang w:eastAsia="zh-CN"/>
        </w:rPr>
        <w:t>I</w:t>
      </w:r>
      <w:r w:rsidRPr="009E464F">
        <w:rPr>
          <w:rFonts w:cs="Times New Roman"/>
          <w:vertAlign w:val="subscript"/>
          <w:lang w:eastAsia="zh-CN"/>
        </w:rPr>
        <w:t>1</w:t>
      </w:r>
      <w:r w:rsidRPr="009E464F">
        <w:rPr>
          <w:rFonts w:cs="Times New Roman"/>
          <w:lang w:eastAsia="zh-CN"/>
        </w:rPr>
        <w:t>/IC</w:t>
      </w:r>
      <w:r w:rsidRPr="009E464F">
        <w:rPr>
          <w:rFonts w:cs="Times New Roman"/>
          <w:vertAlign w:val="subscript"/>
          <w:lang w:eastAsia="zh-CN"/>
        </w:rPr>
        <w:t>50</w:t>
      </w:r>
      <w:r w:rsidRPr="009E464F">
        <w:rPr>
          <w:rFonts w:cs="Times New Roman"/>
          <w:lang w:eastAsia="zh-CN"/>
        </w:rPr>
        <w:t>（或</w:t>
      </w:r>
      <w:r w:rsidRPr="009E464F">
        <w:rPr>
          <w:rFonts w:cs="Times New Roman"/>
          <w:lang w:eastAsia="zh-CN"/>
        </w:rPr>
        <w:t>K</w:t>
      </w:r>
      <w:r w:rsidRPr="009E464F">
        <w:rPr>
          <w:rFonts w:cs="Times New Roman"/>
          <w:vertAlign w:val="subscript"/>
          <w:lang w:eastAsia="zh-CN"/>
        </w:rPr>
        <w:t>i</w:t>
      </w:r>
      <w:r w:rsidRPr="009E464F">
        <w:rPr>
          <w:rFonts w:cs="Times New Roman"/>
          <w:lang w:eastAsia="zh-CN"/>
        </w:rPr>
        <w:t>）</w:t>
      </w:r>
      <w:r w:rsidRPr="009E464F">
        <w:rPr>
          <w:rFonts w:cs="Times New Roman"/>
          <w:lang w:eastAsia="zh-CN"/>
        </w:rPr>
        <w:t>≥0.1</w:t>
      </w:r>
      <w:r w:rsidRPr="009E464F">
        <w:rPr>
          <w:rFonts w:cs="Times New Roman"/>
          <w:lang w:eastAsia="zh-CN"/>
        </w:rPr>
        <w:t>（</w:t>
      </w:r>
      <w:r w:rsidRPr="009E464F">
        <w:rPr>
          <w:rFonts w:cs="Times New Roman"/>
          <w:lang w:eastAsia="zh-CN"/>
        </w:rPr>
        <w:t>I</w:t>
      </w:r>
      <w:r w:rsidRPr="009E464F">
        <w:rPr>
          <w:rFonts w:cs="Times New Roman"/>
          <w:vertAlign w:val="subscript"/>
          <w:lang w:eastAsia="zh-CN"/>
        </w:rPr>
        <w:t>1</w:t>
      </w:r>
      <w:r w:rsidRPr="009E464F">
        <w:rPr>
          <w:rFonts w:cs="Times New Roman"/>
          <w:lang w:eastAsia="zh-CN"/>
        </w:rPr>
        <w:t>是代谢产物或者抑制剂原药的</w:t>
      </w:r>
      <w:proofErr w:type="spellStart"/>
      <w:r w:rsidRPr="009E464F">
        <w:rPr>
          <w:rFonts w:cs="Times New Roman"/>
          <w:lang w:eastAsia="zh-CN"/>
        </w:rPr>
        <w:t>C</w:t>
      </w:r>
      <w:r w:rsidRPr="009E464F">
        <w:rPr>
          <w:rFonts w:cs="Times New Roman"/>
          <w:vertAlign w:val="subscript"/>
          <w:lang w:eastAsia="zh-CN"/>
        </w:rPr>
        <w:t>max</w:t>
      </w:r>
      <w:proofErr w:type="spellEnd"/>
      <w:r w:rsidRPr="009E464F">
        <w:rPr>
          <w:rFonts w:cs="Times New Roman"/>
          <w:lang w:eastAsia="zh-CN"/>
        </w:rPr>
        <w:t>）时，可能在体内抑制</w:t>
      </w:r>
      <w:r w:rsidRPr="009E464F">
        <w:rPr>
          <w:rFonts w:cs="Times New Roman"/>
          <w:lang w:eastAsia="zh-CN"/>
        </w:rPr>
        <w:t>P-</w:t>
      </w:r>
      <w:proofErr w:type="spellStart"/>
      <w:r w:rsidRPr="009E464F">
        <w:rPr>
          <w:rFonts w:cs="Times New Roman"/>
          <w:lang w:eastAsia="zh-CN"/>
        </w:rPr>
        <w:t>gp</w:t>
      </w:r>
      <w:proofErr w:type="spellEnd"/>
      <w:r w:rsidRPr="009E464F">
        <w:rPr>
          <w:rFonts w:cs="Times New Roman"/>
          <w:lang w:eastAsia="zh-CN"/>
        </w:rPr>
        <w:t>或</w:t>
      </w:r>
      <w:r w:rsidRPr="009E464F">
        <w:rPr>
          <w:rFonts w:cs="Times New Roman"/>
          <w:lang w:eastAsia="zh-CN"/>
        </w:rPr>
        <w:t>BCRP</w:t>
      </w:r>
      <w:r w:rsidRPr="009E464F">
        <w:rPr>
          <w:rFonts w:cs="Times New Roman"/>
          <w:lang w:eastAsia="zh-CN"/>
        </w:rPr>
        <w:t>。要强调的是，这些临界值是基于有限的数据设定的。如果可以用已知的抑制剂和非抑制剂对体外系统进行内部校正，经过合理论证后也可以建议不同的临界值。</w:t>
      </w:r>
    </w:p>
    <w:p w14:paraId="0124DCB9" w14:textId="4E051BB0" w:rsidR="00E839A5" w:rsidRDefault="00E839A5" w:rsidP="00593FAB">
      <w:pPr>
        <w:spacing w:after="0"/>
        <w:ind w:firstLine="640"/>
        <w:rPr>
          <w:rFonts w:cs="Times New Roman"/>
          <w:lang w:eastAsia="zh-CN"/>
        </w:rPr>
      </w:pPr>
      <w:r w:rsidRPr="009E464F">
        <w:rPr>
          <w:rFonts w:cs="Times New Roman"/>
          <w:lang w:eastAsia="zh-CN"/>
        </w:rPr>
        <w:t>如果体外研究表明在</w:t>
      </w:r>
      <w:proofErr w:type="gramStart"/>
      <w:r w:rsidRPr="009E464F">
        <w:rPr>
          <w:rFonts w:cs="Times New Roman"/>
          <w:lang w:eastAsia="zh-CN"/>
        </w:rPr>
        <w:t>研</w:t>
      </w:r>
      <w:proofErr w:type="gramEnd"/>
      <w:r w:rsidRPr="009E464F">
        <w:rPr>
          <w:rFonts w:cs="Times New Roman"/>
          <w:lang w:eastAsia="zh-CN"/>
        </w:rPr>
        <w:t>药物是</w:t>
      </w:r>
      <w:r w:rsidRPr="009E464F">
        <w:rPr>
          <w:rFonts w:cs="Times New Roman"/>
          <w:lang w:eastAsia="zh-CN"/>
        </w:rPr>
        <w:t>P-</w:t>
      </w:r>
      <w:proofErr w:type="spellStart"/>
      <w:r w:rsidRPr="009E464F">
        <w:rPr>
          <w:rFonts w:cs="Times New Roman"/>
          <w:lang w:eastAsia="zh-CN"/>
        </w:rPr>
        <w:t>gp</w:t>
      </w:r>
      <w:proofErr w:type="spellEnd"/>
      <w:r w:rsidRPr="009E464F">
        <w:rPr>
          <w:rFonts w:cs="Times New Roman"/>
          <w:lang w:eastAsia="zh-CN"/>
        </w:rPr>
        <w:t>或者</w:t>
      </w:r>
      <w:r w:rsidRPr="009E464F">
        <w:rPr>
          <w:rFonts w:cs="Times New Roman"/>
          <w:lang w:eastAsia="zh-CN"/>
        </w:rPr>
        <w:t>BCRP</w:t>
      </w:r>
      <w:r w:rsidRPr="009E464F">
        <w:rPr>
          <w:rFonts w:cs="Times New Roman"/>
          <w:lang w:eastAsia="zh-CN"/>
        </w:rPr>
        <w:t>的抑制剂，</w:t>
      </w:r>
      <w:r>
        <w:rPr>
          <w:rFonts w:cs="Times New Roman" w:hint="eastAsia"/>
          <w:lang w:eastAsia="zh-CN"/>
        </w:rPr>
        <w:t>则</w:t>
      </w:r>
      <w:r w:rsidRPr="009E464F">
        <w:rPr>
          <w:rFonts w:cs="Times New Roman"/>
          <w:lang w:eastAsia="zh-CN"/>
        </w:rPr>
        <w:t>应基于临床上可能合用的已知</w:t>
      </w:r>
      <w:r w:rsidRPr="009E464F">
        <w:rPr>
          <w:rFonts w:cs="Times New Roman"/>
          <w:lang w:eastAsia="zh-CN"/>
        </w:rPr>
        <w:t>P-</w:t>
      </w:r>
      <w:proofErr w:type="spellStart"/>
      <w:r w:rsidRPr="009E464F">
        <w:rPr>
          <w:rFonts w:cs="Times New Roman"/>
          <w:lang w:eastAsia="zh-CN"/>
        </w:rPr>
        <w:t>gp</w:t>
      </w:r>
      <w:proofErr w:type="spellEnd"/>
      <w:r w:rsidRPr="009E464F">
        <w:rPr>
          <w:rFonts w:cs="Times New Roman"/>
          <w:lang w:eastAsia="zh-CN"/>
        </w:rPr>
        <w:t>或</w:t>
      </w:r>
      <w:r w:rsidRPr="009E464F">
        <w:rPr>
          <w:rFonts w:cs="Times New Roman"/>
          <w:lang w:eastAsia="zh-CN"/>
        </w:rPr>
        <w:t>BCRP</w:t>
      </w:r>
      <w:r w:rsidRPr="009E464F">
        <w:rPr>
          <w:rFonts w:cs="Times New Roman"/>
          <w:lang w:eastAsia="zh-CN"/>
        </w:rPr>
        <w:t>底物考虑是否进行体内试验（详见第三章）。</w:t>
      </w:r>
    </w:p>
    <w:p w14:paraId="3B2F2CBF" w14:textId="69EF3EC9" w:rsidR="0015519A" w:rsidRPr="009E464F" w:rsidRDefault="0015519A" w:rsidP="00593FAB">
      <w:pPr>
        <w:spacing w:after="0"/>
        <w:ind w:firstLine="643"/>
        <w:rPr>
          <w:rFonts w:cs="Times New Roman"/>
          <w:lang w:eastAsia="zh-CN"/>
        </w:rPr>
      </w:pPr>
      <w:r w:rsidRPr="0083505F">
        <w:rPr>
          <w:rFonts w:cs="Times New Roman"/>
          <w:b/>
          <w:u w:val="single"/>
          <w:lang w:eastAsia="zh-CN"/>
        </w:rPr>
        <w:t>OATP1B1</w:t>
      </w:r>
      <w:r w:rsidRPr="0083505F">
        <w:rPr>
          <w:rFonts w:cs="Times New Roman" w:hint="eastAsia"/>
          <w:b/>
          <w:u w:val="single"/>
          <w:lang w:eastAsia="zh-CN"/>
        </w:rPr>
        <w:t>和</w:t>
      </w:r>
      <w:r w:rsidRPr="0083505F">
        <w:rPr>
          <w:rFonts w:cs="Times New Roman"/>
          <w:b/>
          <w:u w:val="single"/>
          <w:lang w:eastAsia="zh-CN"/>
        </w:rPr>
        <w:t>OATP1B3</w:t>
      </w:r>
      <w:r w:rsidRPr="0083505F" w:rsidDel="0015519A">
        <w:rPr>
          <w:rFonts w:cs="Times New Roman"/>
          <w:u w:val="single"/>
          <w:lang w:eastAsia="zh-CN"/>
        </w:rPr>
        <w:t xml:space="preserve"> </w:t>
      </w:r>
      <w:r w:rsidRPr="0083505F">
        <w:rPr>
          <w:rFonts w:cs="Times New Roman" w:hint="eastAsia"/>
          <w:u w:val="single"/>
          <w:lang w:eastAsia="zh-CN"/>
        </w:rPr>
        <w:t>：</w:t>
      </w:r>
      <w:r>
        <w:rPr>
          <w:rFonts w:cs="Times New Roman"/>
          <w:lang w:eastAsia="zh-CN"/>
        </w:rPr>
        <w:t>在过</w:t>
      </w:r>
      <w:r w:rsidRPr="009E464F">
        <w:rPr>
          <w:rFonts w:cs="Times New Roman"/>
          <w:lang w:eastAsia="zh-CN"/>
        </w:rPr>
        <w:t>表达</w:t>
      </w:r>
      <w:r>
        <w:rPr>
          <w:rFonts w:cs="Times New Roman"/>
          <w:lang w:eastAsia="zh-CN"/>
        </w:rPr>
        <w:t>相应转运体</w:t>
      </w:r>
      <w:r w:rsidRPr="009E464F">
        <w:rPr>
          <w:rFonts w:cs="Times New Roman"/>
          <w:lang w:eastAsia="zh-CN"/>
        </w:rPr>
        <w:t>的细胞</w:t>
      </w:r>
      <w:r>
        <w:rPr>
          <w:rFonts w:cs="Times New Roman"/>
          <w:lang w:eastAsia="zh-CN"/>
        </w:rPr>
        <w:t>中</w:t>
      </w:r>
      <w:r w:rsidRPr="009E464F">
        <w:rPr>
          <w:rFonts w:cs="Times New Roman"/>
          <w:lang w:eastAsia="zh-CN"/>
        </w:rPr>
        <w:t>，</w:t>
      </w:r>
      <w:r>
        <w:rPr>
          <w:rFonts w:cs="Times New Roman"/>
          <w:lang w:eastAsia="zh-CN"/>
        </w:rPr>
        <w:t>应考察</w:t>
      </w:r>
      <w:r w:rsidRPr="009E464F">
        <w:rPr>
          <w:rFonts w:cs="Times New Roman"/>
          <w:lang w:eastAsia="zh-CN"/>
        </w:rPr>
        <w:t>在</w:t>
      </w:r>
      <w:proofErr w:type="gramStart"/>
      <w:r w:rsidRPr="009E464F">
        <w:rPr>
          <w:rFonts w:cs="Times New Roman"/>
          <w:lang w:eastAsia="zh-CN"/>
        </w:rPr>
        <w:t>研</w:t>
      </w:r>
      <w:proofErr w:type="gramEnd"/>
      <w:r w:rsidRPr="009E464F">
        <w:rPr>
          <w:rFonts w:cs="Times New Roman"/>
          <w:lang w:eastAsia="zh-CN"/>
        </w:rPr>
        <w:t>药物</w:t>
      </w:r>
      <w:r>
        <w:rPr>
          <w:rFonts w:cs="Times New Roman"/>
          <w:lang w:eastAsia="zh-CN"/>
        </w:rPr>
        <w:t>对已知的</w:t>
      </w:r>
      <w:r w:rsidRPr="009E464F">
        <w:rPr>
          <w:rFonts w:cs="Times New Roman"/>
          <w:lang w:eastAsia="zh-CN"/>
        </w:rPr>
        <w:t>OATP1B1</w:t>
      </w:r>
      <w:r w:rsidRPr="009E464F">
        <w:rPr>
          <w:rFonts w:cs="Times New Roman"/>
          <w:lang w:eastAsia="zh-CN"/>
        </w:rPr>
        <w:t>或</w:t>
      </w:r>
      <w:r w:rsidRPr="009E464F">
        <w:rPr>
          <w:rFonts w:cs="Times New Roman"/>
          <w:lang w:eastAsia="zh-CN"/>
        </w:rPr>
        <w:t>OATP1B3</w:t>
      </w:r>
      <w:r w:rsidRPr="009E464F">
        <w:rPr>
          <w:rFonts w:cs="Times New Roman"/>
          <w:lang w:eastAsia="zh-CN"/>
        </w:rPr>
        <w:t>底物对底物摄取的抑制效能（即</w:t>
      </w:r>
      <w:r w:rsidRPr="009E464F">
        <w:rPr>
          <w:rFonts w:cs="Times New Roman"/>
          <w:lang w:eastAsia="zh-CN"/>
        </w:rPr>
        <w:t>IC</w:t>
      </w:r>
      <w:r w:rsidRPr="009E464F">
        <w:rPr>
          <w:rFonts w:cs="Times New Roman"/>
          <w:vertAlign w:val="subscript"/>
          <w:lang w:eastAsia="zh-CN"/>
        </w:rPr>
        <w:t>50</w:t>
      </w:r>
      <w:r w:rsidRPr="009E464F">
        <w:rPr>
          <w:rFonts w:cs="Times New Roman"/>
          <w:lang w:eastAsia="zh-CN"/>
        </w:rPr>
        <w:t>或</w:t>
      </w:r>
      <w:r w:rsidRPr="009E464F">
        <w:rPr>
          <w:rFonts w:cs="Times New Roman"/>
          <w:lang w:eastAsia="zh-CN"/>
        </w:rPr>
        <w:t>K</w:t>
      </w:r>
      <w:r w:rsidRPr="002D4D37">
        <w:rPr>
          <w:rFonts w:cs="Times New Roman"/>
          <w:vertAlign w:val="subscript"/>
          <w:lang w:eastAsia="zh-CN"/>
        </w:rPr>
        <w:t>i</w:t>
      </w:r>
      <w:r w:rsidRPr="009E464F">
        <w:rPr>
          <w:rFonts w:cs="Times New Roman"/>
          <w:lang w:eastAsia="zh-CN"/>
        </w:rPr>
        <w:t>）。由于一些已知的</w:t>
      </w:r>
      <w:r w:rsidRPr="009E464F">
        <w:rPr>
          <w:rFonts w:cs="Times New Roman"/>
          <w:lang w:eastAsia="zh-CN"/>
        </w:rPr>
        <w:t>OATP1B1/3</w:t>
      </w:r>
      <w:r w:rsidRPr="009E464F">
        <w:rPr>
          <w:rFonts w:cs="Times New Roman"/>
          <w:lang w:eastAsia="zh-CN"/>
        </w:rPr>
        <w:t>抑制剂的抑制作用具有时间依赖性，因此</w:t>
      </w:r>
      <w:r>
        <w:rPr>
          <w:rFonts w:cs="Times New Roman"/>
          <w:lang w:eastAsia="zh-CN"/>
        </w:rPr>
        <w:t>应</w:t>
      </w:r>
      <w:r w:rsidRPr="009E464F">
        <w:rPr>
          <w:rFonts w:cs="Times New Roman"/>
          <w:lang w:eastAsia="zh-CN"/>
        </w:rPr>
        <w:t>进行一定时间</w:t>
      </w:r>
      <w:r w:rsidR="00A90349">
        <w:rPr>
          <w:rFonts w:cs="Times New Roman" w:hint="eastAsia"/>
          <w:lang w:eastAsia="zh-CN"/>
        </w:rPr>
        <w:t>（如</w:t>
      </w:r>
      <w:r w:rsidR="00A90349">
        <w:rPr>
          <w:rFonts w:cs="Times New Roman" w:hint="eastAsia"/>
          <w:lang w:eastAsia="zh-CN"/>
        </w:rPr>
        <w:t>30 min</w:t>
      </w:r>
      <w:r w:rsidR="00A90349">
        <w:rPr>
          <w:rFonts w:cs="Times New Roman" w:hint="eastAsia"/>
          <w:lang w:eastAsia="zh-CN"/>
        </w:rPr>
        <w:t>）</w:t>
      </w:r>
      <w:r w:rsidRPr="009E464F">
        <w:rPr>
          <w:rFonts w:cs="Times New Roman"/>
          <w:lang w:eastAsia="zh-CN"/>
        </w:rPr>
        <w:t>的预孵育后再测定</w:t>
      </w:r>
      <w:r w:rsidRPr="009E464F">
        <w:rPr>
          <w:rFonts w:cs="Times New Roman"/>
          <w:lang w:eastAsia="zh-CN"/>
        </w:rPr>
        <w:t>IC</w:t>
      </w:r>
      <w:r w:rsidRPr="009E464F">
        <w:rPr>
          <w:rFonts w:cs="Times New Roman"/>
          <w:vertAlign w:val="subscript"/>
          <w:lang w:eastAsia="zh-CN"/>
        </w:rPr>
        <w:t>50</w:t>
      </w:r>
      <w:r w:rsidRPr="009E464F">
        <w:rPr>
          <w:rFonts w:cs="Times New Roman"/>
          <w:lang w:eastAsia="zh-CN"/>
        </w:rPr>
        <w:t>值。如果</w:t>
      </w:r>
      <w:r w:rsidRPr="009E464F">
        <w:rPr>
          <w:rFonts w:cs="Times New Roman"/>
          <w:lang w:eastAsia="zh-CN"/>
        </w:rPr>
        <w:t>R</w:t>
      </w:r>
      <w:r w:rsidRPr="009E464F">
        <w:rPr>
          <w:rFonts w:cs="Times New Roman"/>
          <w:lang w:eastAsia="zh-CN"/>
        </w:rPr>
        <w:t>值（如图</w:t>
      </w:r>
      <w:r w:rsidR="00DD67B8">
        <w:rPr>
          <w:rFonts w:cs="Times New Roman"/>
          <w:lang w:eastAsia="zh-CN"/>
        </w:rPr>
        <w:t>6</w:t>
      </w:r>
      <w:r w:rsidRPr="009E464F">
        <w:rPr>
          <w:rFonts w:cs="Times New Roman"/>
          <w:lang w:eastAsia="zh-CN"/>
        </w:rPr>
        <w:t>）</w:t>
      </w:r>
      <w:r w:rsidRPr="009E464F">
        <w:rPr>
          <w:rFonts w:cs="Times New Roman"/>
          <w:lang w:eastAsia="zh-CN"/>
        </w:rPr>
        <w:t>≥1.1</w:t>
      </w:r>
      <w:r>
        <w:rPr>
          <w:rFonts w:cs="Times New Roman"/>
          <w:lang w:eastAsia="zh-CN"/>
        </w:rPr>
        <w:t>，</w:t>
      </w:r>
      <w:r w:rsidR="00A90349">
        <w:rPr>
          <w:rFonts w:cs="Times New Roman"/>
          <w:lang w:eastAsia="zh-CN"/>
        </w:rPr>
        <w:t>则在</w:t>
      </w:r>
      <w:proofErr w:type="gramStart"/>
      <w:r w:rsidR="00A90349">
        <w:rPr>
          <w:rFonts w:cs="Times New Roman"/>
          <w:lang w:eastAsia="zh-CN"/>
        </w:rPr>
        <w:t>研</w:t>
      </w:r>
      <w:proofErr w:type="gramEnd"/>
      <w:r w:rsidRPr="009E464F">
        <w:rPr>
          <w:rFonts w:cs="Times New Roman"/>
          <w:lang w:eastAsia="zh-CN"/>
        </w:rPr>
        <w:t>药可能在体内抑制</w:t>
      </w:r>
      <w:r w:rsidRPr="009E464F">
        <w:rPr>
          <w:rFonts w:cs="Times New Roman"/>
          <w:lang w:eastAsia="zh-CN"/>
        </w:rPr>
        <w:t>OATP1B1/3</w:t>
      </w:r>
      <w:r w:rsidRPr="009E464F">
        <w:rPr>
          <w:rFonts w:cs="Times New Roman"/>
          <w:lang w:eastAsia="zh-CN"/>
        </w:rPr>
        <w:t>。</w:t>
      </w:r>
    </w:p>
    <w:p w14:paraId="1BD465CB" w14:textId="626D1D38" w:rsidR="00DC0229" w:rsidRDefault="0015519A" w:rsidP="00593FAB">
      <w:pPr>
        <w:spacing w:after="0"/>
        <w:ind w:firstLine="640"/>
        <w:rPr>
          <w:rFonts w:cs="Times New Roman"/>
          <w:lang w:eastAsia="zh-CN"/>
        </w:rPr>
      </w:pPr>
      <w:r w:rsidRPr="009E464F">
        <w:rPr>
          <w:rFonts w:cs="Times New Roman"/>
          <w:lang w:eastAsia="zh-CN"/>
        </w:rPr>
        <w:t>图</w:t>
      </w:r>
      <w:r w:rsidR="00DD67B8">
        <w:rPr>
          <w:rFonts w:cs="Times New Roman"/>
          <w:lang w:eastAsia="zh-CN"/>
        </w:rPr>
        <w:t>6</w:t>
      </w:r>
      <w:r w:rsidR="00A90349">
        <w:rPr>
          <w:rFonts w:cs="Times New Roman"/>
          <w:lang w:eastAsia="zh-CN"/>
        </w:rPr>
        <w:t>中的临界值是基于有限的文献数据设定的。如果申请人</w:t>
      </w:r>
      <w:r w:rsidRPr="009E464F">
        <w:rPr>
          <w:rFonts w:cs="Times New Roman"/>
          <w:lang w:eastAsia="zh-CN"/>
        </w:rPr>
        <w:t>用已知的抑制剂和非抑制剂对体外系统进行</w:t>
      </w:r>
      <w:r w:rsidR="00A90349" w:rsidRPr="009E464F">
        <w:rPr>
          <w:rFonts w:cs="Times New Roman"/>
          <w:lang w:eastAsia="zh-CN"/>
        </w:rPr>
        <w:t>内部</w:t>
      </w:r>
      <w:r w:rsidRPr="009E464F">
        <w:rPr>
          <w:rFonts w:cs="Times New Roman"/>
          <w:lang w:eastAsia="zh-CN"/>
        </w:rPr>
        <w:t>校正，经过合理的论证后也可以建议不同的临界值。</w:t>
      </w:r>
    </w:p>
    <w:p w14:paraId="0F06D4AC" w14:textId="77777777" w:rsidR="00DC0229" w:rsidRDefault="00DC0229">
      <w:pPr>
        <w:spacing w:line="259" w:lineRule="auto"/>
        <w:ind w:firstLineChars="0" w:firstLine="0"/>
        <w:jc w:val="left"/>
        <w:rPr>
          <w:rFonts w:cs="Times New Roman"/>
          <w:lang w:eastAsia="zh-CN"/>
        </w:rPr>
      </w:pPr>
      <w:r>
        <w:rPr>
          <w:rFonts w:cs="Times New Roman"/>
          <w:lang w:eastAsia="zh-CN"/>
        </w:rPr>
        <w:br w:type="page"/>
      </w:r>
    </w:p>
    <w:p w14:paraId="32C50B0A" w14:textId="07FDB5EF" w:rsidR="0015519A" w:rsidRDefault="0015519A" w:rsidP="00100AA9">
      <w:pPr>
        <w:spacing w:line="500" w:lineRule="exact"/>
        <w:ind w:firstLineChars="0" w:firstLine="0"/>
        <w:jc w:val="center"/>
        <w:rPr>
          <w:rFonts w:cs="Times New Roman"/>
          <w:b/>
          <w:sz w:val="21"/>
          <w:szCs w:val="21"/>
          <w:lang w:eastAsia="zh-CN"/>
        </w:rPr>
      </w:pPr>
      <w:r w:rsidRPr="009E464F">
        <w:rPr>
          <w:rFonts w:cs="Times New Roman"/>
          <w:b/>
          <w:sz w:val="21"/>
          <w:szCs w:val="21"/>
          <w:lang w:eastAsia="zh-CN"/>
        </w:rPr>
        <w:lastRenderedPageBreak/>
        <w:t>图</w:t>
      </w:r>
      <w:r w:rsidR="00DD67B8">
        <w:rPr>
          <w:rFonts w:cs="Times New Roman"/>
          <w:b/>
          <w:sz w:val="21"/>
          <w:szCs w:val="21"/>
          <w:lang w:eastAsia="zh-CN"/>
        </w:rPr>
        <w:t xml:space="preserve">6 </w:t>
      </w:r>
      <w:r w:rsidRPr="009E464F">
        <w:rPr>
          <w:rFonts w:cs="Times New Roman"/>
          <w:b/>
          <w:sz w:val="21"/>
          <w:szCs w:val="21"/>
          <w:lang w:eastAsia="zh-CN"/>
        </w:rPr>
        <w:t>确定在</w:t>
      </w:r>
      <w:proofErr w:type="gramStart"/>
      <w:r w:rsidRPr="009E464F">
        <w:rPr>
          <w:rFonts w:cs="Times New Roman"/>
          <w:b/>
          <w:sz w:val="21"/>
          <w:szCs w:val="21"/>
          <w:lang w:eastAsia="zh-CN"/>
        </w:rPr>
        <w:t>研</w:t>
      </w:r>
      <w:proofErr w:type="gramEnd"/>
      <w:r w:rsidRPr="009E464F">
        <w:rPr>
          <w:rFonts w:cs="Times New Roman"/>
          <w:b/>
          <w:sz w:val="21"/>
          <w:szCs w:val="21"/>
          <w:lang w:eastAsia="zh-CN"/>
        </w:rPr>
        <w:t>药物对</w:t>
      </w:r>
      <w:r w:rsidRPr="009E464F">
        <w:rPr>
          <w:rFonts w:cs="Times New Roman"/>
          <w:b/>
          <w:sz w:val="21"/>
          <w:szCs w:val="21"/>
          <w:lang w:eastAsia="zh-CN"/>
        </w:rPr>
        <w:t>OATP1B1/3*</w:t>
      </w:r>
      <w:r w:rsidRPr="009E464F">
        <w:rPr>
          <w:rFonts w:cs="Times New Roman"/>
          <w:b/>
          <w:sz w:val="21"/>
          <w:szCs w:val="21"/>
          <w:lang w:eastAsia="zh-CN"/>
        </w:rPr>
        <w:t>的抑制潜力的</w:t>
      </w:r>
      <w:r w:rsidRPr="009E464F">
        <w:rPr>
          <w:rFonts w:cs="Times New Roman"/>
          <w:b/>
          <w:sz w:val="21"/>
          <w:szCs w:val="21"/>
          <w:lang w:eastAsia="zh-CN"/>
        </w:rPr>
        <w:t>R</w:t>
      </w:r>
      <w:r w:rsidRPr="009E464F">
        <w:rPr>
          <w:rFonts w:cs="Times New Roman"/>
          <w:b/>
          <w:sz w:val="21"/>
          <w:szCs w:val="21"/>
          <w:lang w:eastAsia="zh-CN"/>
        </w:rPr>
        <w:t>值计算公式</w:t>
      </w:r>
    </w:p>
    <w:p w14:paraId="6174FF03" w14:textId="6067F03A" w:rsidR="00870435" w:rsidRDefault="00870435" w:rsidP="00100AA9">
      <w:pPr>
        <w:spacing w:line="500" w:lineRule="exact"/>
        <w:ind w:firstLineChars="0" w:firstLine="0"/>
        <w:jc w:val="center"/>
        <w:rPr>
          <w:rFonts w:cs="Times New Roman"/>
          <w:b/>
          <w:sz w:val="21"/>
          <w:szCs w:val="21"/>
          <w:lang w:eastAsia="zh-CN"/>
        </w:rPr>
      </w:pPr>
    </w:p>
    <w:p w14:paraId="0E77CE9E" w14:textId="11FCB642" w:rsidR="00870435" w:rsidRDefault="00870435" w:rsidP="00100AA9">
      <w:pPr>
        <w:spacing w:line="500" w:lineRule="exact"/>
        <w:ind w:firstLineChars="0" w:firstLine="0"/>
        <w:jc w:val="center"/>
        <w:rPr>
          <w:rFonts w:cs="Times New Roman"/>
          <w:b/>
          <w:sz w:val="21"/>
          <w:szCs w:val="21"/>
          <w:lang w:eastAsia="zh-CN"/>
        </w:rPr>
      </w:pPr>
    </w:p>
    <w:p w14:paraId="62021C0F" w14:textId="1E28B592" w:rsidR="00870435" w:rsidRDefault="00870435" w:rsidP="00100AA9">
      <w:pPr>
        <w:spacing w:line="500" w:lineRule="exact"/>
        <w:ind w:firstLineChars="0" w:firstLine="0"/>
        <w:jc w:val="center"/>
        <w:rPr>
          <w:rFonts w:cs="Times New Roman"/>
          <w:b/>
          <w:sz w:val="21"/>
          <w:szCs w:val="21"/>
          <w:lang w:eastAsia="zh-CN"/>
        </w:rPr>
      </w:pPr>
    </w:p>
    <w:p w14:paraId="1524E7F8" w14:textId="39C4ACE6" w:rsidR="00870435" w:rsidRDefault="00870435" w:rsidP="00100AA9">
      <w:pPr>
        <w:spacing w:line="500" w:lineRule="exact"/>
        <w:ind w:firstLineChars="0" w:firstLine="0"/>
        <w:jc w:val="center"/>
        <w:rPr>
          <w:rFonts w:cs="Times New Roman"/>
          <w:b/>
          <w:sz w:val="21"/>
          <w:szCs w:val="21"/>
          <w:lang w:eastAsia="zh-CN"/>
        </w:rPr>
      </w:pPr>
    </w:p>
    <w:p w14:paraId="16C001A0" w14:textId="7760C0AA" w:rsidR="00870435" w:rsidRDefault="00870435" w:rsidP="00100AA9">
      <w:pPr>
        <w:spacing w:line="500" w:lineRule="exact"/>
        <w:ind w:firstLineChars="0" w:firstLine="0"/>
        <w:jc w:val="center"/>
        <w:rPr>
          <w:rFonts w:cs="Times New Roman"/>
          <w:b/>
          <w:sz w:val="21"/>
          <w:szCs w:val="21"/>
          <w:lang w:eastAsia="zh-CN"/>
        </w:rPr>
      </w:pPr>
    </w:p>
    <w:p w14:paraId="1F10932F" w14:textId="59EB4338" w:rsidR="00870435" w:rsidRDefault="00870435" w:rsidP="00100AA9">
      <w:pPr>
        <w:spacing w:line="500" w:lineRule="exact"/>
        <w:ind w:firstLineChars="0" w:firstLine="0"/>
        <w:jc w:val="center"/>
        <w:rPr>
          <w:rFonts w:cs="Times New Roman"/>
          <w:b/>
          <w:sz w:val="21"/>
          <w:szCs w:val="21"/>
          <w:lang w:eastAsia="zh-CN"/>
        </w:rPr>
      </w:pPr>
    </w:p>
    <w:p w14:paraId="317EB0AF" w14:textId="189E256A" w:rsidR="00870435" w:rsidRDefault="00870435" w:rsidP="00100AA9">
      <w:pPr>
        <w:spacing w:line="500" w:lineRule="exact"/>
        <w:ind w:firstLineChars="0" w:firstLine="0"/>
        <w:jc w:val="center"/>
        <w:rPr>
          <w:rFonts w:cs="Times New Roman"/>
          <w:b/>
          <w:sz w:val="21"/>
          <w:szCs w:val="21"/>
          <w:lang w:eastAsia="zh-CN"/>
        </w:rPr>
      </w:pPr>
      <w:r>
        <w:rPr>
          <w:rFonts w:cs="Times New Roman"/>
          <w:noProof/>
          <w:lang w:eastAsia="zh-CN"/>
        </w:rPr>
        <mc:AlternateContent>
          <mc:Choice Requires="wps">
            <w:drawing>
              <wp:inline distT="0" distB="0" distL="0" distR="0" wp14:anchorId="4005EBCE" wp14:editId="3E341F8B">
                <wp:extent cx="5440045" cy="2857500"/>
                <wp:effectExtent l="6350" t="6985" r="11430" b="12065"/>
                <wp:docPr id="19"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045" cy="2857500"/>
                        </a:xfrm>
                        <a:prstGeom prst="rect">
                          <a:avLst/>
                        </a:prstGeom>
                        <a:solidFill>
                          <a:srgbClr val="FFFFFF"/>
                        </a:solidFill>
                        <a:ln w="9525">
                          <a:solidFill>
                            <a:srgbClr val="000000"/>
                          </a:solidFill>
                          <a:miter lim="800000"/>
                          <a:headEnd/>
                          <a:tailEnd/>
                        </a:ln>
                      </wps:spPr>
                      <wps:txbx>
                        <w:txbxContent>
                          <w:p w14:paraId="494F3B30" w14:textId="77777777" w:rsidR="00921CF9" w:rsidRPr="009F0EA2" w:rsidRDefault="00921CF9" w:rsidP="00870435">
                            <w:pPr>
                              <w:ind w:firstLine="420"/>
                              <w:rPr>
                                <w:rFonts w:cs="Times New Roman"/>
                                <w:sz w:val="21"/>
                                <w:szCs w:val="21"/>
                              </w:rPr>
                            </w:pPr>
                            <m:oMathPara>
                              <m:oMathParaPr>
                                <m:jc m:val="left"/>
                              </m:oMathParaPr>
                              <m:oMath>
                                <m:r>
                                  <m:rPr>
                                    <m:sty m:val="p"/>
                                  </m:rPr>
                                  <w:rPr>
                                    <w:rFonts w:ascii="Cambria Math" w:hAnsi="Cambria Math" w:cs="Times New Roman"/>
                                    <w:sz w:val="21"/>
                                    <w:szCs w:val="21"/>
                                  </w:rPr>
                                  <m:t>R=1+(</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f</m:t>
                                        </m:r>
                                      </m:e>
                                      <m:sub>
                                        <m:r>
                                          <m:rPr>
                                            <m:sty m:val="p"/>
                                          </m:rPr>
                                          <w:rPr>
                                            <w:rFonts w:ascii="Cambria Math" w:hAnsi="Cambria Math" w:cs="Times New Roman"/>
                                            <w:sz w:val="21"/>
                                            <w:szCs w:val="21"/>
                                          </w:rPr>
                                          <m:t>u,p</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vertAlign w:val="subscript"/>
                                          </w:rPr>
                                          <m:t>in,max</m:t>
                                        </m:r>
                                      </m:sub>
                                    </m:sSub>
                                  </m:num>
                                  <m:den>
                                    <m:sSub>
                                      <m:sSubPr>
                                        <m:ctrlPr>
                                          <w:rPr>
                                            <w:rFonts w:ascii="Cambria Math" w:hAnsi="Cambria Math" w:cs="Times New Roman"/>
                                            <w:sz w:val="21"/>
                                            <w:szCs w:val="21"/>
                                          </w:rPr>
                                        </m:ctrlPr>
                                      </m:sSubPr>
                                      <m:e>
                                        <m:r>
                                          <m:rPr>
                                            <m:sty m:val="p"/>
                                          </m:rPr>
                                          <w:rPr>
                                            <w:rFonts w:ascii="Cambria Math" w:hAnsi="Cambria Math" w:cs="Times New Roman"/>
                                            <w:sz w:val="21"/>
                                            <w:szCs w:val="21"/>
                                          </w:rPr>
                                          <m:t>IC</m:t>
                                        </m:r>
                                      </m:e>
                                      <m:sub>
                                        <m:r>
                                          <m:rPr>
                                            <m:sty m:val="p"/>
                                          </m:rPr>
                                          <w:rPr>
                                            <w:rFonts w:ascii="Cambria Math" w:hAnsi="Cambria Math" w:cs="Times New Roman"/>
                                            <w:sz w:val="21"/>
                                            <w:szCs w:val="21"/>
                                            <w:vertAlign w:val="subscript"/>
                                          </w:rPr>
                                          <m:t>50</m:t>
                                        </m:r>
                                      </m:sub>
                                    </m:sSub>
                                  </m:den>
                                </m:f>
                                <m:r>
                                  <m:rPr>
                                    <m:sty m:val="p"/>
                                  </m:rPr>
                                  <w:rPr>
                                    <w:rFonts w:ascii="Cambria Math" w:hAnsi="Cambria Math" w:cs="Times New Roman"/>
                                    <w:sz w:val="21"/>
                                    <w:szCs w:val="21"/>
                                  </w:rPr>
                                  <m:t>)≥1.1</m:t>
                                </m:r>
                              </m:oMath>
                            </m:oMathPara>
                          </w:p>
                          <w:p w14:paraId="7F9E6B96" w14:textId="4ED4FCBB"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f</w:t>
                            </w:r>
                            <w:r w:rsidRPr="009F0EA2">
                              <w:rPr>
                                <w:rFonts w:cs="Times New Roman"/>
                                <w:sz w:val="21"/>
                                <w:szCs w:val="21"/>
                                <w:vertAlign w:val="subscript"/>
                                <w:lang w:eastAsia="zh-CN"/>
                              </w:rPr>
                              <w:t>u,p</w:t>
                            </w:r>
                            <w:r>
                              <w:rPr>
                                <w:rFonts w:hAnsi="宋体" w:cs="Times New Roman" w:hint="eastAsia"/>
                                <w:sz w:val="21"/>
                                <w:szCs w:val="21"/>
                                <w:lang w:eastAsia="zh-CN"/>
                              </w:rPr>
                              <w:t>：</w:t>
                            </w:r>
                            <w:r w:rsidRPr="009F0EA2">
                              <w:rPr>
                                <w:rFonts w:hAnsi="宋体" w:cs="Times New Roman"/>
                                <w:sz w:val="21"/>
                                <w:szCs w:val="21"/>
                                <w:lang w:eastAsia="zh-CN"/>
                              </w:rPr>
                              <w:t>血浆中</w:t>
                            </w:r>
                            <w:r w:rsidRPr="009F0EA2">
                              <w:rPr>
                                <w:rFonts w:hAnsi="宋体" w:cs="Times New Roman" w:hint="eastAsia"/>
                                <w:sz w:val="21"/>
                                <w:szCs w:val="21"/>
                                <w:lang w:eastAsia="zh-CN"/>
                              </w:rPr>
                              <w:t>游离分数</w:t>
                            </w:r>
                            <w:r w:rsidRPr="009F0EA2">
                              <w:rPr>
                                <w:rFonts w:hAnsi="宋体" w:cs="Times New Roman"/>
                                <w:sz w:val="21"/>
                                <w:szCs w:val="21"/>
                                <w:lang w:eastAsia="zh-CN"/>
                              </w:rPr>
                              <w:t>；</w:t>
                            </w:r>
                          </w:p>
                          <w:p w14:paraId="7B9260CF" w14:textId="5BF06BFF"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IC</w:t>
                            </w:r>
                            <w:r w:rsidRPr="009F0EA2">
                              <w:rPr>
                                <w:rFonts w:cs="Times New Roman"/>
                                <w:sz w:val="21"/>
                                <w:szCs w:val="21"/>
                                <w:vertAlign w:val="subscript"/>
                                <w:lang w:eastAsia="zh-CN"/>
                              </w:rPr>
                              <w:t>50</w:t>
                            </w:r>
                            <w:r>
                              <w:rPr>
                                <w:rFonts w:hAnsi="宋体" w:cs="Times New Roman" w:hint="eastAsia"/>
                                <w:sz w:val="21"/>
                                <w:szCs w:val="21"/>
                                <w:lang w:eastAsia="zh-CN"/>
                              </w:rPr>
                              <w:t>：</w:t>
                            </w:r>
                            <w:r w:rsidRPr="009F0EA2">
                              <w:rPr>
                                <w:rFonts w:hAnsi="宋体" w:cs="Times New Roman"/>
                                <w:sz w:val="21"/>
                                <w:szCs w:val="21"/>
                                <w:lang w:eastAsia="zh-CN"/>
                              </w:rPr>
                              <w:t>半</w:t>
                            </w:r>
                            <w:r w:rsidRPr="009F0EA2">
                              <w:rPr>
                                <w:rFonts w:hAnsi="宋体" w:cs="Times New Roman" w:hint="eastAsia"/>
                                <w:sz w:val="21"/>
                                <w:szCs w:val="21"/>
                                <w:lang w:eastAsia="zh-CN"/>
                              </w:rPr>
                              <w:t>数最大</w:t>
                            </w:r>
                            <w:r w:rsidRPr="009F0EA2">
                              <w:rPr>
                                <w:rFonts w:hAnsi="宋体" w:cs="Times New Roman"/>
                                <w:sz w:val="21"/>
                                <w:szCs w:val="21"/>
                                <w:lang w:eastAsia="zh-CN"/>
                              </w:rPr>
                              <w:t>抑制浓度</w:t>
                            </w:r>
                            <w:r w:rsidRPr="009F0EA2">
                              <w:rPr>
                                <w:rFonts w:hAnsi="宋体" w:cs="Times New Roman" w:hint="eastAsia"/>
                                <w:sz w:val="21"/>
                                <w:szCs w:val="21"/>
                                <w:lang w:eastAsia="zh-CN"/>
                              </w:rPr>
                              <w:t>（游离药物）</w:t>
                            </w:r>
                            <w:r w:rsidRPr="009F0EA2">
                              <w:rPr>
                                <w:rFonts w:hAnsi="宋体" w:cs="Times New Roman"/>
                                <w:sz w:val="21"/>
                                <w:szCs w:val="21"/>
                                <w:lang w:eastAsia="zh-CN"/>
                              </w:rPr>
                              <w:t>；</w:t>
                            </w:r>
                          </w:p>
                          <w:p w14:paraId="3998E733" w14:textId="316BFC37"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I</w:t>
                            </w:r>
                            <w:r w:rsidRPr="009F0EA2">
                              <w:rPr>
                                <w:rFonts w:cs="Times New Roman"/>
                                <w:sz w:val="21"/>
                                <w:szCs w:val="21"/>
                                <w:vertAlign w:val="subscript"/>
                                <w:lang w:eastAsia="zh-CN"/>
                              </w:rPr>
                              <w:t>in,max</w:t>
                            </w:r>
                            <w:r>
                              <w:rPr>
                                <w:rFonts w:hAnsi="宋体" w:cs="Times New Roman" w:hint="eastAsia"/>
                                <w:sz w:val="21"/>
                                <w:szCs w:val="21"/>
                                <w:lang w:eastAsia="zh-CN"/>
                              </w:rPr>
                              <w:t>：</w:t>
                            </w:r>
                            <w:r w:rsidRPr="009F0EA2">
                              <w:rPr>
                                <w:rFonts w:hAnsi="宋体" w:cs="Times New Roman"/>
                                <w:sz w:val="21"/>
                                <w:szCs w:val="21"/>
                                <w:lang w:eastAsia="zh-CN"/>
                              </w:rPr>
                              <w:t>进入肝</w:t>
                            </w:r>
                            <w:r w:rsidRPr="009F0EA2">
                              <w:rPr>
                                <w:rFonts w:hAnsi="宋体" w:cs="Times New Roman" w:hint="eastAsia"/>
                                <w:sz w:val="21"/>
                                <w:szCs w:val="21"/>
                                <w:lang w:eastAsia="zh-CN"/>
                              </w:rPr>
                              <w:t>门处</w:t>
                            </w:r>
                            <w:r w:rsidRPr="009F0EA2">
                              <w:rPr>
                                <w:rFonts w:hAnsi="宋体" w:cs="Times New Roman"/>
                                <w:sz w:val="21"/>
                                <w:szCs w:val="21"/>
                                <w:lang w:eastAsia="zh-CN"/>
                              </w:rPr>
                              <w:t>估算的血浆中抑制</w:t>
                            </w:r>
                            <w:r w:rsidRPr="009F0EA2">
                              <w:rPr>
                                <w:rFonts w:hAnsi="宋体" w:cs="Times New Roman" w:hint="eastAsia"/>
                                <w:sz w:val="21"/>
                                <w:szCs w:val="21"/>
                                <w:lang w:eastAsia="zh-CN"/>
                              </w:rPr>
                              <w:t>剂的</w:t>
                            </w:r>
                            <w:r w:rsidRPr="009F0EA2">
                              <w:rPr>
                                <w:rFonts w:hAnsi="宋体" w:cs="Times New Roman"/>
                                <w:sz w:val="21"/>
                                <w:szCs w:val="21"/>
                                <w:lang w:eastAsia="zh-CN"/>
                              </w:rPr>
                              <w:t>最大浓度，其计算公式为：</w:t>
                            </w:r>
                          </w:p>
                          <w:p w14:paraId="39EA6F10" w14:textId="77777777" w:rsidR="00921CF9" w:rsidRPr="009F0EA2" w:rsidRDefault="003275AF" w:rsidP="00870435">
                            <w:pPr>
                              <w:spacing w:after="0" w:line="240" w:lineRule="auto"/>
                              <w:ind w:firstLine="420"/>
                              <w:rPr>
                                <w:rFonts w:cs="Times New Roman"/>
                                <w:sz w:val="21"/>
                                <w:szCs w:val="21"/>
                              </w:rPr>
                            </w:pPr>
                            <m:oMathPara>
                              <m:oMathParaPr>
                                <m:jc m:val="left"/>
                              </m:oMathParaPr>
                              <m:oMath>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vertAlign w:val="subscript"/>
                                      </w:rPr>
                                      <m:t>in,max</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vertAlign w:val="subscript"/>
                                      </w:rPr>
                                      <m:t>max</m:t>
                                    </m:r>
                                  </m:sub>
                                </m:sSub>
                                <m:r>
                                  <m:rPr>
                                    <m:sty m:val="p"/>
                                  </m:rPr>
                                  <w:rPr>
                                    <w:rFonts w:ascii="Cambria Math" w:hAnsi="Cambria Math" w:cs="Times New Roman"/>
                                    <w:sz w:val="21"/>
                                    <w:szCs w:val="21"/>
                                  </w:rPr>
                                  <m:t>+</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F</m:t>
                                        </m:r>
                                      </m:e>
                                      <m:sub>
                                        <m:r>
                                          <m:rPr>
                                            <m:sty m:val="p"/>
                                          </m:rPr>
                                          <w:rPr>
                                            <w:rFonts w:ascii="Cambria Math" w:hAnsi="Cambria Math" w:cs="Times New Roman"/>
                                            <w:sz w:val="21"/>
                                            <w:szCs w:val="21"/>
                                            <w:vertAlign w:val="subscript"/>
                                          </w:rPr>
                                          <m:t>a</m:t>
                                        </m:r>
                                      </m:sub>
                                    </m:sSub>
                                    <m:sSub>
                                      <m:sSubPr>
                                        <m:ctrlPr>
                                          <w:rPr>
                                            <w:rFonts w:ascii="Cambria Math" w:hAnsi="Cambria Math" w:cs="Times New Roman"/>
                                            <w:sz w:val="21"/>
                                            <w:szCs w:val="21"/>
                                          </w:rPr>
                                        </m:ctrlPr>
                                      </m:sSubPr>
                                      <m:e>
                                        <m:r>
                                          <m:rPr>
                                            <m:sty m:val="p"/>
                                          </m:rPr>
                                          <w:rPr>
                                            <w:rFonts w:ascii="Cambria Math" w:hAnsi="Cambria Math" w:cs="Times New Roman"/>
                                            <w:sz w:val="21"/>
                                            <w:szCs w:val="21"/>
                                          </w:rPr>
                                          <m:t>F</m:t>
                                        </m:r>
                                      </m:e>
                                      <m:sub>
                                        <m:r>
                                          <m:rPr>
                                            <m:sty m:val="p"/>
                                          </m:rPr>
                                          <w:rPr>
                                            <w:rFonts w:ascii="Cambria Math" w:hAnsi="Cambria Math" w:cs="Times New Roman"/>
                                            <w:sz w:val="21"/>
                                            <w:szCs w:val="21"/>
                                            <w:vertAlign w:val="subscript"/>
                                          </w:rPr>
                                          <m:t>g</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k</m:t>
                                        </m:r>
                                      </m:e>
                                      <m:sub>
                                        <m:r>
                                          <m:rPr>
                                            <m:sty m:val="p"/>
                                          </m:rPr>
                                          <w:rPr>
                                            <w:rFonts w:ascii="Cambria Math" w:hAnsi="Cambria Math" w:cs="Times New Roman"/>
                                            <w:sz w:val="21"/>
                                            <w:szCs w:val="21"/>
                                            <w:vertAlign w:val="subscript"/>
                                          </w:rPr>
                                          <m:t>a</m:t>
                                        </m:r>
                                      </m:sub>
                                    </m:sSub>
                                    <m:r>
                                      <m:rPr>
                                        <m:sty m:val="p"/>
                                      </m:rPr>
                                      <w:rPr>
                                        <w:rFonts w:ascii="Cambria Math" w:hAnsi="Cambria Math" w:cs="Times New Roman"/>
                                        <w:sz w:val="21"/>
                                        <w:szCs w:val="21"/>
                                      </w:rPr>
                                      <m:t>×Dose</m:t>
                                    </m:r>
                                  </m:num>
                                  <m:den>
                                    <m:sSub>
                                      <m:sSubPr>
                                        <m:ctrlPr>
                                          <w:rPr>
                                            <w:rFonts w:ascii="Cambria Math" w:hAnsi="Cambria Math" w:cs="Times New Roman"/>
                                            <w:sz w:val="21"/>
                                            <w:szCs w:val="21"/>
                                          </w:rPr>
                                        </m:ctrlPr>
                                      </m:sSubPr>
                                      <m:e>
                                        <m:r>
                                          <m:rPr>
                                            <m:sty m:val="p"/>
                                          </m:rPr>
                                          <w:rPr>
                                            <w:rFonts w:ascii="Cambria Math" w:hAnsi="Cambria Math" w:cs="Times New Roman"/>
                                            <w:sz w:val="21"/>
                                            <w:szCs w:val="21"/>
                                          </w:rPr>
                                          <m:t>Q</m:t>
                                        </m:r>
                                      </m:e>
                                      <m:sub>
                                        <m:r>
                                          <m:rPr>
                                            <m:sty m:val="p"/>
                                          </m:rPr>
                                          <w:rPr>
                                            <w:rFonts w:ascii="Cambria Math" w:hAnsi="Cambria Math" w:cs="Times New Roman"/>
                                            <w:sz w:val="21"/>
                                            <w:szCs w:val="21"/>
                                            <w:vertAlign w:val="subscript"/>
                                          </w:rPr>
                                          <m:t>h</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R</m:t>
                                        </m:r>
                                      </m:e>
                                      <m:sub>
                                        <m:r>
                                          <m:rPr>
                                            <m:sty m:val="p"/>
                                          </m:rPr>
                                          <w:rPr>
                                            <w:rFonts w:ascii="Cambria Math" w:hAnsi="Cambria Math" w:cs="Times New Roman"/>
                                            <w:sz w:val="21"/>
                                            <w:szCs w:val="21"/>
                                            <w:vertAlign w:val="subscript"/>
                                          </w:rPr>
                                          <m:t>B</m:t>
                                        </m:r>
                                      </m:sub>
                                    </m:sSub>
                                  </m:den>
                                </m:f>
                              </m:oMath>
                            </m:oMathPara>
                          </w:p>
                          <w:p w14:paraId="71B382FD" w14:textId="16B79702"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F</w:t>
                            </w:r>
                            <w:r w:rsidRPr="009F0EA2">
                              <w:rPr>
                                <w:rFonts w:cs="Times New Roman"/>
                                <w:sz w:val="21"/>
                                <w:szCs w:val="21"/>
                                <w:vertAlign w:val="subscript"/>
                                <w:lang w:eastAsia="zh-CN"/>
                              </w:rPr>
                              <w:t>a</w:t>
                            </w:r>
                            <w:r>
                              <w:rPr>
                                <w:rFonts w:hAnsi="宋体" w:cs="Times New Roman" w:hint="eastAsia"/>
                                <w:sz w:val="21"/>
                                <w:szCs w:val="21"/>
                                <w:lang w:eastAsia="zh-CN"/>
                              </w:rPr>
                              <w:t>：</w:t>
                            </w:r>
                            <w:r w:rsidRPr="009F0EA2">
                              <w:rPr>
                                <w:rFonts w:hAnsi="宋体" w:cs="Times New Roman"/>
                                <w:sz w:val="21"/>
                                <w:szCs w:val="21"/>
                                <w:lang w:eastAsia="zh-CN"/>
                              </w:rPr>
                              <w:t>被吸收的部分；</w:t>
                            </w:r>
                          </w:p>
                          <w:p w14:paraId="0EB51D5F" w14:textId="1C28F714"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F</w:t>
                            </w:r>
                            <w:r w:rsidRPr="009F0EA2">
                              <w:rPr>
                                <w:rFonts w:cs="Times New Roman"/>
                                <w:sz w:val="21"/>
                                <w:szCs w:val="21"/>
                                <w:vertAlign w:val="subscript"/>
                                <w:lang w:eastAsia="zh-CN"/>
                              </w:rPr>
                              <w:t>g</w:t>
                            </w:r>
                            <w:r>
                              <w:rPr>
                                <w:rFonts w:hAnsi="宋体" w:cs="Times New Roman" w:hint="eastAsia"/>
                                <w:sz w:val="21"/>
                                <w:szCs w:val="21"/>
                                <w:lang w:eastAsia="zh-CN"/>
                              </w:rPr>
                              <w:t>：</w:t>
                            </w:r>
                            <w:r w:rsidRPr="009F0EA2">
                              <w:rPr>
                                <w:rFonts w:ascii="仿宋" w:eastAsia="仿宋" w:hAnsi="仿宋" w:hint="eastAsia"/>
                                <w:sz w:val="21"/>
                                <w:szCs w:val="21"/>
                                <w:lang w:eastAsia="zh-CN"/>
                              </w:rPr>
                              <w:t>被吸收至小肠上皮细胞的药物中未经肠代谢的药物的分数</w:t>
                            </w:r>
                            <w:r w:rsidRPr="009F0EA2">
                              <w:rPr>
                                <w:rFonts w:hAnsi="宋体" w:cs="Times New Roman"/>
                                <w:sz w:val="21"/>
                                <w:szCs w:val="21"/>
                                <w:lang w:eastAsia="zh-CN"/>
                              </w:rPr>
                              <w:t>；</w:t>
                            </w:r>
                          </w:p>
                          <w:p w14:paraId="553489EC" w14:textId="6A9B7B73"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k</w:t>
                            </w:r>
                            <w:r w:rsidRPr="009F0EA2">
                              <w:rPr>
                                <w:rFonts w:cs="Times New Roman"/>
                                <w:sz w:val="21"/>
                                <w:szCs w:val="21"/>
                                <w:vertAlign w:val="subscript"/>
                                <w:lang w:eastAsia="zh-CN"/>
                              </w:rPr>
                              <w:t>a</w:t>
                            </w:r>
                            <w:r>
                              <w:rPr>
                                <w:rFonts w:hAnsi="宋体" w:cs="Times New Roman" w:hint="eastAsia"/>
                                <w:sz w:val="21"/>
                                <w:szCs w:val="21"/>
                                <w:lang w:eastAsia="zh-CN"/>
                              </w:rPr>
                              <w:t>：</w:t>
                            </w:r>
                            <w:r w:rsidRPr="009F0EA2">
                              <w:rPr>
                                <w:rFonts w:hAnsi="宋体" w:cs="Times New Roman"/>
                                <w:sz w:val="21"/>
                                <w:szCs w:val="21"/>
                                <w:lang w:eastAsia="zh-CN"/>
                              </w:rPr>
                              <w:t>吸收速率常数；</w:t>
                            </w:r>
                          </w:p>
                          <w:p w14:paraId="5B9BF65A" w14:textId="69DBEC07"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Q</w:t>
                            </w:r>
                            <w:r w:rsidRPr="009F0EA2">
                              <w:rPr>
                                <w:rFonts w:cs="Times New Roman"/>
                                <w:sz w:val="21"/>
                                <w:szCs w:val="21"/>
                                <w:vertAlign w:val="subscript"/>
                                <w:lang w:eastAsia="zh-CN"/>
                              </w:rPr>
                              <w:t>h</w:t>
                            </w:r>
                            <w:r>
                              <w:rPr>
                                <w:rFonts w:hAnsi="宋体" w:cs="Times New Roman" w:hint="eastAsia"/>
                                <w:sz w:val="21"/>
                                <w:szCs w:val="21"/>
                                <w:lang w:eastAsia="zh-CN"/>
                              </w:rPr>
                              <w:t>：</w:t>
                            </w:r>
                            <w:r w:rsidRPr="009F0EA2">
                              <w:rPr>
                                <w:rFonts w:hAnsi="宋体" w:cs="Times New Roman"/>
                                <w:sz w:val="21"/>
                                <w:szCs w:val="21"/>
                                <w:lang w:eastAsia="zh-CN"/>
                              </w:rPr>
                              <w:t>肝脏血流</w:t>
                            </w:r>
                            <w:r w:rsidRPr="009F0EA2">
                              <w:rPr>
                                <w:rFonts w:hAnsi="宋体" w:cs="Times New Roman" w:hint="eastAsia"/>
                                <w:sz w:val="21"/>
                                <w:szCs w:val="21"/>
                                <w:lang w:eastAsia="zh-CN"/>
                              </w:rPr>
                              <w:t>量</w:t>
                            </w:r>
                            <w:r w:rsidRPr="009F0EA2">
                              <w:rPr>
                                <w:rFonts w:hAnsi="宋体" w:cs="Times New Roman"/>
                                <w:sz w:val="21"/>
                                <w:szCs w:val="21"/>
                                <w:lang w:eastAsia="zh-CN"/>
                              </w:rPr>
                              <w:t>；</w:t>
                            </w:r>
                          </w:p>
                          <w:p w14:paraId="0946CFD0" w14:textId="34FAAF0C" w:rsidR="00921CF9" w:rsidRPr="009F0EA2" w:rsidRDefault="00921CF9" w:rsidP="00870435">
                            <w:pPr>
                              <w:spacing w:after="0" w:line="240" w:lineRule="auto"/>
                              <w:ind w:firstLine="420"/>
                              <w:rPr>
                                <w:rFonts w:hAnsi="宋体" w:cs="Times New Roman"/>
                                <w:sz w:val="21"/>
                                <w:szCs w:val="21"/>
                                <w:lang w:eastAsia="zh-CN"/>
                              </w:rPr>
                            </w:pPr>
                            <w:r w:rsidRPr="009F0EA2">
                              <w:rPr>
                                <w:rFonts w:cs="Times New Roman"/>
                                <w:sz w:val="21"/>
                                <w:szCs w:val="21"/>
                                <w:lang w:eastAsia="zh-CN"/>
                              </w:rPr>
                              <w:t>R</w:t>
                            </w:r>
                            <w:r w:rsidRPr="009F0EA2">
                              <w:rPr>
                                <w:rFonts w:cs="Times New Roman"/>
                                <w:sz w:val="21"/>
                                <w:szCs w:val="21"/>
                                <w:vertAlign w:val="subscript"/>
                                <w:lang w:eastAsia="zh-CN"/>
                              </w:rPr>
                              <w:t>B</w:t>
                            </w:r>
                            <w:r>
                              <w:rPr>
                                <w:rFonts w:hAnsi="宋体" w:cs="Times New Roman" w:hint="eastAsia"/>
                                <w:sz w:val="21"/>
                                <w:szCs w:val="21"/>
                                <w:lang w:eastAsia="zh-CN"/>
                              </w:rPr>
                              <w:t>：</w:t>
                            </w:r>
                            <w:r w:rsidRPr="009F0EA2">
                              <w:rPr>
                                <w:rFonts w:hAnsi="宋体" w:cs="Times New Roman"/>
                                <w:sz w:val="21"/>
                                <w:szCs w:val="21"/>
                                <w:lang w:eastAsia="zh-CN"/>
                              </w:rPr>
                              <w:t>全血</w:t>
                            </w:r>
                            <w:r w:rsidRPr="009F0EA2">
                              <w:rPr>
                                <w:rFonts w:cs="Times New Roman"/>
                                <w:sz w:val="21"/>
                                <w:szCs w:val="21"/>
                                <w:lang w:eastAsia="zh-CN"/>
                              </w:rPr>
                              <w:t>-</w:t>
                            </w:r>
                            <w:r w:rsidRPr="009F0EA2">
                              <w:rPr>
                                <w:rFonts w:hAnsi="宋体" w:cs="Times New Roman"/>
                                <w:sz w:val="21"/>
                                <w:szCs w:val="21"/>
                                <w:lang w:eastAsia="zh-CN"/>
                              </w:rPr>
                              <w:t>血浆浓度比值。</w:t>
                            </w:r>
                          </w:p>
                          <w:p w14:paraId="7C9F0E5D" w14:textId="77777777" w:rsidR="00921CF9" w:rsidRPr="009F0EA2" w:rsidRDefault="00921CF9" w:rsidP="00870435">
                            <w:pPr>
                              <w:spacing w:after="0" w:line="240" w:lineRule="auto"/>
                              <w:ind w:firstLine="420"/>
                              <w:rPr>
                                <w:rFonts w:hAnsi="宋体" w:cs="Times New Roman"/>
                                <w:sz w:val="21"/>
                                <w:szCs w:val="21"/>
                                <w:lang w:eastAsia="zh-CN"/>
                              </w:rPr>
                            </w:pPr>
                            <w:r w:rsidRPr="009F0EA2">
                              <w:rPr>
                                <w:rFonts w:cs="Times New Roman"/>
                                <w:sz w:val="21"/>
                                <w:szCs w:val="21"/>
                                <w:lang w:eastAsia="zh-CN"/>
                              </w:rPr>
                              <w:t>*</w:t>
                            </w:r>
                            <w:r w:rsidRPr="009F0EA2">
                              <w:rPr>
                                <w:rFonts w:hAnsi="宋体" w:cs="Times New Roman" w:hint="eastAsia"/>
                                <w:sz w:val="21"/>
                                <w:szCs w:val="21"/>
                                <w:lang w:eastAsia="zh-CN"/>
                              </w:rPr>
                              <w:t>如果未测定</w:t>
                            </w:r>
                            <w:r w:rsidRPr="009F0EA2">
                              <w:rPr>
                                <w:rFonts w:hAnsi="宋体" w:cs="Times New Roman"/>
                                <w:sz w:val="21"/>
                                <w:szCs w:val="21"/>
                                <w:lang w:eastAsia="zh-CN"/>
                              </w:rPr>
                              <w:t>F</w:t>
                            </w:r>
                            <w:r w:rsidRPr="009F0EA2">
                              <w:rPr>
                                <w:rFonts w:hAnsi="宋体" w:cs="Times New Roman"/>
                                <w:sz w:val="21"/>
                                <w:szCs w:val="21"/>
                                <w:vertAlign w:val="subscript"/>
                                <w:lang w:eastAsia="zh-CN"/>
                              </w:rPr>
                              <w:t>a</w:t>
                            </w:r>
                            <w:r w:rsidRPr="009F0EA2">
                              <w:rPr>
                                <w:rFonts w:hAnsi="宋体" w:cs="Times New Roman" w:hint="eastAsia"/>
                                <w:sz w:val="21"/>
                                <w:szCs w:val="21"/>
                                <w:lang w:eastAsia="zh-CN"/>
                              </w:rPr>
                              <w:t>、</w:t>
                            </w:r>
                            <w:r w:rsidRPr="009F0EA2">
                              <w:rPr>
                                <w:rFonts w:hAnsi="宋体" w:cs="Times New Roman"/>
                                <w:sz w:val="21"/>
                                <w:szCs w:val="21"/>
                                <w:lang w:eastAsia="zh-CN"/>
                              </w:rPr>
                              <w:t>F</w:t>
                            </w:r>
                            <w:r w:rsidRPr="009F0EA2">
                              <w:rPr>
                                <w:rFonts w:hAnsi="宋体" w:cs="Times New Roman"/>
                                <w:sz w:val="21"/>
                                <w:szCs w:val="21"/>
                                <w:vertAlign w:val="subscript"/>
                                <w:lang w:eastAsia="zh-CN"/>
                              </w:rPr>
                              <w:t>g</w:t>
                            </w:r>
                            <w:r w:rsidRPr="009F0EA2">
                              <w:rPr>
                                <w:rFonts w:hAnsi="宋体" w:cs="Times New Roman" w:hint="eastAsia"/>
                                <w:sz w:val="21"/>
                                <w:szCs w:val="21"/>
                                <w:lang w:eastAsia="zh-CN"/>
                              </w:rPr>
                              <w:t>、</w:t>
                            </w:r>
                            <w:r w:rsidRPr="009F0EA2">
                              <w:rPr>
                                <w:rFonts w:hAnsi="宋体" w:cs="Times New Roman"/>
                                <w:sz w:val="21"/>
                                <w:szCs w:val="21"/>
                                <w:lang w:eastAsia="zh-CN"/>
                              </w:rPr>
                              <w:t>k</w:t>
                            </w:r>
                            <w:r w:rsidRPr="009F0EA2">
                              <w:rPr>
                                <w:rFonts w:hAnsi="宋体" w:cs="Times New Roman"/>
                                <w:sz w:val="21"/>
                                <w:szCs w:val="21"/>
                                <w:vertAlign w:val="subscript"/>
                                <w:lang w:eastAsia="zh-CN"/>
                              </w:rPr>
                              <w:t>a</w:t>
                            </w:r>
                            <w:r w:rsidRPr="009F0EA2">
                              <w:rPr>
                                <w:rFonts w:hAnsi="宋体" w:cs="Times New Roman" w:hint="eastAsia"/>
                                <w:sz w:val="21"/>
                                <w:szCs w:val="21"/>
                                <w:lang w:eastAsia="zh-CN"/>
                              </w:rPr>
                              <w:t>值，可以用</w:t>
                            </w:r>
                            <w:r w:rsidRPr="009F0EA2">
                              <w:rPr>
                                <w:rFonts w:hAnsi="宋体" w:cs="Times New Roman"/>
                                <w:sz w:val="21"/>
                                <w:szCs w:val="21"/>
                                <w:lang w:eastAsia="zh-CN"/>
                              </w:rPr>
                              <w:t>F</w:t>
                            </w:r>
                            <w:r w:rsidRPr="009F0EA2">
                              <w:rPr>
                                <w:rFonts w:hAnsi="宋体" w:cs="Times New Roman"/>
                                <w:sz w:val="21"/>
                                <w:szCs w:val="21"/>
                                <w:vertAlign w:val="subscript"/>
                                <w:lang w:eastAsia="zh-CN"/>
                              </w:rPr>
                              <w:t>a</w:t>
                            </w:r>
                            <w:r w:rsidRPr="009F0EA2">
                              <w:rPr>
                                <w:rFonts w:hAnsi="宋体" w:cs="Times New Roman"/>
                                <w:sz w:val="21"/>
                                <w:szCs w:val="21"/>
                                <w:lang w:eastAsia="zh-CN"/>
                              </w:rPr>
                              <w:t>=1</w:t>
                            </w:r>
                            <w:r w:rsidRPr="009F0EA2">
                              <w:rPr>
                                <w:rFonts w:hAnsi="宋体" w:cs="Times New Roman" w:hint="eastAsia"/>
                                <w:sz w:val="21"/>
                                <w:szCs w:val="21"/>
                                <w:lang w:eastAsia="zh-CN"/>
                              </w:rPr>
                              <w:t>、</w:t>
                            </w:r>
                            <w:r w:rsidRPr="009F0EA2">
                              <w:rPr>
                                <w:rFonts w:hAnsi="宋体" w:cs="Times New Roman"/>
                                <w:sz w:val="21"/>
                                <w:szCs w:val="21"/>
                                <w:lang w:eastAsia="zh-CN"/>
                              </w:rPr>
                              <w:t>F</w:t>
                            </w:r>
                            <w:r w:rsidRPr="009F0EA2">
                              <w:rPr>
                                <w:rFonts w:hAnsi="宋体" w:cs="Times New Roman"/>
                                <w:sz w:val="21"/>
                                <w:szCs w:val="21"/>
                                <w:vertAlign w:val="subscript"/>
                                <w:lang w:eastAsia="zh-CN"/>
                              </w:rPr>
                              <w:t xml:space="preserve">g </w:t>
                            </w:r>
                            <w:r w:rsidRPr="009F0EA2">
                              <w:rPr>
                                <w:rFonts w:hAnsi="宋体" w:cs="Times New Roman"/>
                                <w:sz w:val="21"/>
                                <w:szCs w:val="21"/>
                                <w:lang w:eastAsia="zh-CN"/>
                              </w:rPr>
                              <w:t>=1</w:t>
                            </w:r>
                            <w:r w:rsidRPr="009F0EA2">
                              <w:rPr>
                                <w:rFonts w:hAnsi="宋体" w:cs="Times New Roman" w:hint="eastAsia"/>
                                <w:sz w:val="21"/>
                                <w:szCs w:val="21"/>
                                <w:lang w:eastAsia="zh-CN"/>
                              </w:rPr>
                              <w:t>和</w:t>
                            </w:r>
                            <w:r w:rsidRPr="009F0EA2">
                              <w:rPr>
                                <w:rFonts w:hAnsi="宋体" w:cs="Times New Roman"/>
                                <w:sz w:val="21"/>
                                <w:szCs w:val="21"/>
                                <w:lang w:eastAsia="zh-CN"/>
                              </w:rPr>
                              <w:t>k</w:t>
                            </w:r>
                            <w:r w:rsidRPr="009F0EA2">
                              <w:rPr>
                                <w:rFonts w:hAnsi="宋体" w:cs="Times New Roman"/>
                                <w:sz w:val="21"/>
                                <w:szCs w:val="21"/>
                                <w:vertAlign w:val="subscript"/>
                                <w:lang w:eastAsia="zh-CN"/>
                              </w:rPr>
                              <w:t>a</w:t>
                            </w:r>
                            <w:r w:rsidRPr="009F0EA2">
                              <w:rPr>
                                <w:rFonts w:hAnsi="宋体" w:cs="Times New Roman"/>
                                <w:sz w:val="21"/>
                                <w:szCs w:val="21"/>
                                <w:lang w:eastAsia="zh-CN"/>
                              </w:rPr>
                              <w:t xml:space="preserve"> = 0.1/min</w:t>
                            </w:r>
                            <w:r w:rsidRPr="009F0EA2">
                              <w:rPr>
                                <w:rFonts w:hAnsi="宋体" w:cs="Times New Roman" w:hint="eastAsia"/>
                                <w:sz w:val="21"/>
                                <w:szCs w:val="21"/>
                                <w:lang w:eastAsia="zh-CN"/>
                              </w:rPr>
                              <w:t>做近似估算。</w:t>
                            </w:r>
                          </w:p>
                          <w:p w14:paraId="7CF701A3" w14:textId="77777777" w:rsidR="00921CF9" w:rsidRPr="009F0EA2" w:rsidRDefault="00921CF9" w:rsidP="00870435">
                            <w:pPr>
                              <w:spacing w:after="0" w:line="240" w:lineRule="auto"/>
                              <w:ind w:firstLine="420"/>
                              <w:rPr>
                                <w:rFonts w:cs="Times New Roman"/>
                                <w:sz w:val="21"/>
                                <w:szCs w:val="21"/>
                                <w:lang w:eastAsia="zh-CN"/>
                              </w:rPr>
                            </w:pPr>
                            <w:r w:rsidRPr="009F0EA2">
                              <w:rPr>
                                <w:rFonts w:hAnsi="宋体" w:cs="Times New Roman" w:hint="eastAsia"/>
                                <w:sz w:val="21"/>
                                <w:szCs w:val="21"/>
                                <w:lang w:eastAsia="zh-CN"/>
                              </w:rPr>
                              <w:t>考虑到蛋白结合率测量的不确定性，当测得的蛋白结合率小于</w:t>
                            </w:r>
                            <w:r w:rsidRPr="009F0EA2">
                              <w:rPr>
                                <w:rFonts w:hAnsi="宋体" w:cs="Times New Roman" w:hint="eastAsia"/>
                                <w:sz w:val="21"/>
                                <w:szCs w:val="21"/>
                                <w:lang w:eastAsia="zh-CN"/>
                              </w:rPr>
                              <w:t>1%</w:t>
                            </w:r>
                            <w:r w:rsidRPr="009F0EA2">
                              <w:rPr>
                                <w:rFonts w:hAnsi="宋体" w:cs="Times New Roman" w:hint="eastAsia"/>
                                <w:sz w:val="21"/>
                                <w:szCs w:val="21"/>
                                <w:lang w:eastAsia="zh-CN"/>
                              </w:rPr>
                              <w:t>时，游离部分（</w:t>
                            </w:r>
                            <w:r w:rsidRPr="009F0EA2">
                              <w:rPr>
                                <w:rFonts w:cs="Times New Roman"/>
                                <w:sz w:val="21"/>
                                <w:szCs w:val="21"/>
                                <w:lang w:eastAsia="zh-CN"/>
                              </w:rPr>
                              <w:t>f</w:t>
                            </w:r>
                            <w:r w:rsidRPr="009F0EA2">
                              <w:rPr>
                                <w:rFonts w:cs="Times New Roman"/>
                                <w:sz w:val="21"/>
                                <w:szCs w:val="21"/>
                                <w:vertAlign w:val="subscript"/>
                                <w:lang w:eastAsia="zh-CN"/>
                              </w:rPr>
                              <w:t>u,p</w:t>
                            </w:r>
                            <w:r w:rsidRPr="009F0EA2">
                              <w:rPr>
                                <w:rFonts w:hAnsi="宋体" w:cs="Times New Roman" w:hint="eastAsia"/>
                                <w:sz w:val="21"/>
                                <w:szCs w:val="21"/>
                                <w:lang w:eastAsia="zh-CN"/>
                              </w:rPr>
                              <w:t>）应当视为</w:t>
                            </w:r>
                            <w:r w:rsidRPr="009F0EA2">
                              <w:rPr>
                                <w:rFonts w:hAnsi="宋体" w:cs="Times New Roman" w:hint="eastAsia"/>
                                <w:sz w:val="21"/>
                                <w:szCs w:val="21"/>
                                <w:lang w:eastAsia="zh-CN"/>
                              </w:rPr>
                              <w:t>1%</w:t>
                            </w:r>
                            <w:r w:rsidRPr="009F0EA2">
                              <w:rPr>
                                <w:rFonts w:hAnsi="宋体" w:cs="Times New Roman" w:hint="eastAsia"/>
                                <w:sz w:val="21"/>
                                <w:szCs w:val="21"/>
                                <w:lang w:eastAsia="zh-CN"/>
                              </w:rPr>
                              <w:t>。</w:t>
                            </w:r>
                          </w:p>
                        </w:txbxContent>
                      </wps:txbx>
                      <wps:bodyPr rot="0" vert="horz" wrap="square" lIns="91440" tIns="45720" rIns="91440" bIns="45720" anchor="t" anchorCtr="0" upright="1">
                        <a:noAutofit/>
                      </wps:bodyPr>
                    </wps:wsp>
                  </a:graphicData>
                </a:graphic>
              </wp:inline>
            </w:drawing>
          </mc:Choice>
          <mc:Fallback>
            <w:pict>
              <v:shape w14:anchorId="4005EBCE" id="文本框 14" o:spid="_x0000_s1031" type="#_x0000_t202" style="width:428.3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1itPgIAAFsEAAAOAAAAZHJzL2Uyb0RvYy54bWysVM2O0zAQviPxDpbvNGnVsG3UdLV0KUJa&#10;fqSFB3Acp7FwPMZ2m5QHgDfgxIU7z9XnYOy0pVrggsjB8njGn2e+byaL675VZCesk6ALOh6llAjN&#10;oZJ6U9D379ZPZpQ4z3TFFGhR0L1w9Hr5+NGiM7mYQAOqEpYgiHZ5ZwraeG/yJHG8ES1zIzBCo7MG&#10;2zKPpt0klWUdorcqmaTp06QDWxkLXDiHp7eDky4jfl0L7t/UtROeqIJibj6uNq5lWJPlguUby0wj&#10;+TEN9g9ZtExqfPQMdcs8I1srf4NqJbfgoPYjDm0CdS25iDVgNeP0QTX3DTMi1oLkOHOmyf0/WP56&#10;99YSWaF2c0o0a1Gjw9cvh28/Dt8/k/E0ENQZl2PcvcFI3z+DHoNjsc7cAf/giIZVw/RG3FgLXSNY&#10;hQmOw83k4uqA4wJI2b2CCh9iWw8RqK9tG9hDPgiio1D7szii94TjYTadpuk0o4SjbzLLrrI0ypew&#10;/HTdWOdfCGhJ2BTUovoRnu3unA/psPwUEl5zoGS1lkpFw27KlbJkx7BT1vGLFTwIU5p0BZ1nk2xg&#10;4K8Qafz+BNFKjy2vZFvQ2TmI5YG357qKDemZVMMeU1b6SGTgbmDR92UfRctO+pRQ7ZFZC0OH40Ti&#10;pgH7iZIOu7ug7uOWWUGJeqlRnfkY2cRxiMY0u5qgYS895aWHaY5QBfWUDNuVH0Zoa6zcNPjS0A8a&#10;blDRWkaug/RDVsf0sYOjBMdpCyNyaceoX/+E5U8AAAD//wMAUEsDBBQABgAIAAAAIQBPy0nP3QAA&#10;AAUBAAAPAAAAZHJzL2Rvd25yZXYueG1sTI/BTsMwEETvSPyDtUhcELWBNk1DnAohgdobFESvbrxN&#10;Iux1sN00/D2GS7msNJrRzNtyOVrDBvShcyThZiKAIdVOd9RIeH97us6BhahIK+MIJXxjgGV1flaq&#10;QrsjveKwiQ1LJRQKJaGNsS84D3WLVoWJ65GSt3feqpikb7j26pjKreG3QmTcqo7SQqt6fGyx/twc&#10;rIR8uhq2YX338lFne7OIV/Ph+ctLeXkxPtwDizjGUxh+8RM6VIlp5w6kAzMS0iPx7yYvn2VzYDsJ&#10;05kQwKuS/6evfgAAAP//AwBQSwECLQAUAAYACAAAACEAtoM4kv4AAADhAQAAEwAAAAAAAAAAAAAA&#10;AAAAAAAAW0NvbnRlbnRfVHlwZXNdLnhtbFBLAQItABQABgAIAAAAIQA4/SH/1gAAAJQBAAALAAAA&#10;AAAAAAAAAAAAAC8BAABfcmVscy8ucmVsc1BLAQItABQABgAIAAAAIQA5Z1itPgIAAFsEAAAOAAAA&#10;AAAAAAAAAAAAAC4CAABkcnMvZTJvRG9jLnhtbFBLAQItABQABgAIAAAAIQBPy0nP3QAAAAUBAAAP&#10;AAAAAAAAAAAAAAAAAJgEAABkcnMvZG93bnJldi54bWxQSwUGAAAAAAQABADzAAAAogUAAAAA&#10;">
                <v:textbox>
                  <w:txbxContent>
                    <w:p w14:paraId="494F3B30" w14:textId="77777777" w:rsidR="00921CF9" w:rsidRPr="009F0EA2" w:rsidRDefault="00921CF9" w:rsidP="00870435">
                      <w:pPr>
                        <w:ind w:firstLine="420"/>
                        <w:rPr>
                          <w:rFonts w:cs="Times New Roman"/>
                          <w:sz w:val="21"/>
                          <w:szCs w:val="21"/>
                        </w:rPr>
                      </w:pPr>
                      <m:oMathPara>
                        <m:oMathParaPr>
                          <m:jc m:val="left"/>
                        </m:oMathParaPr>
                        <m:oMath>
                          <m:r>
                            <m:rPr>
                              <m:sty m:val="p"/>
                            </m:rPr>
                            <w:rPr>
                              <w:rFonts w:ascii="Cambria Math" w:hAnsi="Cambria Math" w:cs="Times New Roman"/>
                              <w:sz w:val="21"/>
                              <w:szCs w:val="21"/>
                            </w:rPr>
                            <m:t>R=1+(</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f</m:t>
                                  </m:r>
                                </m:e>
                                <m:sub>
                                  <m:r>
                                    <m:rPr>
                                      <m:sty m:val="p"/>
                                    </m:rPr>
                                    <w:rPr>
                                      <w:rFonts w:ascii="Cambria Math" w:hAnsi="Cambria Math" w:cs="Times New Roman"/>
                                      <w:sz w:val="21"/>
                                      <w:szCs w:val="21"/>
                                    </w:rPr>
                                    <m:t>u,p</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vertAlign w:val="subscript"/>
                                    </w:rPr>
                                    <m:t>in,max</m:t>
                                  </m:r>
                                </m:sub>
                              </m:sSub>
                            </m:num>
                            <m:den>
                              <m:sSub>
                                <m:sSubPr>
                                  <m:ctrlPr>
                                    <w:rPr>
                                      <w:rFonts w:ascii="Cambria Math" w:hAnsi="Cambria Math" w:cs="Times New Roman"/>
                                      <w:sz w:val="21"/>
                                      <w:szCs w:val="21"/>
                                    </w:rPr>
                                  </m:ctrlPr>
                                </m:sSubPr>
                                <m:e>
                                  <m:r>
                                    <m:rPr>
                                      <m:sty m:val="p"/>
                                    </m:rPr>
                                    <w:rPr>
                                      <w:rFonts w:ascii="Cambria Math" w:hAnsi="Cambria Math" w:cs="Times New Roman"/>
                                      <w:sz w:val="21"/>
                                      <w:szCs w:val="21"/>
                                    </w:rPr>
                                    <m:t>IC</m:t>
                                  </m:r>
                                </m:e>
                                <m:sub>
                                  <m:r>
                                    <m:rPr>
                                      <m:sty m:val="p"/>
                                    </m:rPr>
                                    <w:rPr>
                                      <w:rFonts w:ascii="Cambria Math" w:hAnsi="Cambria Math" w:cs="Times New Roman"/>
                                      <w:sz w:val="21"/>
                                      <w:szCs w:val="21"/>
                                      <w:vertAlign w:val="subscript"/>
                                    </w:rPr>
                                    <m:t>50</m:t>
                                  </m:r>
                                </m:sub>
                              </m:sSub>
                            </m:den>
                          </m:f>
                          <m:r>
                            <m:rPr>
                              <m:sty m:val="p"/>
                            </m:rPr>
                            <w:rPr>
                              <w:rFonts w:ascii="Cambria Math" w:hAnsi="Cambria Math" w:cs="Times New Roman"/>
                              <w:sz w:val="21"/>
                              <w:szCs w:val="21"/>
                            </w:rPr>
                            <m:t>)≥1.1</m:t>
                          </m:r>
                        </m:oMath>
                      </m:oMathPara>
                    </w:p>
                    <w:p w14:paraId="7F9E6B96" w14:textId="4ED4FCBB"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f</w:t>
                      </w:r>
                      <w:r w:rsidRPr="009F0EA2">
                        <w:rPr>
                          <w:rFonts w:cs="Times New Roman"/>
                          <w:sz w:val="21"/>
                          <w:szCs w:val="21"/>
                          <w:vertAlign w:val="subscript"/>
                          <w:lang w:eastAsia="zh-CN"/>
                        </w:rPr>
                        <w:t>u,p</w:t>
                      </w:r>
                      <w:r>
                        <w:rPr>
                          <w:rFonts w:hAnsi="宋体" w:cs="Times New Roman" w:hint="eastAsia"/>
                          <w:sz w:val="21"/>
                          <w:szCs w:val="21"/>
                          <w:lang w:eastAsia="zh-CN"/>
                        </w:rPr>
                        <w:t>：</w:t>
                      </w:r>
                      <w:r w:rsidRPr="009F0EA2">
                        <w:rPr>
                          <w:rFonts w:hAnsi="宋体" w:cs="Times New Roman"/>
                          <w:sz w:val="21"/>
                          <w:szCs w:val="21"/>
                          <w:lang w:eastAsia="zh-CN"/>
                        </w:rPr>
                        <w:t>血浆中</w:t>
                      </w:r>
                      <w:r w:rsidRPr="009F0EA2">
                        <w:rPr>
                          <w:rFonts w:hAnsi="宋体" w:cs="Times New Roman" w:hint="eastAsia"/>
                          <w:sz w:val="21"/>
                          <w:szCs w:val="21"/>
                          <w:lang w:eastAsia="zh-CN"/>
                        </w:rPr>
                        <w:t>游离分数</w:t>
                      </w:r>
                      <w:r w:rsidRPr="009F0EA2">
                        <w:rPr>
                          <w:rFonts w:hAnsi="宋体" w:cs="Times New Roman"/>
                          <w:sz w:val="21"/>
                          <w:szCs w:val="21"/>
                          <w:lang w:eastAsia="zh-CN"/>
                        </w:rPr>
                        <w:t>；</w:t>
                      </w:r>
                    </w:p>
                    <w:p w14:paraId="7B9260CF" w14:textId="5BF06BFF"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IC</w:t>
                      </w:r>
                      <w:r w:rsidRPr="009F0EA2">
                        <w:rPr>
                          <w:rFonts w:cs="Times New Roman"/>
                          <w:sz w:val="21"/>
                          <w:szCs w:val="21"/>
                          <w:vertAlign w:val="subscript"/>
                          <w:lang w:eastAsia="zh-CN"/>
                        </w:rPr>
                        <w:t>50</w:t>
                      </w:r>
                      <w:r>
                        <w:rPr>
                          <w:rFonts w:hAnsi="宋体" w:cs="Times New Roman" w:hint="eastAsia"/>
                          <w:sz w:val="21"/>
                          <w:szCs w:val="21"/>
                          <w:lang w:eastAsia="zh-CN"/>
                        </w:rPr>
                        <w:t>：</w:t>
                      </w:r>
                      <w:r w:rsidRPr="009F0EA2">
                        <w:rPr>
                          <w:rFonts w:hAnsi="宋体" w:cs="Times New Roman"/>
                          <w:sz w:val="21"/>
                          <w:szCs w:val="21"/>
                          <w:lang w:eastAsia="zh-CN"/>
                        </w:rPr>
                        <w:t>半</w:t>
                      </w:r>
                      <w:r w:rsidRPr="009F0EA2">
                        <w:rPr>
                          <w:rFonts w:hAnsi="宋体" w:cs="Times New Roman" w:hint="eastAsia"/>
                          <w:sz w:val="21"/>
                          <w:szCs w:val="21"/>
                          <w:lang w:eastAsia="zh-CN"/>
                        </w:rPr>
                        <w:t>数最大</w:t>
                      </w:r>
                      <w:r w:rsidRPr="009F0EA2">
                        <w:rPr>
                          <w:rFonts w:hAnsi="宋体" w:cs="Times New Roman"/>
                          <w:sz w:val="21"/>
                          <w:szCs w:val="21"/>
                          <w:lang w:eastAsia="zh-CN"/>
                        </w:rPr>
                        <w:t>抑制浓度</w:t>
                      </w:r>
                      <w:r w:rsidRPr="009F0EA2">
                        <w:rPr>
                          <w:rFonts w:hAnsi="宋体" w:cs="Times New Roman" w:hint="eastAsia"/>
                          <w:sz w:val="21"/>
                          <w:szCs w:val="21"/>
                          <w:lang w:eastAsia="zh-CN"/>
                        </w:rPr>
                        <w:t>（游离药物）</w:t>
                      </w:r>
                      <w:r w:rsidRPr="009F0EA2">
                        <w:rPr>
                          <w:rFonts w:hAnsi="宋体" w:cs="Times New Roman"/>
                          <w:sz w:val="21"/>
                          <w:szCs w:val="21"/>
                          <w:lang w:eastAsia="zh-CN"/>
                        </w:rPr>
                        <w:t>；</w:t>
                      </w:r>
                    </w:p>
                    <w:p w14:paraId="3998E733" w14:textId="316BFC37"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I</w:t>
                      </w:r>
                      <w:r w:rsidRPr="009F0EA2">
                        <w:rPr>
                          <w:rFonts w:cs="Times New Roman"/>
                          <w:sz w:val="21"/>
                          <w:szCs w:val="21"/>
                          <w:vertAlign w:val="subscript"/>
                          <w:lang w:eastAsia="zh-CN"/>
                        </w:rPr>
                        <w:t>in,max</w:t>
                      </w:r>
                      <w:r>
                        <w:rPr>
                          <w:rFonts w:hAnsi="宋体" w:cs="Times New Roman" w:hint="eastAsia"/>
                          <w:sz w:val="21"/>
                          <w:szCs w:val="21"/>
                          <w:lang w:eastAsia="zh-CN"/>
                        </w:rPr>
                        <w:t>：</w:t>
                      </w:r>
                      <w:r w:rsidRPr="009F0EA2">
                        <w:rPr>
                          <w:rFonts w:hAnsi="宋体" w:cs="Times New Roman"/>
                          <w:sz w:val="21"/>
                          <w:szCs w:val="21"/>
                          <w:lang w:eastAsia="zh-CN"/>
                        </w:rPr>
                        <w:t>进入肝</w:t>
                      </w:r>
                      <w:r w:rsidRPr="009F0EA2">
                        <w:rPr>
                          <w:rFonts w:hAnsi="宋体" w:cs="Times New Roman" w:hint="eastAsia"/>
                          <w:sz w:val="21"/>
                          <w:szCs w:val="21"/>
                          <w:lang w:eastAsia="zh-CN"/>
                        </w:rPr>
                        <w:t>门处</w:t>
                      </w:r>
                      <w:r w:rsidRPr="009F0EA2">
                        <w:rPr>
                          <w:rFonts w:hAnsi="宋体" w:cs="Times New Roman"/>
                          <w:sz w:val="21"/>
                          <w:szCs w:val="21"/>
                          <w:lang w:eastAsia="zh-CN"/>
                        </w:rPr>
                        <w:t>估算的血浆中抑制</w:t>
                      </w:r>
                      <w:r w:rsidRPr="009F0EA2">
                        <w:rPr>
                          <w:rFonts w:hAnsi="宋体" w:cs="Times New Roman" w:hint="eastAsia"/>
                          <w:sz w:val="21"/>
                          <w:szCs w:val="21"/>
                          <w:lang w:eastAsia="zh-CN"/>
                        </w:rPr>
                        <w:t>剂的</w:t>
                      </w:r>
                      <w:r w:rsidRPr="009F0EA2">
                        <w:rPr>
                          <w:rFonts w:hAnsi="宋体" w:cs="Times New Roman"/>
                          <w:sz w:val="21"/>
                          <w:szCs w:val="21"/>
                          <w:lang w:eastAsia="zh-CN"/>
                        </w:rPr>
                        <w:t>最大浓度，其计算公式为：</w:t>
                      </w:r>
                    </w:p>
                    <w:p w14:paraId="39EA6F10" w14:textId="77777777" w:rsidR="00921CF9" w:rsidRPr="009F0EA2" w:rsidRDefault="00307339" w:rsidP="00870435">
                      <w:pPr>
                        <w:spacing w:after="0" w:line="240" w:lineRule="auto"/>
                        <w:ind w:firstLine="420"/>
                        <w:rPr>
                          <w:rFonts w:cs="Times New Roman"/>
                          <w:sz w:val="21"/>
                          <w:szCs w:val="21"/>
                        </w:rPr>
                      </w:pPr>
                      <m:oMathPara>
                        <m:oMathParaPr>
                          <m:jc m:val="left"/>
                        </m:oMathParaPr>
                        <m:oMath>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vertAlign w:val="subscript"/>
                                </w:rPr>
                                <m:t>in,max</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vertAlign w:val="subscript"/>
                                </w:rPr>
                                <m:t>max</m:t>
                              </m:r>
                            </m:sub>
                          </m:sSub>
                          <m:r>
                            <m:rPr>
                              <m:sty m:val="p"/>
                            </m:rPr>
                            <w:rPr>
                              <w:rFonts w:ascii="Cambria Math" w:hAnsi="Cambria Math" w:cs="Times New Roman"/>
                              <w:sz w:val="21"/>
                              <w:szCs w:val="21"/>
                            </w:rPr>
                            <m:t>+</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F</m:t>
                                  </m:r>
                                </m:e>
                                <m:sub>
                                  <m:r>
                                    <m:rPr>
                                      <m:sty m:val="p"/>
                                    </m:rPr>
                                    <w:rPr>
                                      <w:rFonts w:ascii="Cambria Math" w:hAnsi="Cambria Math" w:cs="Times New Roman"/>
                                      <w:sz w:val="21"/>
                                      <w:szCs w:val="21"/>
                                      <w:vertAlign w:val="subscript"/>
                                    </w:rPr>
                                    <m:t>a</m:t>
                                  </m:r>
                                </m:sub>
                              </m:sSub>
                              <m:sSub>
                                <m:sSubPr>
                                  <m:ctrlPr>
                                    <w:rPr>
                                      <w:rFonts w:ascii="Cambria Math" w:hAnsi="Cambria Math" w:cs="Times New Roman"/>
                                      <w:sz w:val="21"/>
                                      <w:szCs w:val="21"/>
                                    </w:rPr>
                                  </m:ctrlPr>
                                </m:sSubPr>
                                <m:e>
                                  <m:r>
                                    <m:rPr>
                                      <m:sty m:val="p"/>
                                    </m:rPr>
                                    <w:rPr>
                                      <w:rFonts w:ascii="Cambria Math" w:hAnsi="Cambria Math" w:cs="Times New Roman"/>
                                      <w:sz w:val="21"/>
                                      <w:szCs w:val="21"/>
                                    </w:rPr>
                                    <m:t>F</m:t>
                                  </m:r>
                                </m:e>
                                <m:sub>
                                  <m:r>
                                    <m:rPr>
                                      <m:sty m:val="p"/>
                                    </m:rPr>
                                    <w:rPr>
                                      <w:rFonts w:ascii="Cambria Math" w:hAnsi="Cambria Math" w:cs="Times New Roman"/>
                                      <w:sz w:val="21"/>
                                      <w:szCs w:val="21"/>
                                      <w:vertAlign w:val="subscript"/>
                                    </w:rPr>
                                    <m:t>g</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k</m:t>
                                  </m:r>
                                </m:e>
                                <m:sub>
                                  <m:r>
                                    <m:rPr>
                                      <m:sty m:val="p"/>
                                    </m:rPr>
                                    <w:rPr>
                                      <w:rFonts w:ascii="Cambria Math" w:hAnsi="Cambria Math" w:cs="Times New Roman"/>
                                      <w:sz w:val="21"/>
                                      <w:szCs w:val="21"/>
                                      <w:vertAlign w:val="subscript"/>
                                    </w:rPr>
                                    <m:t>a</m:t>
                                  </m:r>
                                </m:sub>
                              </m:sSub>
                              <m:r>
                                <m:rPr>
                                  <m:sty m:val="p"/>
                                </m:rPr>
                                <w:rPr>
                                  <w:rFonts w:ascii="Cambria Math" w:hAnsi="Cambria Math" w:cs="Times New Roman"/>
                                  <w:sz w:val="21"/>
                                  <w:szCs w:val="21"/>
                                </w:rPr>
                                <m:t>×Dose</m:t>
                              </m:r>
                            </m:num>
                            <m:den>
                              <m:sSub>
                                <m:sSubPr>
                                  <m:ctrlPr>
                                    <w:rPr>
                                      <w:rFonts w:ascii="Cambria Math" w:hAnsi="Cambria Math" w:cs="Times New Roman"/>
                                      <w:sz w:val="21"/>
                                      <w:szCs w:val="21"/>
                                    </w:rPr>
                                  </m:ctrlPr>
                                </m:sSubPr>
                                <m:e>
                                  <m:r>
                                    <m:rPr>
                                      <m:sty m:val="p"/>
                                    </m:rPr>
                                    <w:rPr>
                                      <w:rFonts w:ascii="Cambria Math" w:hAnsi="Cambria Math" w:cs="Times New Roman"/>
                                      <w:sz w:val="21"/>
                                      <w:szCs w:val="21"/>
                                    </w:rPr>
                                    <m:t>Q</m:t>
                                  </m:r>
                                </m:e>
                                <m:sub>
                                  <m:r>
                                    <m:rPr>
                                      <m:sty m:val="p"/>
                                    </m:rPr>
                                    <w:rPr>
                                      <w:rFonts w:ascii="Cambria Math" w:hAnsi="Cambria Math" w:cs="Times New Roman"/>
                                      <w:sz w:val="21"/>
                                      <w:szCs w:val="21"/>
                                      <w:vertAlign w:val="subscript"/>
                                    </w:rPr>
                                    <m:t>h</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R</m:t>
                                  </m:r>
                                </m:e>
                                <m:sub>
                                  <m:r>
                                    <m:rPr>
                                      <m:sty m:val="p"/>
                                    </m:rPr>
                                    <w:rPr>
                                      <w:rFonts w:ascii="Cambria Math" w:hAnsi="Cambria Math" w:cs="Times New Roman"/>
                                      <w:sz w:val="21"/>
                                      <w:szCs w:val="21"/>
                                      <w:vertAlign w:val="subscript"/>
                                    </w:rPr>
                                    <m:t>B</m:t>
                                  </m:r>
                                </m:sub>
                              </m:sSub>
                            </m:den>
                          </m:f>
                        </m:oMath>
                      </m:oMathPara>
                    </w:p>
                    <w:p w14:paraId="71B382FD" w14:textId="16B79702"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F</w:t>
                      </w:r>
                      <w:r w:rsidRPr="009F0EA2">
                        <w:rPr>
                          <w:rFonts w:cs="Times New Roman"/>
                          <w:sz w:val="21"/>
                          <w:szCs w:val="21"/>
                          <w:vertAlign w:val="subscript"/>
                          <w:lang w:eastAsia="zh-CN"/>
                        </w:rPr>
                        <w:t>a</w:t>
                      </w:r>
                      <w:r>
                        <w:rPr>
                          <w:rFonts w:hAnsi="宋体" w:cs="Times New Roman" w:hint="eastAsia"/>
                          <w:sz w:val="21"/>
                          <w:szCs w:val="21"/>
                          <w:lang w:eastAsia="zh-CN"/>
                        </w:rPr>
                        <w:t>：</w:t>
                      </w:r>
                      <w:r w:rsidRPr="009F0EA2">
                        <w:rPr>
                          <w:rFonts w:hAnsi="宋体" w:cs="Times New Roman"/>
                          <w:sz w:val="21"/>
                          <w:szCs w:val="21"/>
                          <w:lang w:eastAsia="zh-CN"/>
                        </w:rPr>
                        <w:t>被吸收的部分；</w:t>
                      </w:r>
                    </w:p>
                    <w:p w14:paraId="0EB51D5F" w14:textId="1C28F714"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F</w:t>
                      </w:r>
                      <w:r w:rsidRPr="009F0EA2">
                        <w:rPr>
                          <w:rFonts w:cs="Times New Roman"/>
                          <w:sz w:val="21"/>
                          <w:szCs w:val="21"/>
                          <w:vertAlign w:val="subscript"/>
                          <w:lang w:eastAsia="zh-CN"/>
                        </w:rPr>
                        <w:t>g</w:t>
                      </w:r>
                      <w:r>
                        <w:rPr>
                          <w:rFonts w:hAnsi="宋体" w:cs="Times New Roman" w:hint="eastAsia"/>
                          <w:sz w:val="21"/>
                          <w:szCs w:val="21"/>
                          <w:lang w:eastAsia="zh-CN"/>
                        </w:rPr>
                        <w:t>：</w:t>
                      </w:r>
                      <w:r w:rsidRPr="009F0EA2">
                        <w:rPr>
                          <w:rFonts w:ascii="仿宋" w:eastAsia="仿宋" w:hAnsi="仿宋" w:hint="eastAsia"/>
                          <w:sz w:val="21"/>
                          <w:szCs w:val="21"/>
                          <w:lang w:eastAsia="zh-CN"/>
                        </w:rPr>
                        <w:t>被吸收至小肠上皮细胞的药物中未经肠代谢的药物的分数</w:t>
                      </w:r>
                      <w:r w:rsidRPr="009F0EA2">
                        <w:rPr>
                          <w:rFonts w:hAnsi="宋体" w:cs="Times New Roman"/>
                          <w:sz w:val="21"/>
                          <w:szCs w:val="21"/>
                          <w:lang w:eastAsia="zh-CN"/>
                        </w:rPr>
                        <w:t>；</w:t>
                      </w:r>
                    </w:p>
                    <w:p w14:paraId="553489EC" w14:textId="6A9B7B73"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k</w:t>
                      </w:r>
                      <w:r w:rsidRPr="009F0EA2">
                        <w:rPr>
                          <w:rFonts w:cs="Times New Roman"/>
                          <w:sz w:val="21"/>
                          <w:szCs w:val="21"/>
                          <w:vertAlign w:val="subscript"/>
                          <w:lang w:eastAsia="zh-CN"/>
                        </w:rPr>
                        <w:t>a</w:t>
                      </w:r>
                      <w:r>
                        <w:rPr>
                          <w:rFonts w:hAnsi="宋体" w:cs="Times New Roman" w:hint="eastAsia"/>
                          <w:sz w:val="21"/>
                          <w:szCs w:val="21"/>
                          <w:lang w:eastAsia="zh-CN"/>
                        </w:rPr>
                        <w:t>：</w:t>
                      </w:r>
                      <w:r w:rsidRPr="009F0EA2">
                        <w:rPr>
                          <w:rFonts w:hAnsi="宋体" w:cs="Times New Roman"/>
                          <w:sz w:val="21"/>
                          <w:szCs w:val="21"/>
                          <w:lang w:eastAsia="zh-CN"/>
                        </w:rPr>
                        <w:t>吸收速率常数；</w:t>
                      </w:r>
                    </w:p>
                    <w:p w14:paraId="5B9BF65A" w14:textId="69DBEC07" w:rsidR="00921CF9" w:rsidRPr="009F0EA2" w:rsidRDefault="00921CF9" w:rsidP="00870435">
                      <w:pPr>
                        <w:spacing w:after="0" w:line="240" w:lineRule="auto"/>
                        <w:ind w:firstLine="420"/>
                        <w:rPr>
                          <w:rFonts w:cs="Times New Roman"/>
                          <w:sz w:val="21"/>
                          <w:szCs w:val="21"/>
                          <w:lang w:eastAsia="zh-CN"/>
                        </w:rPr>
                      </w:pPr>
                      <w:r w:rsidRPr="009F0EA2">
                        <w:rPr>
                          <w:rFonts w:cs="Times New Roman"/>
                          <w:sz w:val="21"/>
                          <w:szCs w:val="21"/>
                          <w:lang w:eastAsia="zh-CN"/>
                        </w:rPr>
                        <w:t>Q</w:t>
                      </w:r>
                      <w:r w:rsidRPr="009F0EA2">
                        <w:rPr>
                          <w:rFonts w:cs="Times New Roman"/>
                          <w:sz w:val="21"/>
                          <w:szCs w:val="21"/>
                          <w:vertAlign w:val="subscript"/>
                          <w:lang w:eastAsia="zh-CN"/>
                        </w:rPr>
                        <w:t>h</w:t>
                      </w:r>
                      <w:r>
                        <w:rPr>
                          <w:rFonts w:hAnsi="宋体" w:cs="Times New Roman" w:hint="eastAsia"/>
                          <w:sz w:val="21"/>
                          <w:szCs w:val="21"/>
                          <w:lang w:eastAsia="zh-CN"/>
                        </w:rPr>
                        <w:t>：</w:t>
                      </w:r>
                      <w:r w:rsidRPr="009F0EA2">
                        <w:rPr>
                          <w:rFonts w:hAnsi="宋体" w:cs="Times New Roman"/>
                          <w:sz w:val="21"/>
                          <w:szCs w:val="21"/>
                          <w:lang w:eastAsia="zh-CN"/>
                        </w:rPr>
                        <w:t>肝脏血流</w:t>
                      </w:r>
                      <w:r w:rsidRPr="009F0EA2">
                        <w:rPr>
                          <w:rFonts w:hAnsi="宋体" w:cs="Times New Roman" w:hint="eastAsia"/>
                          <w:sz w:val="21"/>
                          <w:szCs w:val="21"/>
                          <w:lang w:eastAsia="zh-CN"/>
                        </w:rPr>
                        <w:t>量</w:t>
                      </w:r>
                      <w:r w:rsidRPr="009F0EA2">
                        <w:rPr>
                          <w:rFonts w:hAnsi="宋体" w:cs="Times New Roman"/>
                          <w:sz w:val="21"/>
                          <w:szCs w:val="21"/>
                          <w:lang w:eastAsia="zh-CN"/>
                        </w:rPr>
                        <w:t>；</w:t>
                      </w:r>
                    </w:p>
                    <w:p w14:paraId="0946CFD0" w14:textId="34FAAF0C" w:rsidR="00921CF9" w:rsidRPr="009F0EA2" w:rsidRDefault="00921CF9" w:rsidP="00870435">
                      <w:pPr>
                        <w:spacing w:after="0" w:line="240" w:lineRule="auto"/>
                        <w:ind w:firstLine="420"/>
                        <w:rPr>
                          <w:rFonts w:hAnsi="宋体" w:cs="Times New Roman"/>
                          <w:sz w:val="21"/>
                          <w:szCs w:val="21"/>
                          <w:lang w:eastAsia="zh-CN"/>
                        </w:rPr>
                      </w:pPr>
                      <w:r w:rsidRPr="009F0EA2">
                        <w:rPr>
                          <w:rFonts w:cs="Times New Roman"/>
                          <w:sz w:val="21"/>
                          <w:szCs w:val="21"/>
                          <w:lang w:eastAsia="zh-CN"/>
                        </w:rPr>
                        <w:t>R</w:t>
                      </w:r>
                      <w:r w:rsidRPr="009F0EA2">
                        <w:rPr>
                          <w:rFonts w:cs="Times New Roman"/>
                          <w:sz w:val="21"/>
                          <w:szCs w:val="21"/>
                          <w:vertAlign w:val="subscript"/>
                          <w:lang w:eastAsia="zh-CN"/>
                        </w:rPr>
                        <w:t>B</w:t>
                      </w:r>
                      <w:r>
                        <w:rPr>
                          <w:rFonts w:hAnsi="宋体" w:cs="Times New Roman" w:hint="eastAsia"/>
                          <w:sz w:val="21"/>
                          <w:szCs w:val="21"/>
                          <w:lang w:eastAsia="zh-CN"/>
                        </w:rPr>
                        <w:t>：</w:t>
                      </w:r>
                      <w:r w:rsidRPr="009F0EA2">
                        <w:rPr>
                          <w:rFonts w:hAnsi="宋体" w:cs="Times New Roman"/>
                          <w:sz w:val="21"/>
                          <w:szCs w:val="21"/>
                          <w:lang w:eastAsia="zh-CN"/>
                        </w:rPr>
                        <w:t>全血</w:t>
                      </w:r>
                      <w:r w:rsidRPr="009F0EA2">
                        <w:rPr>
                          <w:rFonts w:cs="Times New Roman"/>
                          <w:sz w:val="21"/>
                          <w:szCs w:val="21"/>
                          <w:lang w:eastAsia="zh-CN"/>
                        </w:rPr>
                        <w:t>-</w:t>
                      </w:r>
                      <w:r w:rsidRPr="009F0EA2">
                        <w:rPr>
                          <w:rFonts w:hAnsi="宋体" w:cs="Times New Roman"/>
                          <w:sz w:val="21"/>
                          <w:szCs w:val="21"/>
                          <w:lang w:eastAsia="zh-CN"/>
                        </w:rPr>
                        <w:t>血浆浓度比值。</w:t>
                      </w:r>
                    </w:p>
                    <w:p w14:paraId="7C9F0E5D" w14:textId="77777777" w:rsidR="00921CF9" w:rsidRPr="009F0EA2" w:rsidRDefault="00921CF9" w:rsidP="00870435">
                      <w:pPr>
                        <w:spacing w:after="0" w:line="240" w:lineRule="auto"/>
                        <w:ind w:firstLine="420"/>
                        <w:rPr>
                          <w:rFonts w:hAnsi="宋体" w:cs="Times New Roman"/>
                          <w:sz w:val="21"/>
                          <w:szCs w:val="21"/>
                          <w:lang w:eastAsia="zh-CN"/>
                        </w:rPr>
                      </w:pPr>
                      <w:r w:rsidRPr="009F0EA2">
                        <w:rPr>
                          <w:rFonts w:cs="Times New Roman"/>
                          <w:sz w:val="21"/>
                          <w:szCs w:val="21"/>
                          <w:lang w:eastAsia="zh-CN"/>
                        </w:rPr>
                        <w:t>*</w:t>
                      </w:r>
                      <w:r w:rsidRPr="009F0EA2">
                        <w:rPr>
                          <w:rFonts w:hAnsi="宋体" w:cs="Times New Roman" w:hint="eastAsia"/>
                          <w:sz w:val="21"/>
                          <w:szCs w:val="21"/>
                          <w:lang w:eastAsia="zh-CN"/>
                        </w:rPr>
                        <w:t>如果未测定</w:t>
                      </w:r>
                      <w:r w:rsidRPr="009F0EA2">
                        <w:rPr>
                          <w:rFonts w:hAnsi="宋体" w:cs="Times New Roman"/>
                          <w:sz w:val="21"/>
                          <w:szCs w:val="21"/>
                          <w:lang w:eastAsia="zh-CN"/>
                        </w:rPr>
                        <w:t>F</w:t>
                      </w:r>
                      <w:r w:rsidRPr="009F0EA2">
                        <w:rPr>
                          <w:rFonts w:hAnsi="宋体" w:cs="Times New Roman"/>
                          <w:sz w:val="21"/>
                          <w:szCs w:val="21"/>
                          <w:vertAlign w:val="subscript"/>
                          <w:lang w:eastAsia="zh-CN"/>
                        </w:rPr>
                        <w:t>a</w:t>
                      </w:r>
                      <w:r w:rsidRPr="009F0EA2">
                        <w:rPr>
                          <w:rFonts w:hAnsi="宋体" w:cs="Times New Roman" w:hint="eastAsia"/>
                          <w:sz w:val="21"/>
                          <w:szCs w:val="21"/>
                          <w:lang w:eastAsia="zh-CN"/>
                        </w:rPr>
                        <w:t>、</w:t>
                      </w:r>
                      <w:r w:rsidRPr="009F0EA2">
                        <w:rPr>
                          <w:rFonts w:hAnsi="宋体" w:cs="Times New Roman"/>
                          <w:sz w:val="21"/>
                          <w:szCs w:val="21"/>
                          <w:lang w:eastAsia="zh-CN"/>
                        </w:rPr>
                        <w:t>F</w:t>
                      </w:r>
                      <w:r w:rsidRPr="009F0EA2">
                        <w:rPr>
                          <w:rFonts w:hAnsi="宋体" w:cs="Times New Roman"/>
                          <w:sz w:val="21"/>
                          <w:szCs w:val="21"/>
                          <w:vertAlign w:val="subscript"/>
                          <w:lang w:eastAsia="zh-CN"/>
                        </w:rPr>
                        <w:t>g</w:t>
                      </w:r>
                      <w:r w:rsidRPr="009F0EA2">
                        <w:rPr>
                          <w:rFonts w:hAnsi="宋体" w:cs="Times New Roman" w:hint="eastAsia"/>
                          <w:sz w:val="21"/>
                          <w:szCs w:val="21"/>
                          <w:lang w:eastAsia="zh-CN"/>
                        </w:rPr>
                        <w:t>、</w:t>
                      </w:r>
                      <w:r w:rsidRPr="009F0EA2">
                        <w:rPr>
                          <w:rFonts w:hAnsi="宋体" w:cs="Times New Roman"/>
                          <w:sz w:val="21"/>
                          <w:szCs w:val="21"/>
                          <w:lang w:eastAsia="zh-CN"/>
                        </w:rPr>
                        <w:t>k</w:t>
                      </w:r>
                      <w:r w:rsidRPr="009F0EA2">
                        <w:rPr>
                          <w:rFonts w:hAnsi="宋体" w:cs="Times New Roman"/>
                          <w:sz w:val="21"/>
                          <w:szCs w:val="21"/>
                          <w:vertAlign w:val="subscript"/>
                          <w:lang w:eastAsia="zh-CN"/>
                        </w:rPr>
                        <w:t>a</w:t>
                      </w:r>
                      <w:r w:rsidRPr="009F0EA2">
                        <w:rPr>
                          <w:rFonts w:hAnsi="宋体" w:cs="Times New Roman" w:hint="eastAsia"/>
                          <w:sz w:val="21"/>
                          <w:szCs w:val="21"/>
                          <w:lang w:eastAsia="zh-CN"/>
                        </w:rPr>
                        <w:t>值，可以用</w:t>
                      </w:r>
                      <w:r w:rsidRPr="009F0EA2">
                        <w:rPr>
                          <w:rFonts w:hAnsi="宋体" w:cs="Times New Roman"/>
                          <w:sz w:val="21"/>
                          <w:szCs w:val="21"/>
                          <w:lang w:eastAsia="zh-CN"/>
                        </w:rPr>
                        <w:t>F</w:t>
                      </w:r>
                      <w:r w:rsidRPr="009F0EA2">
                        <w:rPr>
                          <w:rFonts w:hAnsi="宋体" w:cs="Times New Roman"/>
                          <w:sz w:val="21"/>
                          <w:szCs w:val="21"/>
                          <w:vertAlign w:val="subscript"/>
                          <w:lang w:eastAsia="zh-CN"/>
                        </w:rPr>
                        <w:t>a</w:t>
                      </w:r>
                      <w:r w:rsidRPr="009F0EA2">
                        <w:rPr>
                          <w:rFonts w:hAnsi="宋体" w:cs="Times New Roman"/>
                          <w:sz w:val="21"/>
                          <w:szCs w:val="21"/>
                          <w:lang w:eastAsia="zh-CN"/>
                        </w:rPr>
                        <w:t>=1</w:t>
                      </w:r>
                      <w:r w:rsidRPr="009F0EA2">
                        <w:rPr>
                          <w:rFonts w:hAnsi="宋体" w:cs="Times New Roman" w:hint="eastAsia"/>
                          <w:sz w:val="21"/>
                          <w:szCs w:val="21"/>
                          <w:lang w:eastAsia="zh-CN"/>
                        </w:rPr>
                        <w:t>、</w:t>
                      </w:r>
                      <w:r w:rsidRPr="009F0EA2">
                        <w:rPr>
                          <w:rFonts w:hAnsi="宋体" w:cs="Times New Roman"/>
                          <w:sz w:val="21"/>
                          <w:szCs w:val="21"/>
                          <w:lang w:eastAsia="zh-CN"/>
                        </w:rPr>
                        <w:t>F</w:t>
                      </w:r>
                      <w:r w:rsidRPr="009F0EA2">
                        <w:rPr>
                          <w:rFonts w:hAnsi="宋体" w:cs="Times New Roman"/>
                          <w:sz w:val="21"/>
                          <w:szCs w:val="21"/>
                          <w:vertAlign w:val="subscript"/>
                          <w:lang w:eastAsia="zh-CN"/>
                        </w:rPr>
                        <w:t xml:space="preserve">g </w:t>
                      </w:r>
                      <w:r w:rsidRPr="009F0EA2">
                        <w:rPr>
                          <w:rFonts w:hAnsi="宋体" w:cs="Times New Roman"/>
                          <w:sz w:val="21"/>
                          <w:szCs w:val="21"/>
                          <w:lang w:eastAsia="zh-CN"/>
                        </w:rPr>
                        <w:t>=1</w:t>
                      </w:r>
                      <w:r w:rsidRPr="009F0EA2">
                        <w:rPr>
                          <w:rFonts w:hAnsi="宋体" w:cs="Times New Roman" w:hint="eastAsia"/>
                          <w:sz w:val="21"/>
                          <w:szCs w:val="21"/>
                          <w:lang w:eastAsia="zh-CN"/>
                        </w:rPr>
                        <w:t>和</w:t>
                      </w:r>
                      <w:r w:rsidRPr="009F0EA2">
                        <w:rPr>
                          <w:rFonts w:hAnsi="宋体" w:cs="Times New Roman"/>
                          <w:sz w:val="21"/>
                          <w:szCs w:val="21"/>
                          <w:lang w:eastAsia="zh-CN"/>
                        </w:rPr>
                        <w:t>k</w:t>
                      </w:r>
                      <w:r w:rsidRPr="009F0EA2">
                        <w:rPr>
                          <w:rFonts w:hAnsi="宋体" w:cs="Times New Roman"/>
                          <w:sz w:val="21"/>
                          <w:szCs w:val="21"/>
                          <w:vertAlign w:val="subscript"/>
                          <w:lang w:eastAsia="zh-CN"/>
                        </w:rPr>
                        <w:t>a</w:t>
                      </w:r>
                      <w:r w:rsidRPr="009F0EA2">
                        <w:rPr>
                          <w:rFonts w:hAnsi="宋体" w:cs="Times New Roman"/>
                          <w:sz w:val="21"/>
                          <w:szCs w:val="21"/>
                          <w:lang w:eastAsia="zh-CN"/>
                        </w:rPr>
                        <w:t xml:space="preserve"> = 0.1/min</w:t>
                      </w:r>
                      <w:r w:rsidRPr="009F0EA2">
                        <w:rPr>
                          <w:rFonts w:hAnsi="宋体" w:cs="Times New Roman" w:hint="eastAsia"/>
                          <w:sz w:val="21"/>
                          <w:szCs w:val="21"/>
                          <w:lang w:eastAsia="zh-CN"/>
                        </w:rPr>
                        <w:t>做近似估算。</w:t>
                      </w:r>
                    </w:p>
                    <w:p w14:paraId="7CF701A3" w14:textId="77777777" w:rsidR="00921CF9" w:rsidRPr="009F0EA2" w:rsidRDefault="00921CF9" w:rsidP="00870435">
                      <w:pPr>
                        <w:spacing w:after="0" w:line="240" w:lineRule="auto"/>
                        <w:ind w:firstLine="420"/>
                        <w:rPr>
                          <w:rFonts w:cs="Times New Roman"/>
                          <w:sz w:val="21"/>
                          <w:szCs w:val="21"/>
                          <w:lang w:eastAsia="zh-CN"/>
                        </w:rPr>
                      </w:pPr>
                      <w:r w:rsidRPr="009F0EA2">
                        <w:rPr>
                          <w:rFonts w:hAnsi="宋体" w:cs="Times New Roman" w:hint="eastAsia"/>
                          <w:sz w:val="21"/>
                          <w:szCs w:val="21"/>
                          <w:lang w:eastAsia="zh-CN"/>
                        </w:rPr>
                        <w:t>考虑到蛋白结合率测量的不确定性，当测得的蛋白结合率小于</w:t>
                      </w:r>
                      <w:r w:rsidRPr="009F0EA2">
                        <w:rPr>
                          <w:rFonts w:hAnsi="宋体" w:cs="Times New Roman" w:hint="eastAsia"/>
                          <w:sz w:val="21"/>
                          <w:szCs w:val="21"/>
                          <w:lang w:eastAsia="zh-CN"/>
                        </w:rPr>
                        <w:t>1%</w:t>
                      </w:r>
                      <w:r w:rsidRPr="009F0EA2">
                        <w:rPr>
                          <w:rFonts w:hAnsi="宋体" w:cs="Times New Roman" w:hint="eastAsia"/>
                          <w:sz w:val="21"/>
                          <w:szCs w:val="21"/>
                          <w:lang w:eastAsia="zh-CN"/>
                        </w:rPr>
                        <w:t>时，游离部分（</w:t>
                      </w:r>
                      <w:r w:rsidRPr="009F0EA2">
                        <w:rPr>
                          <w:rFonts w:cs="Times New Roman"/>
                          <w:sz w:val="21"/>
                          <w:szCs w:val="21"/>
                          <w:lang w:eastAsia="zh-CN"/>
                        </w:rPr>
                        <w:t>f</w:t>
                      </w:r>
                      <w:r w:rsidRPr="009F0EA2">
                        <w:rPr>
                          <w:rFonts w:cs="Times New Roman"/>
                          <w:sz w:val="21"/>
                          <w:szCs w:val="21"/>
                          <w:vertAlign w:val="subscript"/>
                          <w:lang w:eastAsia="zh-CN"/>
                        </w:rPr>
                        <w:t>u,p</w:t>
                      </w:r>
                      <w:r w:rsidRPr="009F0EA2">
                        <w:rPr>
                          <w:rFonts w:hAnsi="宋体" w:cs="Times New Roman" w:hint="eastAsia"/>
                          <w:sz w:val="21"/>
                          <w:szCs w:val="21"/>
                          <w:lang w:eastAsia="zh-CN"/>
                        </w:rPr>
                        <w:t>）应当视为</w:t>
                      </w:r>
                      <w:r w:rsidRPr="009F0EA2">
                        <w:rPr>
                          <w:rFonts w:hAnsi="宋体" w:cs="Times New Roman" w:hint="eastAsia"/>
                          <w:sz w:val="21"/>
                          <w:szCs w:val="21"/>
                          <w:lang w:eastAsia="zh-CN"/>
                        </w:rPr>
                        <w:t>1%</w:t>
                      </w:r>
                      <w:r w:rsidRPr="009F0EA2">
                        <w:rPr>
                          <w:rFonts w:hAnsi="宋体" w:cs="Times New Roman" w:hint="eastAsia"/>
                          <w:sz w:val="21"/>
                          <w:szCs w:val="21"/>
                          <w:lang w:eastAsia="zh-CN"/>
                        </w:rPr>
                        <w:t>。</w:t>
                      </w:r>
                    </w:p>
                  </w:txbxContent>
                </v:textbox>
                <w10:anchorlock/>
              </v:shape>
            </w:pict>
          </mc:Fallback>
        </mc:AlternateContent>
      </w:r>
    </w:p>
    <w:p w14:paraId="51F35637" w14:textId="77777777" w:rsidR="00145505" w:rsidRPr="009E464F" w:rsidRDefault="00145505" w:rsidP="00593FAB">
      <w:pPr>
        <w:spacing w:after="0"/>
        <w:ind w:firstLine="640"/>
        <w:rPr>
          <w:rFonts w:cs="Times New Roman"/>
          <w:lang w:eastAsia="zh-CN"/>
        </w:rPr>
      </w:pPr>
      <w:r>
        <w:rPr>
          <w:rFonts w:cs="Times New Roman"/>
          <w:lang w:eastAsia="zh-CN"/>
        </w:rPr>
        <w:t>如果</w:t>
      </w:r>
      <w:r w:rsidRPr="009E464F">
        <w:rPr>
          <w:rFonts w:cs="Times New Roman"/>
          <w:lang w:eastAsia="zh-CN"/>
        </w:rPr>
        <w:t>体外研究</w:t>
      </w:r>
      <w:r>
        <w:rPr>
          <w:rFonts w:cs="Times New Roman"/>
          <w:lang w:eastAsia="zh-CN"/>
        </w:rPr>
        <w:t>结果提示</w:t>
      </w:r>
      <w:r w:rsidRPr="009E464F">
        <w:rPr>
          <w:rFonts w:cs="Times New Roman"/>
          <w:lang w:eastAsia="zh-CN"/>
        </w:rPr>
        <w:t>在</w:t>
      </w:r>
      <w:proofErr w:type="gramStart"/>
      <w:r w:rsidRPr="009E464F">
        <w:rPr>
          <w:rFonts w:cs="Times New Roman"/>
          <w:lang w:eastAsia="zh-CN"/>
        </w:rPr>
        <w:t>研</w:t>
      </w:r>
      <w:proofErr w:type="gramEnd"/>
      <w:r w:rsidRPr="009E464F">
        <w:rPr>
          <w:rFonts w:cs="Times New Roman"/>
          <w:lang w:eastAsia="zh-CN"/>
        </w:rPr>
        <w:t>药物是一种</w:t>
      </w:r>
      <w:r w:rsidRPr="009E464F">
        <w:rPr>
          <w:rFonts w:cs="Times New Roman"/>
          <w:lang w:eastAsia="zh-CN"/>
        </w:rPr>
        <w:t>OATP1B1</w:t>
      </w:r>
      <w:r w:rsidRPr="009E464F">
        <w:rPr>
          <w:rFonts w:cs="Times New Roman"/>
          <w:lang w:eastAsia="zh-CN"/>
        </w:rPr>
        <w:t>或</w:t>
      </w:r>
      <w:r w:rsidRPr="009E464F">
        <w:rPr>
          <w:rFonts w:cs="Times New Roman"/>
          <w:lang w:eastAsia="zh-CN"/>
        </w:rPr>
        <w:t>OATP1B3</w:t>
      </w:r>
      <w:r w:rsidRPr="009E464F">
        <w:rPr>
          <w:rFonts w:cs="Times New Roman"/>
          <w:lang w:eastAsia="zh-CN"/>
        </w:rPr>
        <w:t>抑制剂，</w:t>
      </w:r>
      <w:r>
        <w:rPr>
          <w:rFonts w:cs="Times New Roman"/>
          <w:lang w:eastAsia="zh-CN"/>
        </w:rPr>
        <w:t>则应根据临床</w:t>
      </w:r>
      <w:r w:rsidRPr="009E464F">
        <w:rPr>
          <w:rFonts w:cs="Times New Roman"/>
          <w:lang w:eastAsia="zh-CN"/>
        </w:rPr>
        <w:t>可能合用的已知</w:t>
      </w:r>
      <w:r w:rsidRPr="009E464F">
        <w:rPr>
          <w:rFonts w:cs="Times New Roman"/>
          <w:lang w:eastAsia="zh-CN"/>
        </w:rPr>
        <w:t>OATP1B1</w:t>
      </w:r>
      <w:r w:rsidRPr="009E464F">
        <w:rPr>
          <w:rFonts w:cs="Times New Roman"/>
          <w:lang w:eastAsia="zh-CN"/>
        </w:rPr>
        <w:t>或</w:t>
      </w:r>
      <w:r w:rsidRPr="009E464F">
        <w:rPr>
          <w:rFonts w:cs="Times New Roman"/>
          <w:lang w:eastAsia="zh-CN"/>
        </w:rPr>
        <w:t>OATP1B3</w:t>
      </w:r>
      <w:r w:rsidRPr="009E464F">
        <w:rPr>
          <w:rFonts w:cs="Times New Roman"/>
          <w:lang w:eastAsia="zh-CN"/>
        </w:rPr>
        <w:t>底物，决定是否进行体内试验（详见第三章）。</w:t>
      </w:r>
    </w:p>
    <w:p w14:paraId="5DFA838C" w14:textId="17971AEF" w:rsidR="00A90349" w:rsidRPr="009E464F" w:rsidRDefault="0015519A" w:rsidP="00593FAB">
      <w:pPr>
        <w:spacing w:after="0"/>
        <w:ind w:firstLine="643"/>
        <w:rPr>
          <w:rFonts w:cs="Times New Roman"/>
          <w:lang w:eastAsia="zh-CN"/>
        </w:rPr>
      </w:pPr>
      <w:r w:rsidRPr="0083505F">
        <w:rPr>
          <w:rFonts w:cs="Times New Roman"/>
          <w:b/>
          <w:u w:val="single"/>
          <w:lang w:eastAsia="zh-CN"/>
        </w:rPr>
        <w:t>OAT</w:t>
      </w:r>
      <w:r w:rsidRPr="0083505F">
        <w:rPr>
          <w:rFonts w:cs="Times New Roman" w:hint="eastAsia"/>
          <w:b/>
          <w:u w:val="single"/>
          <w:lang w:eastAsia="zh-CN"/>
        </w:rPr>
        <w:t>、</w:t>
      </w:r>
      <w:r w:rsidRPr="0083505F">
        <w:rPr>
          <w:rFonts w:cs="Times New Roman"/>
          <w:b/>
          <w:u w:val="single"/>
          <w:lang w:eastAsia="zh-CN"/>
        </w:rPr>
        <w:t>OCT</w:t>
      </w:r>
      <w:r w:rsidRPr="0083505F">
        <w:rPr>
          <w:rFonts w:cs="Times New Roman" w:hint="eastAsia"/>
          <w:b/>
          <w:u w:val="single"/>
          <w:lang w:eastAsia="zh-CN"/>
        </w:rPr>
        <w:t>、</w:t>
      </w:r>
      <w:r w:rsidRPr="0083505F">
        <w:rPr>
          <w:rFonts w:cs="Times New Roman"/>
          <w:b/>
          <w:u w:val="single"/>
          <w:lang w:eastAsia="zh-CN"/>
        </w:rPr>
        <w:t>MATEs</w:t>
      </w:r>
      <w:r w:rsidR="00D50183" w:rsidRPr="0083505F">
        <w:rPr>
          <w:rFonts w:cs="Times New Roman" w:hint="eastAsia"/>
          <w:b/>
          <w:u w:val="single"/>
          <w:lang w:eastAsia="zh-CN"/>
        </w:rPr>
        <w:t>：</w:t>
      </w:r>
      <w:r>
        <w:rPr>
          <w:rFonts w:cs="Times New Roman" w:hint="eastAsia"/>
          <w:szCs w:val="32"/>
          <w:lang w:eastAsia="zh-CN"/>
        </w:rPr>
        <w:t>在</w:t>
      </w:r>
      <w:r>
        <w:rPr>
          <w:rFonts w:cs="Times New Roman"/>
          <w:szCs w:val="32"/>
          <w:lang w:eastAsia="zh-CN"/>
        </w:rPr>
        <w:t>过</w:t>
      </w:r>
      <w:r w:rsidRPr="009E464F">
        <w:rPr>
          <w:rFonts w:cs="Times New Roman"/>
          <w:szCs w:val="32"/>
          <w:lang w:eastAsia="zh-CN"/>
        </w:rPr>
        <w:t>表达</w:t>
      </w:r>
      <w:r w:rsidRPr="009E464F">
        <w:rPr>
          <w:rFonts w:cs="Times New Roman"/>
          <w:szCs w:val="32"/>
          <w:lang w:eastAsia="zh-CN"/>
        </w:rPr>
        <w:t>OAT</w:t>
      </w:r>
      <w:r w:rsidRPr="009E464F">
        <w:rPr>
          <w:rFonts w:cs="Times New Roman"/>
          <w:szCs w:val="32"/>
          <w:lang w:eastAsia="zh-CN"/>
        </w:rPr>
        <w:t>、</w:t>
      </w:r>
      <w:r w:rsidRPr="009E464F">
        <w:rPr>
          <w:rFonts w:cs="Times New Roman"/>
          <w:szCs w:val="32"/>
          <w:lang w:eastAsia="zh-CN"/>
        </w:rPr>
        <w:t>OCT</w:t>
      </w:r>
      <w:r w:rsidRPr="009E464F">
        <w:rPr>
          <w:rFonts w:cs="Times New Roman"/>
          <w:szCs w:val="32"/>
          <w:lang w:eastAsia="zh-CN"/>
        </w:rPr>
        <w:t>、</w:t>
      </w:r>
      <w:r w:rsidRPr="009E464F">
        <w:rPr>
          <w:rFonts w:cs="Times New Roman"/>
          <w:szCs w:val="32"/>
          <w:lang w:eastAsia="zh-CN"/>
        </w:rPr>
        <w:t>MATEs</w:t>
      </w:r>
      <w:r w:rsidRPr="009E464F">
        <w:rPr>
          <w:rFonts w:cs="Times New Roman"/>
          <w:szCs w:val="32"/>
          <w:lang w:eastAsia="zh-CN"/>
        </w:rPr>
        <w:t>的细胞</w:t>
      </w:r>
      <w:r>
        <w:rPr>
          <w:rFonts w:cs="Times New Roman" w:hint="eastAsia"/>
          <w:szCs w:val="32"/>
          <w:lang w:eastAsia="zh-CN"/>
        </w:rPr>
        <w:t>中</w:t>
      </w:r>
      <w:r w:rsidRPr="009E464F">
        <w:rPr>
          <w:rFonts w:cs="Times New Roman"/>
          <w:szCs w:val="32"/>
          <w:lang w:eastAsia="zh-CN"/>
        </w:rPr>
        <w:t>使用该转运体</w:t>
      </w:r>
      <w:r>
        <w:rPr>
          <w:rFonts w:cs="Times New Roman" w:hint="eastAsia"/>
          <w:szCs w:val="32"/>
          <w:lang w:eastAsia="zh-CN"/>
        </w:rPr>
        <w:t>已知</w:t>
      </w:r>
      <w:r w:rsidRPr="009E464F">
        <w:rPr>
          <w:rFonts w:cs="Times New Roman"/>
          <w:szCs w:val="32"/>
          <w:lang w:eastAsia="zh-CN"/>
        </w:rPr>
        <w:t>底物</w:t>
      </w:r>
      <w:r>
        <w:rPr>
          <w:rFonts w:cs="Times New Roman" w:hint="eastAsia"/>
          <w:szCs w:val="32"/>
          <w:lang w:eastAsia="zh-CN"/>
        </w:rPr>
        <w:t>考察</w:t>
      </w:r>
      <w:r>
        <w:rPr>
          <w:rFonts w:cs="Times New Roman"/>
          <w:szCs w:val="32"/>
          <w:lang w:eastAsia="zh-CN"/>
        </w:rPr>
        <w:t>在</w:t>
      </w:r>
      <w:proofErr w:type="gramStart"/>
      <w:r>
        <w:rPr>
          <w:rFonts w:cs="Times New Roman"/>
          <w:szCs w:val="32"/>
          <w:lang w:eastAsia="zh-CN"/>
        </w:rPr>
        <w:t>研</w:t>
      </w:r>
      <w:proofErr w:type="gramEnd"/>
      <w:r w:rsidRPr="009E464F">
        <w:rPr>
          <w:rFonts w:cs="Times New Roman"/>
          <w:szCs w:val="32"/>
          <w:lang w:eastAsia="zh-CN"/>
        </w:rPr>
        <w:t>药物对底物摄取的抑制效能（如</w:t>
      </w:r>
      <w:r w:rsidRPr="009E464F">
        <w:rPr>
          <w:rFonts w:cs="Times New Roman"/>
          <w:szCs w:val="32"/>
          <w:lang w:eastAsia="zh-CN"/>
        </w:rPr>
        <w:t>IC</w:t>
      </w:r>
      <w:r w:rsidRPr="009E464F">
        <w:rPr>
          <w:rFonts w:cs="Times New Roman"/>
          <w:szCs w:val="32"/>
          <w:vertAlign w:val="subscript"/>
          <w:lang w:eastAsia="zh-CN"/>
        </w:rPr>
        <w:t>50</w:t>
      </w:r>
      <w:r w:rsidRPr="009E464F">
        <w:rPr>
          <w:rFonts w:cs="Times New Roman"/>
          <w:szCs w:val="32"/>
          <w:lang w:eastAsia="zh-CN"/>
        </w:rPr>
        <w:t>或</w:t>
      </w:r>
      <w:r w:rsidRPr="009E464F">
        <w:rPr>
          <w:rFonts w:cs="Times New Roman"/>
          <w:szCs w:val="32"/>
          <w:lang w:eastAsia="zh-CN"/>
        </w:rPr>
        <w:t>K</w:t>
      </w:r>
      <w:r w:rsidRPr="009E464F">
        <w:rPr>
          <w:rFonts w:cs="Times New Roman"/>
          <w:szCs w:val="32"/>
          <w:vertAlign w:val="subscript"/>
          <w:lang w:eastAsia="zh-CN"/>
        </w:rPr>
        <w:t>i</w:t>
      </w:r>
      <w:r w:rsidRPr="009E464F">
        <w:rPr>
          <w:rFonts w:cs="Times New Roman"/>
          <w:szCs w:val="32"/>
          <w:lang w:eastAsia="zh-CN"/>
        </w:rPr>
        <w:t>）。</w:t>
      </w:r>
      <w:r w:rsidR="00A90349" w:rsidRPr="009E464F">
        <w:rPr>
          <w:rFonts w:cs="Times New Roman"/>
          <w:lang w:eastAsia="zh-CN"/>
        </w:rPr>
        <w:t>如果</w:t>
      </w:r>
      <w:r w:rsidR="00A90349" w:rsidRPr="009E464F">
        <w:rPr>
          <w:rFonts w:cs="Times New Roman"/>
          <w:lang w:eastAsia="zh-CN"/>
        </w:rPr>
        <w:t>OAT1/OAT3/OCT2/MATEs</w:t>
      </w:r>
      <w:r w:rsidR="00A90349" w:rsidRPr="009E464F">
        <w:rPr>
          <w:rFonts w:cs="Times New Roman"/>
          <w:lang w:eastAsia="zh-CN"/>
        </w:rPr>
        <w:t>的</w:t>
      </w:r>
      <w:proofErr w:type="spellStart"/>
      <w:r w:rsidR="00A90349" w:rsidRPr="009E464F">
        <w:rPr>
          <w:rFonts w:cs="Times New Roman"/>
          <w:lang w:eastAsia="zh-CN"/>
        </w:rPr>
        <w:t>I</w:t>
      </w:r>
      <w:r w:rsidR="00A90349" w:rsidRPr="009E464F">
        <w:rPr>
          <w:rFonts w:cs="Times New Roman"/>
          <w:vertAlign w:val="subscript"/>
          <w:lang w:eastAsia="zh-CN"/>
        </w:rPr>
        <w:t>max,u</w:t>
      </w:r>
      <w:proofErr w:type="spellEnd"/>
      <w:r w:rsidR="00A90349" w:rsidRPr="009E464F">
        <w:rPr>
          <w:rFonts w:cs="Times New Roman"/>
          <w:lang w:eastAsia="zh-CN"/>
        </w:rPr>
        <w:t>/IC</w:t>
      </w:r>
      <w:r w:rsidR="00A90349" w:rsidRPr="009E464F">
        <w:rPr>
          <w:rFonts w:cs="Times New Roman"/>
          <w:vertAlign w:val="subscript"/>
          <w:lang w:eastAsia="zh-CN"/>
        </w:rPr>
        <w:t>50</w:t>
      </w:r>
      <w:r w:rsidR="00A90349" w:rsidRPr="009E464F">
        <w:rPr>
          <w:rFonts w:cs="Times New Roman"/>
          <w:lang w:eastAsia="zh-CN"/>
        </w:rPr>
        <w:t>≥0.1</w:t>
      </w:r>
      <w:r w:rsidR="00A90349" w:rsidRPr="009E464F">
        <w:rPr>
          <w:rFonts w:cs="Times New Roman"/>
          <w:lang w:eastAsia="zh-CN"/>
        </w:rPr>
        <w:t>，则认为在</w:t>
      </w:r>
      <w:proofErr w:type="gramStart"/>
      <w:r w:rsidR="00A90349" w:rsidRPr="009E464F">
        <w:rPr>
          <w:rFonts w:cs="Times New Roman"/>
          <w:lang w:eastAsia="zh-CN"/>
        </w:rPr>
        <w:t>研</w:t>
      </w:r>
      <w:proofErr w:type="gramEnd"/>
      <w:r w:rsidR="00A90349" w:rsidRPr="009E464F">
        <w:rPr>
          <w:rFonts w:cs="Times New Roman"/>
          <w:lang w:eastAsia="zh-CN"/>
        </w:rPr>
        <w:t>药物可以在体内抑制这些转运体。这些临界值也是基于有限的数据设定的。如果申请人用已知的抑制剂和非抑制剂对体外系统进行内部</w:t>
      </w:r>
      <w:r w:rsidR="00A90349">
        <w:rPr>
          <w:rFonts w:cs="Times New Roman"/>
          <w:lang w:eastAsia="zh-CN"/>
        </w:rPr>
        <w:t>校正，</w:t>
      </w:r>
      <w:r w:rsidR="00A90349" w:rsidRPr="009E464F">
        <w:rPr>
          <w:rFonts w:cs="Times New Roman"/>
          <w:lang w:eastAsia="zh-CN"/>
        </w:rPr>
        <w:t>经过合理的论证后也可以建议不同的临界值。肌</w:t>
      </w:r>
      <w:proofErr w:type="gramStart"/>
      <w:r w:rsidR="00A90349" w:rsidRPr="009E464F">
        <w:rPr>
          <w:rFonts w:cs="Times New Roman"/>
          <w:lang w:eastAsia="zh-CN"/>
        </w:rPr>
        <w:t>酐</w:t>
      </w:r>
      <w:proofErr w:type="gramEnd"/>
      <w:r w:rsidR="00A90349" w:rsidRPr="009E464F">
        <w:rPr>
          <w:rFonts w:cs="Times New Roman"/>
          <w:lang w:eastAsia="zh-CN"/>
        </w:rPr>
        <w:t>也是</w:t>
      </w:r>
      <w:r w:rsidR="00A90349" w:rsidRPr="009E464F">
        <w:rPr>
          <w:rFonts w:cs="Times New Roman"/>
          <w:lang w:eastAsia="zh-CN"/>
        </w:rPr>
        <w:t>OCT2</w:t>
      </w:r>
      <w:r w:rsidR="00A90349" w:rsidRPr="009E464F">
        <w:rPr>
          <w:rFonts w:cs="Times New Roman"/>
          <w:lang w:eastAsia="zh-CN"/>
        </w:rPr>
        <w:t>、</w:t>
      </w:r>
      <w:r w:rsidR="00A90349" w:rsidRPr="009E464F">
        <w:rPr>
          <w:rFonts w:cs="Times New Roman"/>
          <w:lang w:eastAsia="zh-CN"/>
        </w:rPr>
        <w:t>MATEs</w:t>
      </w:r>
      <w:r w:rsidR="00A90349" w:rsidRPr="009E464F">
        <w:rPr>
          <w:rFonts w:cs="Times New Roman"/>
          <w:lang w:eastAsia="zh-CN"/>
        </w:rPr>
        <w:t>和</w:t>
      </w:r>
      <w:r w:rsidR="00A90349" w:rsidRPr="009E464F">
        <w:rPr>
          <w:rFonts w:cs="Times New Roman"/>
          <w:lang w:eastAsia="zh-CN"/>
        </w:rPr>
        <w:t>OAT2</w:t>
      </w:r>
      <w:r w:rsidR="00A90349" w:rsidRPr="009E464F">
        <w:rPr>
          <w:rFonts w:cs="Times New Roman"/>
          <w:lang w:eastAsia="zh-CN"/>
        </w:rPr>
        <w:t>的底物。在临床研究中，</w:t>
      </w:r>
      <w:r w:rsidR="00A90349">
        <w:rPr>
          <w:rFonts w:cs="Times New Roman" w:hint="eastAsia"/>
          <w:lang w:eastAsia="zh-CN"/>
        </w:rPr>
        <w:t>在</w:t>
      </w:r>
      <w:proofErr w:type="gramStart"/>
      <w:r w:rsidR="00A90349">
        <w:rPr>
          <w:rFonts w:cs="Times New Roman" w:hint="eastAsia"/>
          <w:lang w:eastAsia="zh-CN"/>
        </w:rPr>
        <w:t>研</w:t>
      </w:r>
      <w:proofErr w:type="gramEnd"/>
      <w:r w:rsidR="00A90349">
        <w:rPr>
          <w:rFonts w:cs="Times New Roman"/>
          <w:lang w:eastAsia="zh-CN"/>
        </w:rPr>
        <w:t>药物</w:t>
      </w:r>
      <w:r w:rsidR="00A90349" w:rsidRPr="009E464F">
        <w:rPr>
          <w:rFonts w:cs="Times New Roman"/>
          <w:lang w:eastAsia="zh-CN"/>
        </w:rPr>
        <w:t>抑制这些转运体后可</w:t>
      </w:r>
      <w:r w:rsidR="00A90349" w:rsidRPr="009E464F">
        <w:rPr>
          <w:rFonts w:cs="Times New Roman"/>
          <w:lang w:eastAsia="zh-CN"/>
        </w:rPr>
        <w:lastRenderedPageBreak/>
        <w:t>能会导致血清肌</w:t>
      </w:r>
      <w:proofErr w:type="gramStart"/>
      <w:r w:rsidR="00A90349" w:rsidRPr="009E464F">
        <w:rPr>
          <w:rFonts w:cs="Times New Roman"/>
          <w:lang w:eastAsia="zh-CN"/>
        </w:rPr>
        <w:t>酐</w:t>
      </w:r>
      <w:proofErr w:type="gramEnd"/>
      <w:r w:rsidR="00A90349" w:rsidRPr="009E464F">
        <w:rPr>
          <w:rFonts w:cs="Times New Roman"/>
          <w:lang w:eastAsia="zh-CN"/>
        </w:rPr>
        <w:t>水平升高，</w:t>
      </w:r>
      <w:r w:rsidR="00A90349">
        <w:rPr>
          <w:rFonts w:cs="Times New Roman" w:hint="eastAsia"/>
          <w:lang w:eastAsia="zh-CN"/>
        </w:rPr>
        <w:t>若</w:t>
      </w:r>
      <w:r w:rsidR="00A90349">
        <w:rPr>
          <w:rFonts w:cs="Times New Roman"/>
          <w:lang w:eastAsia="zh-CN"/>
        </w:rPr>
        <w:t>要探索其升高机制</w:t>
      </w:r>
      <w:r w:rsidR="00A90349">
        <w:rPr>
          <w:rFonts w:cs="Times New Roman" w:hint="eastAsia"/>
          <w:lang w:eastAsia="zh-CN"/>
        </w:rPr>
        <w:t>，</w:t>
      </w:r>
      <w:r w:rsidR="00A90349">
        <w:rPr>
          <w:rFonts w:cs="Times New Roman"/>
          <w:lang w:eastAsia="zh-CN"/>
        </w:rPr>
        <w:t>则需进一步研究</w:t>
      </w:r>
      <w:r w:rsidR="00A90349">
        <w:rPr>
          <w:rFonts w:cs="Times New Roman" w:hint="eastAsia"/>
          <w:lang w:eastAsia="zh-CN"/>
        </w:rPr>
        <w:t>（如临床研究机制）</w:t>
      </w:r>
      <w:r w:rsidR="00A90349" w:rsidRPr="009E464F">
        <w:rPr>
          <w:rFonts w:cs="Times New Roman"/>
          <w:lang w:eastAsia="zh-CN"/>
        </w:rPr>
        <w:t>。</w:t>
      </w:r>
    </w:p>
    <w:p w14:paraId="6E95780F" w14:textId="77777777" w:rsidR="0015519A" w:rsidRPr="00D50183" w:rsidRDefault="00A90349" w:rsidP="00593FAB">
      <w:pPr>
        <w:spacing w:after="0"/>
        <w:ind w:firstLine="640"/>
        <w:rPr>
          <w:rFonts w:cs="Times New Roman"/>
          <w:lang w:eastAsia="zh-CN"/>
        </w:rPr>
      </w:pPr>
      <w:r w:rsidRPr="009E464F">
        <w:rPr>
          <w:rFonts w:cs="Times New Roman"/>
          <w:lang w:eastAsia="zh-CN"/>
        </w:rPr>
        <w:t>如果体外试验</w:t>
      </w:r>
      <w:r>
        <w:rPr>
          <w:rFonts w:cs="Times New Roman" w:hint="eastAsia"/>
          <w:lang w:eastAsia="zh-CN"/>
        </w:rPr>
        <w:t>提示</w:t>
      </w:r>
      <w:r w:rsidRPr="009E464F">
        <w:rPr>
          <w:rFonts w:cs="Times New Roman"/>
          <w:lang w:eastAsia="zh-CN"/>
        </w:rPr>
        <w:t>在</w:t>
      </w:r>
      <w:proofErr w:type="gramStart"/>
      <w:r w:rsidRPr="009E464F">
        <w:rPr>
          <w:rFonts w:cs="Times New Roman"/>
          <w:lang w:eastAsia="zh-CN"/>
        </w:rPr>
        <w:t>研</w:t>
      </w:r>
      <w:proofErr w:type="gramEnd"/>
      <w:r w:rsidRPr="009E464F">
        <w:rPr>
          <w:rFonts w:cs="Times New Roman"/>
          <w:lang w:eastAsia="zh-CN"/>
        </w:rPr>
        <w:t>药物是肾转运体的抑制剂，则</w:t>
      </w:r>
      <w:r>
        <w:rPr>
          <w:rFonts w:cs="Times New Roman"/>
          <w:lang w:eastAsia="zh-CN"/>
        </w:rPr>
        <w:t>应根据临床</w:t>
      </w:r>
      <w:r w:rsidRPr="009E464F">
        <w:rPr>
          <w:rFonts w:cs="Times New Roman"/>
          <w:lang w:eastAsia="zh-CN"/>
        </w:rPr>
        <w:t>可能合用的已知肾转运体底物，考虑是否进行体内试验（详见第三章）。</w:t>
      </w:r>
    </w:p>
    <w:p w14:paraId="66988373" w14:textId="15B54F55" w:rsidR="001C6982" w:rsidRPr="009E464F" w:rsidRDefault="001C6982" w:rsidP="00593FAB">
      <w:pPr>
        <w:spacing w:after="0"/>
        <w:ind w:firstLine="640"/>
        <w:rPr>
          <w:rFonts w:cs="Times New Roman"/>
          <w:lang w:eastAsia="zh-CN"/>
        </w:rPr>
      </w:pPr>
      <w:r w:rsidRPr="009E464F">
        <w:rPr>
          <w:rFonts w:cs="Times New Roman"/>
          <w:lang w:eastAsia="zh-CN"/>
        </w:rPr>
        <w:t>评估在</w:t>
      </w:r>
      <w:proofErr w:type="gramStart"/>
      <w:r w:rsidRPr="009E464F">
        <w:rPr>
          <w:rFonts w:cs="Times New Roman"/>
          <w:lang w:eastAsia="zh-CN"/>
        </w:rPr>
        <w:t>研</w:t>
      </w:r>
      <w:proofErr w:type="gramEnd"/>
      <w:r w:rsidRPr="009E464F">
        <w:rPr>
          <w:rFonts w:cs="Times New Roman"/>
          <w:lang w:eastAsia="zh-CN"/>
        </w:rPr>
        <w:t>药物是否是转运体抑制剂的</w:t>
      </w:r>
      <w:r w:rsidR="009D5C8E" w:rsidRPr="009E464F">
        <w:rPr>
          <w:rFonts w:cs="Times New Roman"/>
          <w:lang w:eastAsia="zh-CN"/>
        </w:rPr>
        <w:t>体外试验</w:t>
      </w:r>
      <w:r w:rsidRPr="009E464F">
        <w:rPr>
          <w:rFonts w:cs="Times New Roman"/>
          <w:lang w:eastAsia="zh-CN"/>
        </w:rPr>
        <w:t>的具体要求详见</w:t>
      </w:r>
      <w:r w:rsidR="00FB41B6">
        <w:rPr>
          <w:rFonts w:cs="Times New Roman"/>
          <w:lang w:eastAsia="zh-CN"/>
        </w:rPr>
        <w:t>附录</w:t>
      </w:r>
      <w:r w:rsidR="00FB41B6">
        <w:rPr>
          <w:rFonts w:cs="Times New Roman"/>
          <w:lang w:eastAsia="zh-CN"/>
        </w:rPr>
        <w:t>4</w:t>
      </w:r>
      <w:r w:rsidRPr="009E464F">
        <w:rPr>
          <w:rFonts w:cs="Times New Roman"/>
          <w:lang w:eastAsia="zh-CN"/>
        </w:rPr>
        <w:t>。</w:t>
      </w:r>
    </w:p>
    <w:p w14:paraId="03F7BF81" w14:textId="3B2FD9A6" w:rsidR="00CF608D" w:rsidRPr="009E464F" w:rsidRDefault="00E13186" w:rsidP="00E13186">
      <w:pPr>
        <w:spacing w:after="0"/>
        <w:ind w:firstLine="640"/>
        <w:rPr>
          <w:rFonts w:cs="Times New Roman"/>
          <w:lang w:eastAsia="zh-CN"/>
        </w:rPr>
      </w:pPr>
      <w:r>
        <w:rPr>
          <w:rFonts w:cs="Times New Roman"/>
          <w:lang w:eastAsia="zh-CN"/>
        </w:rPr>
        <w:t>3.</w:t>
      </w:r>
      <w:r w:rsidR="00975C9D">
        <w:rPr>
          <w:rFonts w:cs="Times New Roman" w:hint="eastAsia"/>
          <w:lang w:eastAsia="zh-CN"/>
        </w:rPr>
        <w:t>评估</w:t>
      </w:r>
      <w:r w:rsidR="00CF608D" w:rsidRPr="009E464F">
        <w:rPr>
          <w:rFonts w:cs="Times New Roman"/>
          <w:lang w:eastAsia="zh-CN"/>
        </w:rPr>
        <w:t>在</w:t>
      </w:r>
      <w:proofErr w:type="gramStart"/>
      <w:r w:rsidR="00CF608D" w:rsidRPr="009E464F">
        <w:rPr>
          <w:rFonts w:cs="Times New Roman"/>
          <w:lang w:eastAsia="zh-CN"/>
        </w:rPr>
        <w:t>研</w:t>
      </w:r>
      <w:proofErr w:type="gramEnd"/>
      <w:r w:rsidR="00CF608D" w:rsidRPr="009E464F">
        <w:rPr>
          <w:rFonts w:cs="Times New Roman"/>
          <w:lang w:eastAsia="zh-CN"/>
        </w:rPr>
        <w:t>药物</w:t>
      </w:r>
      <w:r w:rsidR="00975C9D">
        <w:rPr>
          <w:rFonts w:cs="Times New Roman" w:hint="eastAsia"/>
          <w:lang w:eastAsia="zh-CN"/>
        </w:rPr>
        <w:t>是否</w:t>
      </w:r>
      <w:r w:rsidR="00CF608D" w:rsidRPr="009E464F">
        <w:rPr>
          <w:rFonts w:cs="Times New Roman"/>
          <w:lang w:eastAsia="zh-CN"/>
        </w:rPr>
        <w:t>为转运体</w:t>
      </w:r>
      <w:r w:rsidR="00975C9D">
        <w:rPr>
          <w:rFonts w:cs="Times New Roman" w:hint="eastAsia"/>
          <w:lang w:eastAsia="zh-CN"/>
        </w:rPr>
        <w:t>的</w:t>
      </w:r>
      <w:r w:rsidR="00CF608D" w:rsidRPr="009E464F">
        <w:rPr>
          <w:rFonts w:cs="Times New Roman"/>
          <w:lang w:eastAsia="zh-CN"/>
        </w:rPr>
        <w:t>诱导剂</w:t>
      </w:r>
    </w:p>
    <w:p w14:paraId="527A5A7B" w14:textId="0BF22FCB" w:rsidR="00CF608D" w:rsidRPr="009E464F" w:rsidRDefault="00CF608D" w:rsidP="00593FAB">
      <w:pPr>
        <w:spacing w:after="0"/>
        <w:ind w:firstLine="640"/>
        <w:rPr>
          <w:rFonts w:cs="Times New Roman"/>
          <w:lang w:eastAsia="zh-CN"/>
        </w:rPr>
      </w:pPr>
      <w:r w:rsidRPr="009E464F">
        <w:rPr>
          <w:rFonts w:cs="Times New Roman"/>
          <w:lang w:eastAsia="zh-CN"/>
        </w:rPr>
        <w:t>某些转运体</w:t>
      </w:r>
      <w:r w:rsidR="00DD2F62">
        <w:rPr>
          <w:rFonts w:cs="Times New Roman" w:hint="eastAsia"/>
          <w:lang w:eastAsia="zh-CN"/>
        </w:rPr>
        <w:t>（</w:t>
      </w:r>
      <w:r w:rsidRPr="009E464F">
        <w:rPr>
          <w:rFonts w:cs="Times New Roman"/>
          <w:lang w:eastAsia="zh-CN"/>
        </w:rPr>
        <w:t>如</w:t>
      </w:r>
      <w:r w:rsidRPr="009E464F">
        <w:rPr>
          <w:rFonts w:cs="Times New Roman"/>
          <w:lang w:eastAsia="zh-CN"/>
        </w:rPr>
        <w:t>P-</w:t>
      </w:r>
      <w:proofErr w:type="spellStart"/>
      <w:r w:rsidRPr="009E464F">
        <w:rPr>
          <w:rFonts w:cs="Times New Roman"/>
          <w:lang w:eastAsia="zh-CN"/>
        </w:rPr>
        <w:t>gp</w:t>
      </w:r>
      <w:proofErr w:type="spellEnd"/>
      <w:r w:rsidR="00DD2F62">
        <w:rPr>
          <w:rFonts w:cs="Times New Roman" w:hint="eastAsia"/>
          <w:lang w:eastAsia="zh-CN"/>
        </w:rPr>
        <w:t>）</w:t>
      </w:r>
      <w:r w:rsidRPr="009E464F">
        <w:rPr>
          <w:rFonts w:cs="Times New Roman"/>
          <w:lang w:eastAsia="zh-CN"/>
        </w:rPr>
        <w:t>通过类似于</w:t>
      </w:r>
      <w:r w:rsidRPr="009E464F">
        <w:rPr>
          <w:rFonts w:cs="Times New Roman"/>
          <w:lang w:eastAsia="zh-CN"/>
        </w:rPr>
        <w:t>CYP</w:t>
      </w:r>
      <w:r w:rsidRPr="009E464F">
        <w:rPr>
          <w:rFonts w:cs="Times New Roman"/>
          <w:lang w:eastAsia="zh-CN"/>
        </w:rPr>
        <w:t>酶的机制来发挥诱导作用（例如，激活</w:t>
      </w:r>
      <w:r w:rsidRPr="009E464F">
        <w:rPr>
          <w:rFonts w:cs="Times New Roman"/>
          <w:lang w:eastAsia="zh-CN"/>
        </w:rPr>
        <w:t>PXR</w:t>
      </w:r>
      <w:r w:rsidRPr="009E464F">
        <w:rPr>
          <w:rFonts w:cs="Times New Roman"/>
          <w:lang w:eastAsia="zh-CN"/>
        </w:rPr>
        <w:t>或</w:t>
      </w:r>
      <w:r w:rsidRPr="009E464F">
        <w:rPr>
          <w:rFonts w:cs="Times New Roman"/>
          <w:lang w:eastAsia="zh-CN"/>
        </w:rPr>
        <w:t>CAR</w:t>
      </w:r>
      <w:proofErr w:type="gramStart"/>
      <w:r w:rsidRPr="009E464F">
        <w:rPr>
          <w:rFonts w:cs="Times New Roman"/>
          <w:lang w:eastAsia="zh-CN"/>
        </w:rPr>
        <w:t>等核受体</w:t>
      </w:r>
      <w:proofErr w:type="gramEnd"/>
      <w:r w:rsidRPr="009E464F">
        <w:rPr>
          <w:rFonts w:cs="Times New Roman"/>
          <w:lang w:eastAsia="zh-CN"/>
        </w:rPr>
        <w:t>）。因为这些相似性，</w:t>
      </w:r>
      <w:r w:rsidRPr="009E464F">
        <w:rPr>
          <w:rFonts w:cs="Times New Roman"/>
          <w:lang w:eastAsia="zh-CN"/>
        </w:rPr>
        <w:t>CYP3A</w:t>
      </w:r>
      <w:r w:rsidRPr="009E464F">
        <w:rPr>
          <w:rFonts w:cs="Times New Roman"/>
          <w:lang w:eastAsia="zh-CN"/>
        </w:rPr>
        <w:t>诱导作用的研究结果可以为</w:t>
      </w:r>
      <w:r w:rsidRPr="009E464F">
        <w:rPr>
          <w:rFonts w:cs="Times New Roman"/>
          <w:lang w:eastAsia="zh-CN"/>
        </w:rPr>
        <w:t>P-</w:t>
      </w:r>
      <w:proofErr w:type="spellStart"/>
      <w:r w:rsidRPr="009E464F">
        <w:rPr>
          <w:rFonts w:cs="Times New Roman"/>
          <w:lang w:eastAsia="zh-CN"/>
        </w:rPr>
        <w:t>gp</w:t>
      </w:r>
      <w:proofErr w:type="spellEnd"/>
      <w:r w:rsidRPr="009E464F">
        <w:rPr>
          <w:rFonts w:cs="Times New Roman"/>
          <w:lang w:eastAsia="zh-CN"/>
        </w:rPr>
        <w:t>诱导作用的研究提供一定的参考。</w:t>
      </w:r>
      <w:r w:rsidR="00DD2F62">
        <w:rPr>
          <w:rFonts w:cs="Times New Roman" w:hint="eastAsia"/>
          <w:lang w:eastAsia="zh-CN"/>
        </w:rPr>
        <w:t>但</w:t>
      </w:r>
      <w:r w:rsidRPr="009E464F">
        <w:rPr>
          <w:rFonts w:cs="Times New Roman"/>
          <w:lang w:eastAsia="zh-CN"/>
        </w:rPr>
        <w:t>目前</w:t>
      </w:r>
      <w:r w:rsidR="00DD2F62">
        <w:rPr>
          <w:rFonts w:cs="Times New Roman" w:hint="eastAsia"/>
          <w:lang w:eastAsia="zh-CN"/>
        </w:rPr>
        <w:t>尚无</w:t>
      </w:r>
      <w:r w:rsidRPr="009E464F">
        <w:rPr>
          <w:rFonts w:cs="Times New Roman"/>
          <w:lang w:eastAsia="zh-CN"/>
        </w:rPr>
        <w:t>完善的体外方法用于评估</w:t>
      </w:r>
      <w:r w:rsidRPr="009E464F">
        <w:rPr>
          <w:rFonts w:cs="Times New Roman"/>
          <w:lang w:eastAsia="zh-CN"/>
        </w:rPr>
        <w:t>P-</w:t>
      </w:r>
      <w:proofErr w:type="spellStart"/>
      <w:r w:rsidRPr="009E464F">
        <w:rPr>
          <w:rFonts w:cs="Times New Roman"/>
          <w:lang w:eastAsia="zh-CN"/>
        </w:rPr>
        <w:t>gp</w:t>
      </w:r>
      <w:proofErr w:type="spellEnd"/>
      <w:r w:rsidRPr="009E464F">
        <w:rPr>
          <w:rFonts w:cs="Times New Roman"/>
          <w:lang w:eastAsia="zh-CN"/>
        </w:rPr>
        <w:t>和其他转运体的诱导作用，因此不推荐对其进行体外评估。</w:t>
      </w:r>
    </w:p>
    <w:p w14:paraId="3AEDF760" w14:textId="77777777" w:rsidR="00DA5388" w:rsidRPr="00E13186" w:rsidRDefault="00174B57" w:rsidP="00E13186">
      <w:pPr>
        <w:widowControl w:val="0"/>
        <w:autoSpaceDE w:val="0"/>
        <w:autoSpaceDN w:val="0"/>
        <w:adjustRightInd w:val="0"/>
        <w:spacing w:after="0"/>
        <w:ind w:firstLine="640"/>
        <w:rPr>
          <w:rFonts w:eastAsia="楷体" w:cs="Times New Roman"/>
          <w:color w:val="000000"/>
          <w:szCs w:val="32"/>
          <w:lang w:eastAsia="zh-CN"/>
        </w:rPr>
      </w:pPr>
      <w:bookmarkStart w:id="7" w:name="_Toc50395969"/>
      <w:r w:rsidRPr="00E13186">
        <w:rPr>
          <w:rFonts w:eastAsia="楷体" w:cs="Times New Roman"/>
          <w:color w:val="000000"/>
          <w:szCs w:val="32"/>
          <w:lang w:eastAsia="zh-CN"/>
        </w:rPr>
        <w:t>（四）</w:t>
      </w:r>
      <w:r w:rsidR="00DA5388" w:rsidRPr="00E13186">
        <w:rPr>
          <w:rFonts w:eastAsia="楷体" w:cs="Times New Roman"/>
          <w:color w:val="000000"/>
          <w:szCs w:val="32"/>
          <w:lang w:eastAsia="zh-CN"/>
        </w:rPr>
        <w:t>代谢产物相互作用的</w:t>
      </w:r>
      <w:r w:rsidR="0021697A" w:rsidRPr="00E13186">
        <w:rPr>
          <w:rFonts w:eastAsia="楷体" w:cs="Times New Roman"/>
          <w:color w:val="000000"/>
          <w:szCs w:val="32"/>
          <w:lang w:eastAsia="zh-CN"/>
        </w:rPr>
        <w:t>评估</w:t>
      </w:r>
      <w:bookmarkEnd w:id="7"/>
    </w:p>
    <w:p w14:paraId="5637FDC8" w14:textId="54531E90" w:rsidR="00DA5388" w:rsidRDefault="00F24460" w:rsidP="00593FAB">
      <w:pPr>
        <w:spacing w:after="0"/>
        <w:ind w:firstLine="640"/>
        <w:rPr>
          <w:rFonts w:cs="Times New Roman"/>
          <w:lang w:eastAsia="zh-CN"/>
        </w:rPr>
      </w:pPr>
      <w:r>
        <w:rPr>
          <w:rFonts w:cs="Times New Roman"/>
          <w:lang w:eastAsia="zh-CN"/>
        </w:rPr>
        <w:t>具有高血浆暴露量或药理活性显著的代谢物</w:t>
      </w:r>
      <w:r w:rsidR="00DA5388" w:rsidRPr="009E464F">
        <w:rPr>
          <w:rFonts w:cs="Times New Roman"/>
          <w:lang w:eastAsia="zh-CN"/>
        </w:rPr>
        <w:t>可能</w:t>
      </w:r>
      <w:r>
        <w:rPr>
          <w:rFonts w:cs="Times New Roman"/>
          <w:lang w:eastAsia="zh-CN"/>
        </w:rPr>
        <w:t>需要评估其</w:t>
      </w:r>
      <w:r w:rsidR="00DA5388" w:rsidRPr="009E464F">
        <w:rPr>
          <w:rFonts w:cs="Times New Roman"/>
          <w:lang w:eastAsia="zh-CN"/>
        </w:rPr>
        <w:t>发生代谢酶或者转运体</w:t>
      </w:r>
      <w:proofErr w:type="gramStart"/>
      <w:r w:rsidR="00DA5388" w:rsidRPr="009E464F">
        <w:rPr>
          <w:rFonts w:cs="Times New Roman"/>
          <w:lang w:eastAsia="zh-CN"/>
        </w:rPr>
        <w:t>介</w:t>
      </w:r>
      <w:proofErr w:type="gramEnd"/>
      <w:r w:rsidR="00DA5388" w:rsidRPr="009E464F">
        <w:rPr>
          <w:rFonts w:cs="Times New Roman"/>
          <w:lang w:eastAsia="zh-CN"/>
        </w:rPr>
        <w:t>导的</w:t>
      </w:r>
      <w:r w:rsidR="007A38E2" w:rsidRPr="009E464F">
        <w:rPr>
          <w:rFonts w:cs="Times New Roman"/>
          <w:lang w:eastAsia="zh-CN"/>
        </w:rPr>
        <w:t>DDI</w:t>
      </w:r>
      <w:r>
        <w:rPr>
          <w:rFonts w:cs="Times New Roman"/>
          <w:lang w:eastAsia="zh-CN"/>
        </w:rPr>
        <w:t>的可能性</w:t>
      </w:r>
      <w:r w:rsidR="00DA5388" w:rsidRPr="009E464F">
        <w:rPr>
          <w:rFonts w:cs="Times New Roman"/>
          <w:lang w:eastAsia="zh-CN"/>
        </w:rPr>
        <w:t>。</w:t>
      </w:r>
      <w:r>
        <w:rPr>
          <w:rFonts w:cs="Times New Roman"/>
          <w:lang w:eastAsia="zh-CN"/>
        </w:rPr>
        <w:t>体外试验通常使用合成或纯化的代谢物标准品或放射性标记药物</w:t>
      </w:r>
      <w:r>
        <w:rPr>
          <w:rFonts w:cs="Times New Roman" w:hint="eastAsia"/>
          <w:lang w:eastAsia="zh-CN"/>
        </w:rPr>
        <w:t>。</w:t>
      </w:r>
      <w:r>
        <w:rPr>
          <w:rFonts w:cs="Times New Roman"/>
          <w:lang w:eastAsia="zh-CN"/>
        </w:rPr>
        <w:t>同时</w:t>
      </w:r>
      <w:r>
        <w:rPr>
          <w:rFonts w:cs="Times New Roman" w:hint="eastAsia"/>
          <w:lang w:eastAsia="zh-CN"/>
        </w:rPr>
        <w:t>，</w:t>
      </w:r>
      <w:r>
        <w:rPr>
          <w:rFonts w:cs="Times New Roman"/>
          <w:lang w:eastAsia="zh-CN"/>
        </w:rPr>
        <w:t>也可接受其他能被证明可充分评价代谢物潜在</w:t>
      </w:r>
      <w:r>
        <w:rPr>
          <w:rFonts w:cs="Times New Roman"/>
          <w:lang w:eastAsia="zh-CN"/>
        </w:rPr>
        <w:t>DDI</w:t>
      </w:r>
      <w:r>
        <w:rPr>
          <w:rFonts w:cs="Times New Roman"/>
          <w:lang w:eastAsia="zh-CN"/>
        </w:rPr>
        <w:t>的方法</w:t>
      </w:r>
      <w:r>
        <w:rPr>
          <w:rFonts w:cs="Times New Roman" w:hint="eastAsia"/>
          <w:lang w:eastAsia="zh-CN"/>
        </w:rPr>
        <w:t>。</w:t>
      </w:r>
    </w:p>
    <w:p w14:paraId="2278A7B4" w14:textId="417E2AA1" w:rsidR="00CF608D" w:rsidRPr="009E464F" w:rsidRDefault="00A63229" w:rsidP="00593FAB">
      <w:pPr>
        <w:spacing w:after="0"/>
        <w:ind w:firstLine="640"/>
        <w:rPr>
          <w:rFonts w:cs="Times New Roman"/>
          <w:lang w:eastAsia="zh-CN"/>
        </w:rPr>
      </w:pPr>
      <w:r w:rsidRPr="009E464F">
        <w:rPr>
          <w:rFonts w:cs="Times New Roman"/>
          <w:lang w:eastAsia="zh-CN"/>
        </w:rPr>
        <w:t>1</w:t>
      </w:r>
      <w:r w:rsidR="00CF608D" w:rsidRPr="009E464F">
        <w:rPr>
          <w:rFonts w:cs="Times New Roman"/>
          <w:lang w:eastAsia="zh-CN"/>
        </w:rPr>
        <w:t>.</w:t>
      </w:r>
      <w:r w:rsidR="00CF608D" w:rsidRPr="009E464F">
        <w:rPr>
          <w:rFonts w:cs="Times New Roman"/>
          <w:lang w:eastAsia="zh-CN"/>
        </w:rPr>
        <w:t>代谢产物</w:t>
      </w:r>
      <w:r w:rsidR="00007F1F" w:rsidRPr="009E464F">
        <w:rPr>
          <w:rFonts w:cs="Times New Roman"/>
          <w:lang w:eastAsia="zh-CN"/>
        </w:rPr>
        <w:t>是否</w:t>
      </w:r>
      <w:r w:rsidR="00CF608D" w:rsidRPr="009E464F">
        <w:rPr>
          <w:rFonts w:cs="Times New Roman"/>
          <w:lang w:eastAsia="zh-CN"/>
        </w:rPr>
        <w:t>为代谢酶或转运体</w:t>
      </w:r>
      <w:r w:rsidR="00DD2F62">
        <w:rPr>
          <w:rFonts w:cs="Times New Roman" w:hint="eastAsia"/>
          <w:lang w:eastAsia="zh-CN"/>
        </w:rPr>
        <w:t>的</w:t>
      </w:r>
      <w:r w:rsidR="00CF608D" w:rsidRPr="009E464F">
        <w:rPr>
          <w:rFonts w:cs="Times New Roman"/>
          <w:lang w:eastAsia="zh-CN"/>
        </w:rPr>
        <w:t>底物</w:t>
      </w:r>
    </w:p>
    <w:p w14:paraId="1BF450FE" w14:textId="77777777" w:rsidR="006C3CFA" w:rsidRDefault="00CF608D" w:rsidP="00593FAB">
      <w:pPr>
        <w:spacing w:after="0"/>
        <w:ind w:firstLineChars="212" w:firstLine="678"/>
        <w:rPr>
          <w:rFonts w:cs="Times New Roman"/>
          <w:lang w:eastAsia="zh-CN"/>
        </w:rPr>
      </w:pPr>
      <w:r w:rsidRPr="009E464F">
        <w:rPr>
          <w:rFonts w:cs="Times New Roman"/>
          <w:lang w:eastAsia="zh-CN"/>
        </w:rPr>
        <w:t>如果在</w:t>
      </w:r>
      <w:proofErr w:type="gramStart"/>
      <w:r w:rsidRPr="009E464F">
        <w:rPr>
          <w:rFonts w:cs="Times New Roman"/>
          <w:lang w:eastAsia="zh-CN"/>
        </w:rPr>
        <w:t>研</w:t>
      </w:r>
      <w:proofErr w:type="gramEnd"/>
      <w:r w:rsidRPr="009E464F">
        <w:rPr>
          <w:rFonts w:cs="Times New Roman"/>
          <w:lang w:eastAsia="zh-CN"/>
        </w:rPr>
        <w:t>药物的代谢产物同时满足以下标准，</w:t>
      </w:r>
      <w:r w:rsidRPr="009E464F">
        <w:rPr>
          <w:rFonts w:cs="Times New Roman"/>
          <w:lang w:eastAsia="zh-CN"/>
        </w:rPr>
        <w:t xml:space="preserve"> </w:t>
      </w:r>
      <w:r w:rsidRPr="009E464F">
        <w:rPr>
          <w:rFonts w:cs="Times New Roman"/>
          <w:lang w:eastAsia="zh-CN"/>
        </w:rPr>
        <w:t>则需要评估代谢产物是否为代谢酶或者转运体的底物。</w:t>
      </w:r>
    </w:p>
    <w:p w14:paraId="06D3D8D9" w14:textId="77777777" w:rsidR="00CF608D" w:rsidRPr="009E464F" w:rsidRDefault="00CF608D" w:rsidP="00593FAB">
      <w:pPr>
        <w:spacing w:after="0"/>
        <w:ind w:firstLineChars="212" w:firstLine="678"/>
        <w:rPr>
          <w:rFonts w:cs="Times New Roman"/>
          <w:lang w:eastAsia="zh-CN"/>
        </w:rPr>
      </w:pPr>
      <w:r w:rsidRPr="009E464F">
        <w:rPr>
          <w:rFonts w:ascii="宋体" w:eastAsia="宋体" w:hAnsi="宋体" w:cs="宋体" w:hint="eastAsia"/>
          <w:lang w:eastAsia="zh-CN"/>
        </w:rPr>
        <w:lastRenderedPageBreak/>
        <w:t>①</w:t>
      </w:r>
      <w:r w:rsidR="00942617" w:rsidRPr="009E464F">
        <w:rPr>
          <w:rFonts w:cs="Times New Roman"/>
          <w:lang w:eastAsia="zh-CN"/>
        </w:rPr>
        <w:t>具有活性，即通过体外药理学研究或者毒理学评估显示代谢产物可影响药物有效性或者安全性</w:t>
      </w:r>
    </w:p>
    <w:p w14:paraId="0832B5A2" w14:textId="77777777" w:rsidR="00CF608D" w:rsidRPr="009E464F" w:rsidRDefault="00CF608D" w:rsidP="00593FAB">
      <w:pPr>
        <w:spacing w:after="0"/>
        <w:ind w:firstLineChars="212" w:firstLine="678"/>
        <w:rPr>
          <w:rFonts w:cs="Times New Roman"/>
          <w:lang w:eastAsia="zh-CN"/>
        </w:rPr>
      </w:pPr>
      <w:r w:rsidRPr="009E464F">
        <w:rPr>
          <w:rFonts w:ascii="宋体" w:eastAsia="宋体" w:hAnsi="宋体" w:cs="宋体" w:hint="eastAsia"/>
          <w:lang w:eastAsia="zh-CN"/>
        </w:rPr>
        <w:t>②</w:t>
      </w:r>
      <w:r w:rsidR="00942617" w:rsidRPr="009E464F">
        <w:rPr>
          <w:rFonts w:cs="Times New Roman"/>
          <w:lang w:eastAsia="zh-CN"/>
        </w:rPr>
        <w:t>基于体外受体效价和体内暴露量评估，代谢产物贡献了</w:t>
      </w:r>
      <w:r w:rsidR="00942617" w:rsidRPr="009E464F">
        <w:rPr>
          <w:rFonts w:cs="Times New Roman"/>
          <w:lang w:eastAsia="zh-CN"/>
        </w:rPr>
        <w:t>≥50%</w:t>
      </w:r>
      <w:r w:rsidR="00942617" w:rsidRPr="009E464F">
        <w:rPr>
          <w:rFonts w:cs="Times New Roman"/>
          <w:lang w:eastAsia="zh-CN"/>
        </w:rPr>
        <w:t>的药物总体活性</w:t>
      </w:r>
    </w:p>
    <w:p w14:paraId="26D1C080" w14:textId="20DC1EFC" w:rsidR="00CF608D" w:rsidRPr="009E464F" w:rsidRDefault="00BF54C9" w:rsidP="00D07AC2">
      <w:pPr>
        <w:spacing w:after="0"/>
        <w:ind w:firstLine="640"/>
        <w:rPr>
          <w:rFonts w:cs="Times New Roman"/>
          <w:lang w:eastAsia="zh-CN"/>
        </w:rPr>
      </w:pPr>
      <w:r w:rsidRPr="009E464F">
        <w:rPr>
          <w:rFonts w:cs="Times New Roman"/>
          <w:lang w:eastAsia="zh-CN"/>
        </w:rPr>
        <w:t>2</w:t>
      </w:r>
      <w:r w:rsidR="00CF608D" w:rsidRPr="009E464F">
        <w:rPr>
          <w:rFonts w:cs="Times New Roman"/>
          <w:lang w:eastAsia="zh-CN"/>
        </w:rPr>
        <w:t>.</w:t>
      </w:r>
      <w:r w:rsidR="00CF608D" w:rsidRPr="009E464F">
        <w:rPr>
          <w:rFonts w:cs="Times New Roman"/>
          <w:lang w:eastAsia="zh-CN"/>
        </w:rPr>
        <w:t>代谢产物是否为代谢酶或者转运体</w:t>
      </w:r>
      <w:r w:rsidR="00DD2F62">
        <w:rPr>
          <w:rFonts w:cs="Times New Roman" w:hint="eastAsia"/>
          <w:lang w:eastAsia="zh-CN"/>
        </w:rPr>
        <w:t>的</w:t>
      </w:r>
      <w:r w:rsidR="00CF608D" w:rsidRPr="009E464F">
        <w:rPr>
          <w:rFonts w:cs="Times New Roman"/>
          <w:lang w:eastAsia="zh-CN"/>
        </w:rPr>
        <w:t>抑制剂</w:t>
      </w:r>
    </w:p>
    <w:p w14:paraId="4A59FA6D" w14:textId="02E57524" w:rsidR="002A027C" w:rsidRDefault="00DD67B8" w:rsidP="00593FAB">
      <w:pPr>
        <w:spacing w:after="0"/>
        <w:ind w:firstLine="640"/>
        <w:rPr>
          <w:rFonts w:cs="Times New Roman"/>
          <w:lang w:eastAsia="zh-CN"/>
        </w:rPr>
      </w:pPr>
      <w:r w:rsidRPr="0083505F">
        <w:rPr>
          <w:rFonts w:cs="Times New Roman" w:hint="eastAsia"/>
          <w:lang w:eastAsia="zh-CN"/>
        </w:rPr>
        <w:t>如果体外研究显示原形药物抑制主要的</w:t>
      </w:r>
      <w:r w:rsidRPr="0083505F">
        <w:rPr>
          <w:rFonts w:cs="Times New Roman"/>
          <w:lang w:eastAsia="zh-CN"/>
        </w:rPr>
        <w:t>CYP</w:t>
      </w:r>
      <w:r w:rsidRPr="0083505F">
        <w:rPr>
          <w:rFonts w:cs="Times New Roman" w:hint="eastAsia"/>
          <w:lang w:eastAsia="zh-CN"/>
        </w:rPr>
        <w:t>酶和</w:t>
      </w:r>
      <w:proofErr w:type="gramStart"/>
      <w:r w:rsidRPr="0083505F">
        <w:rPr>
          <w:rFonts w:cs="Times New Roman" w:hint="eastAsia"/>
          <w:lang w:eastAsia="zh-CN"/>
        </w:rPr>
        <w:t>转运体且得到</w:t>
      </w:r>
      <w:proofErr w:type="gramEnd"/>
      <w:r w:rsidRPr="0083505F">
        <w:rPr>
          <w:rFonts w:cs="Times New Roman" w:hint="eastAsia"/>
          <w:lang w:eastAsia="zh-CN"/>
        </w:rPr>
        <w:t>体内</w:t>
      </w:r>
      <w:r w:rsidRPr="0083505F">
        <w:rPr>
          <w:rFonts w:cs="Times New Roman"/>
          <w:lang w:eastAsia="zh-CN"/>
        </w:rPr>
        <w:t>DDI</w:t>
      </w:r>
      <w:r w:rsidRPr="0083505F">
        <w:rPr>
          <w:rFonts w:cs="Times New Roman" w:hint="eastAsia"/>
          <w:lang w:eastAsia="zh-CN"/>
        </w:rPr>
        <w:t>研究的佐证，则无需对酶或转运体抑制剂的代谢物进行体外评估，因为代谢物的体内抑制能力将在体内与原形药物一起进行评估，除非体内</w:t>
      </w:r>
      <w:r w:rsidRPr="0083505F">
        <w:rPr>
          <w:rFonts w:cs="Times New Roman"/>
          <w:lang w:eastAsia="zh-CN"/>
        </w:rPr>
        <w:t>DDI</w:t>
      </w:r>
      <w:r w:rsidRPr="0083505F">
        <w:rPr>
          <w:rFonts w:cs="Times New Roman" w:hint="eastAsia"/>
          <w:lang w:eastAsia="zh-CN"/>
        </w:rPr>
        <w:t>研究不能充分表征代谢物的临床相关暴露量。（如在研究持续时间内代谢物量积累不足）。但即使体外评估表明单独的原形药物不会抑制主要</w:t>
      </w:r>
      <w:r w:rsidRPr="0083505F">
        <w:rPr>
          <w:rFonts w:cs="Times New Roman"/>
          <w:lang w:eastAsia="zh-CN"/>
        </w:rPr>
        <w:t>CYP</w:t>
      </w:r>
      <w:r w:rsidRPr="0083505F">
        <w:rPr>
          <w:rFonts w:cs="Times New Roman" w:hint="eastAsia"/>
          <w:lang w:eastAsia="zh-CN"/>
        </w:rPr>
        <w:t>酶或转运体，其仍有可能会通过体内代谢物引发</w:t>
      </w:r>
      <w:r w:rsidRPr="0083505F">
        <w:rPr>
          <w:rFonts w:cs="Times New Roman"/>
          <w:lang w:eastAsia="zh-CN"/>
        </w:rPr>
        <w:t>DDI</w:t>
      </w:r>
      <w:r w:rsidRPr="0083505F">
        <w:rPr>
          <w:rFonts w:cs="Times New Roman" w:hint="eastAsia"/>
          <w:lang w:eastAsia="zh-CN"/>
        </w:rPr>
        <w:t>。此时，应结合下列因素，评估代谢物对</w:t>
      </w:r>
      <w:r w:rsidRPr="0083505F">
        <w:rPr>
          <w:rFonts w:cs="Times New Roman"/>
          <w:lang w:eastAsia="zh-CN"/>
        </w:rPr>
        <w:t>CYP</w:t>
      </w:r>
      <w:r w:rsidRPr="0083505F">
        <w:rPr>
          <w:rFonts w:cs="Times New Roman" w:hint="eastAsia"/>
          <w:lang w:eastAsia="zh-CN"/>
        </w:rPr>
        <w:t>酶的体外抑制能力</w:t>
      </w:r>
      <w:r w:rsidR="00E75624" w:rsidRPr="00446341">
        <w:rPr>
          <w:rFonts w:cs="Times New Roman"/>
          <w:lang w:eastAsia="zh-CN"/>
        </w:rPr>
        <w:t>：</w:t>
      </w:r>
      <w:r w:rsidRPr="0083505F">
        <w:rPr>
          <w:rFonts w:cs="Times New Roman"/>
          <w:lang w:eastAsia="zh-CN"/>
        </w:rPr>
        <w:t>1</w:t>
      </w:r>
      <w:r w:rsidRPr="0083505F">
        <w:rPr>
          <w:rFonts w:cs="Times New Roman" w:hint="eastAsia"/>
          <w:lang w:eastAsia="zh-CN"/>
        </w:rPr>
        <w:t>）代谢物相对于原形</w:t>
      </w:r>
      <w:r w:rsidR="00E75624" w:rsidRPr="00446341">
        <w:rPr>
          <w:rFonts w:cs="Times New Roman"/>
          <w:lang w:eastAsia="zh-CN"/>
        </w:rPr>
        <w:t>药物的全身性暴露量；</w:t>
      </w:r>
      <w:r w:rsidRPr="0083505F">
        <w:rPr>
          <w:rFonts w:cs="Times New Roman"/>
          <w:lang w:eastAsia="zh-CN"/>
        </w:rPr>
        <w:t>2</w:t>
      </w:r>
      <w:r w:rsidRPr="0083505F">
        <w:rPr>
          <w:rFonts w:cs="Times New Roman" w:hint="eastAsia"/>
          <w:lang w:eastAsia="zh-CN"/>
        </w:rPr>
        <w:t>）任何结构预警，如定量结构</w:t>
      </w:r>
      <w:r w:rsidRPr="0083505F">
        <w:rPr>
          <w:rFonts w:cs="Times New Roman"/>
          <w:lang w:eastAsia="zh-CN"/>
        </w:rPr>
        <w:t>-</w:t>
      </w:r>
      <w:r w:rsidRPr="0083505F">
        <w:rPr>
          <w:rFonts w:cs="Times New Roman" w:hint="eastAsia"/>
          <w:lang w:eastAsia="zh-CN"/>
        </w:rPr>
        <w:t>活性关系（</w:t>
      </w:r>
      <w:r w:rsidRPr="0083505F">
        <w:rPr>
          <w:rFonts w:cs="Times New Roman"/>
          <w:lang w:eastAsia="zh-CN"/>
        </w:rPr>
        <w:t>QSAR</w:t>
      </w:r>
      <w:r w:rsidRPr="0083505F">
        <w:rPr>
          <w:rFonts w:cs="Times New Roman" w:hint="eastAsia"/>
          <w:lang w:eastAsia="zh-CN"/>
        </w:rPr>
        <w:t>）显示具有潜在的时间依赖性抑制。</w:t>
      </w:r>
    </w:p>
    <w:p w14:paraId="78E909C0" w14:textId="0CB62F43" w:rsidR="00CF608D" w:rsidRPr="009E464F" w:rsidRDefault="00CF608D" w:rsidP="00593FAB">
      <w:pPr>
        <w:spacing w:after="0"/>
        <w:ind w:firstLine="640"/>
        <w:rPr>
          <w:rFonts w:cs="Times New Roman"/>
          <w:lang w:eastAsia="zh-CN"/>
        </w:rPr>
      </w:pPr>
      <w:r w:rsidRPr="009E464F">
        <w:rPr>
          <w:rFonts w:cs="Times New Roman"/>
          <w:lang w:eastAsia="zh-CN"/>
        </w:rPr>
        <w:t>如果在</w:t>
      </w:r>
      <w:proofErr w:type="gramStart"/>
      <w:r w:rsidRPr="009E464F">
        <w:rPr>
          <w:rFonts w:cs="Times New Roman"/>
          <w:lang w:eastAsia="zh-CN"/>
        </w:rPr>
        <w:t>研</w:t>
      </w:r>
      <w:proofErr w:type="gramEnd"/>
      <w:r w:rsidRPr="009E464F">
        <w:rPr>
          <w:rFonts w:cs="Times New Roman"/>
          <w:lang w:eastAsia="zh-CN"/>
        </w:rPr>
        <w:t>药物的代谢产物满足以下任</w:t>
      </w:r>
      <w:proofErr w:type="gramStart"/>
      <w:r w:rsidRPr="009E464F">
        <w:rPr>
          <w:rFonts w:cs="Times New Roman"/>
          <w:lang w:eastAsia="zh-CN"/>
        </w:rPr>
        <w:t>一</w:t>
      </w:r>
      <w:proofErr w:type="gramEnd"/>
      <w:r w:rsidRPr="009E464F">
        <w:rPr>
          <w:rFonts w:cs="Times New Roman"/>
          <w:lang w:eastAsia="zh-CN"/>
        </w:rPr>
        <w:t>标准，</w:t>
      </w:r>
      <w:r w:rsidRPr="009E464F">
        <w:rPr>
          <w:rFonts w:cs="Times New Roman"/>
          <w:lang w:eastAsia="zh-CN"/>
        </w:rPr>
        <w:t xml:space="preserve"> </w:t>
      </w:r>
      <w:r w:rsidRPr="009E464F">
        <w:rPr>
          <w:rFonts w:cs="Times New Roman"/>
          <w:lang w:eastAsia="zh-CN"/>
        </w:rPr>
        <w:t>则需要评估代谢</w:t>
      </w:r>
      <w:r w:rsidR="00942617" w:rsidRPr="009E464F">
        <w:rPr>
          <w:rFonts w:cs="Times New Roman"/>
          <w:lang w:eastAsia="zh-CN"/>
        </w:rPr>
        <w:t>产</w:t>
      </w:r>
      <w:r w:rsidRPr="009E464F">
        <w:rPr>
          <w:rFonts w:cs="Times New Roman"/>
          <w:lang w:eastAsia="zh-CN"/>
        </w:rPr>
        <w:t>物是否为代谢酶或者转运体的抑制剂</w:t>
      </w:r>
      <w:r w:rsidRPr="0083505F">
        <w:rPr>
          <w:rFonts w:cs="Times New Roman"/>
          <w:vertAlign w:val="superscript"/>
          <w:lang w:eastAsia="zh-CN"/>
        </w:rPr>
        <w:t>[2]</w:t>
      </w:r>
      <w:r w:rsidRPr="009E464F">
        <w:rPr>
          <w:rFonts w:cs="Times New Roman"/>
          <w:lang w:eastAsia="zh-CN"/>
        </w:rPr>
        <w:t>：</w:t>
      </w:r>
    </w:p>
    <w:p w14:paraId="1F280902" w14:textId="37CBA3AC" w:rsidR="00CF608D" w:rsidRPr="009E464F" w:rsidRDefault="00CF608D" w:rsidP="00593FAB">
      <w:pPr>
        <w:spacing w:after="0"/>
        <w:ind w:firstLine="640"/>
        <w:rPr>
          <w:rFonts w:cs="Times New Roman"/>
          <w:lang w:eastAsia="zh-CN"/>
        </w:rPr>
      </w:pPr>
      <w:r w:rsidRPr="0083505F">
        <w:rPr>
          <w:rFonts w:cs="Times New Roman" w:hint="eastAsia"/>
          <w:lang w:eastAsia="zh-CN"/>
        </w:rPr>
        <w:t>①</w:t>
      </w:r>
      <w:r w:rsidRPr="009E464F">
        <w:rPr>
          <w:rFonts w:cs="Times New Roman"/>
          <w:lang w:eastAsia="zh-CN"/>
        </w:rPr>
        <w:t>代谢产物极性比原药小，且代谢产物的</w:t>
      </w:r>
      <w:r w:rsidRPr="009E464F">
        <w:rPr>
          <w:rFonts w:cs="Times New Roman"/>
          <w:lang w:eastAsia="zh-CN"/>
        </w:rPr>
        <w:t>AUC</w:t>
      </w:r>
      <w:r w:rsidR="00570BAC" w:rsidRPr="009E464F">
        <w:rPr>
          <w:rFonts w:cs="Times New Roman"/>
          <w:lang w:eastAsia="zh-CN"/>
        </w:rPr>
        <w:t>（</w:t>
      </w:r>
      <w:r w:rsidR="00570BAC" w:rsidRPr="009E464F">
        <w:rPr>
          <w:rFonts w:cs="Times New Roman"/>
          <w:lang w:eastAsia="zh-CN"/>
        </w:rPr>
        <w:t>Area Under Curve</w:t>
      </w:r>
      <w:r w:rsidR="00570BAC" w:rsidRPr="009E464F">
        <w:rPr>
          <w:rFonts w:cs="Times New Roman"/>
          <w:lang w:eastAsia="zh-CN"/>
        </w:rPr>
        <w:t>）</w:t>
      </w:r>
      <w:r w:rsidRPr="009E464F">
        <w:rPr>
          <w:rFonts w:cs="Times New Roman"/>
          <w:lang w:eastAsia="zh-CN"/>
        </w:rPr>
        <w:t>≥</w:t>
      </w:r>
      <w:r w:rsidR="00CA1B88" w:rsidRPr="009E464F">
        <w:rPr>
          <w:rFonts w:cs="Times New Roman"/>
          <w:lang w:eastAsia="zh-CN"/>
        </w:rPr>
        <w:t>原形药物</w:t>
      </w:r>
      <w:r w:rsidRPr="009E464F">
        <w:rPr>
          <w:rFonts w:cs="Times New Roman"/>
          <w:lang w:eastAsia="zh-CN"/>
        </w:rPr>
        <w:t>AUC</w:t>
      </w:r>
      <w:r w:rsidRPr="009E464F">
        <w:rPr>
          <w:rFonts w:cs="Times New Roman"/>
          <w:lang w:eastAsia="zh-CN"/>
        </w:rPr>
        <w:t>的</w:t>
      </w:r>
      <w:r w:rsidRPr="009E464F">
        <w:rPr>
          <w:rFonts w:cs="Times New Roman"/>
          <w:lang w:eastAsia="zh-CN"/>
        </w:rPr>
        <w:t>25%</w:t>
      </w:r>
      <w:r w:rsidRPr="009E464F">
        <w:rPr>
          <w:rFonts w:cs="Times New Roman"/>
          <w:lang w:eastAsia="zh-CN"/>
        </w:rPr>
        <w:t>；</w:t>
      </w:r>
    </w:p>
    <w:p w14:paraId="5DEE47C0" w14:textId="77777777" w:rsidR="00CF608D" w:rsidRPr="009E464F" w:rsidRDefault="00CF608D" w:rsidP="00593FAB">
      <w:pPr>
        <w:spacing w:after="0"/>
        <w:ind w:firstLine="640"/>
        <w:rPr>
          <w:rFonts w:cs="Times New Roman"/>
          <w:lang w:eastAsia="zh-CN"/>
        </w:rPr>
      </w:pPr>
      <w:r w:rsidRPr="0083505F">
        <w:rPr>
          <w:rFonts w:cs="Times New Roman" w:hint="eastAsia"/>
          <w:lang w:eastAsia="zh-CN"/>
        </w:rPr>
        <w:lastRenderedPageBreak/>
        <w:t>②</w:t>
      </w:r>
      <w:r w:rsidRPr="009E464F">
        <w:rPr>
          <w:rFonts w:cs="Times New Roman"/>
          <w:lang w:eastAsia="zh-CN"/>
        </w:rPr>
        <w:t>代谢产物极性比原药大，且代谢产物的</w:t>
      </w:r>
      <w:r w:rsidRPr="009E464F">
        <w:rPr>
          <w:rFonts w:cs="Times New Roman"/>
          <w:lang w:eastAsia="zh-CN"/>
        </w:rPr>
        <w:t>AUC≥</w:t>
      </w:r>
      <w:r w:rsidR="00CA1B88" w:rsidRPr="009E464F">
        <w:rPr>
          <w:rFonts w:cs="Times New Roman"/>
          <w:lang w:eastAsia="zh-CN"/>
        </w:rPr>
        <w:t>原形药物</w:t>
      </w:r>
      <w:r w:rsidRPr="009E464F">
        <w:rPr>
          <w:rFonts w:cs="Times New Roman"/>
          <w:lang w:eastAsia="zh-CN"/>
        </w:rPr>
        <w:t>的</w:t>
      </w:r>
      <w:r w:rsidRPr="009E464F">
        <w:rPr>
          <w:rFonts w:cs="Times New Roman"/>
          <w:lang w:eastAsia="zh-CN"/>
        </w:rPr>
        <w:t>AUC</w:t>
      </w:r>
      <w:r w:rsidRPr="009E464F">
        <w:rPr>
          <w:rFonts w:cs="Times New Roman"/>
          <w:lang w:eastAsia="zh-CN"/>
        </w:rPr>
        <w:t>；</w:t>
      </w:r>
    </w:p>
    <w:p w14:paraId="1943692B" w14:textId="4FE839E6" w:rsidR="00CF608D" w:rsidRDefault="00CF608D" w:rsidP="00593FAB">
      <w:pPr>
        <w:spacing w:after="0"/>
        <w:ind w:firstLine="640"/>
        <w:rPr>
          <w:rFonts w:cs="Times New Roman"/>
          <w:lang w:eastAsia="zh-CN"/>
        </w:rPr>
      </w:pPr>
      <w:r w:rsidRPr="0083505F">
        <w:rPr>
          <w:rFonts w:cs="Times New Roman" w:hint="eastAsia"/>
          <w:lang w:eastAsia="zh-CN"/>
        </w:rPr>
        <w:t>③</w:t>
      </w:r>
      <w:r w:rsidRPr="009E464F">
        <w:rPr>
          <w:rFonts w:cs="Times New Roman"/>
          <w:lang w:eastAsia="zh-CN"/>
        </w:rPr>
        <w:t>代谢产物具有某些可能会产生时间依赖性抑制（</w:t>
      </w:r>
      <w:r w:rsidRPr="009E464F">
        <w:rPr>
          <w:rFonts w:cs="Times New Roman"/>
          <w:lang w:eastAsia="zh-CN"/>
        </w:rPr>
        <w:t>TDI</w:t>
      </w:r>
      <w:r w:rsidRPr="009E464F">
        <w:rPr>
          <w:rFonts w:cs="Times New Roman"/>
          <w:lang w:eastAsia="zh-CN"/>
        </w:rPr>
        <w:t>）的预警结构，且该代谢物的</w:t>
      </w:r>
      <w:r w:rsidRPr="009E464F">
        <w:rPr>
          <w:rFonts w:cs="Times New Roman"/>
          <w:lang w:eastAsia="zh-CN"/>
        </w:rPr>
        <w:t>AUC≥</w:t>
      </w:r>
      <w:r w:rsidR="00CA1B88" w:rsidRPr="009E464F">
        <w:rPr>
          <w:rFonts w:cs="Times New Roman"/>
          <w:lang w:eastAsia="zh-CN"/>
        </w:rPr>
        <w:t>原形药物</w:t>
      </w:r>
      <w:r w:rsidRPr="009E464F">
        <w:rPr>
          <w:rFonts w:cs="Times New Roman"/>
          <w:lang w:eastAsia="zh-CN"/>
        </w:rPr>
        <w:t>AUC</w:t>
      </w:r>
      <w:r w:rsidRPr="009E464F">
        <w:rPr>
          <w:rFonts w:cs="Times New Roman"/>
          <w:lang w:eastAsia="zh-CN"/>
        </w:rPr>
        <w:t>的</w:t>
      </w:r>
      <w:r w:rsidRPr="009E464F">
        <w:rPr>
          <w:rFonts w:cs="Times New Roman"/>
          <w:lang w:eastAsia="zh-CN"/>
        </w:rPr>
        <w:t>25%</w:t>
      </w:r>
      <w:r w:rsidRPr="009E464F">
        <w:rPr>
          <w:rFonts w:cs="Times New Roman"/>
          <w:lang w:eastAsia="zh-CN"/>
        </w:rPr>
        <w:t>，同时</w:t>
      </w:r>
      <w:r w:rsidRPr="009E464F">
        <w:rPr>
          <w:rFonts w:cs="Times New Roman"/>
          <w:lang w:eastAsia="zh-CN"/>
        </w:rPr>
        <w:t>≥</w:t>
      </w:r>
      <w:proofErr w:type="gramStart"/>
      <w:r w:rsidRPr="009E464F">
        <w:rPr>
          <w:rFonts w:cs="Times New Roman"/>
          <w:lang w:eastAsia="zh-CN"/>
        </w:rPr>
        <w:t>总药物</w:t>
      </w:r>
      <w:proofErr w:type="gramEnd"/>
      <w:r w:rsidRPr="009E464F">
        <w:rPr>
          <w:rFonts w:cs="Times New Roman"/>
          <w:lang w:eastAsia="zh-CN"/>
        </w:rPr>
        <w:t>AUC</w:t>
      </w:r>
      <w:r w:rsidRPr="009E464F">
        <w:rPr>
          <w:rFonts w:cs="Times New Roman"/>
          <w:lang w:eastAsia="zh-CN"/>
        </w:rPr>
        <w:t>的</w:t>
      </w:r>
      <w:r w:rsidRPr="009E464F">
        <w:rPr>
          <w:rFonts w:cs="Times New Roman"/>
          <w:lang w:eastAsia="zh-CN"/>
        </w:rPr>
        <w:t>10%</w:t>
      </w:r>
      <w:r w:rsidRPr="009E464F">
        <w:rPr>
          <w:rFonts w:cs="Times New Roman"/>
          <w:lang w:eastAsia="zh-CN"/>
        </w:rPr>
        <w:t>。其中预警结构可通过诸如定量结构</w:t>
      </w:r>
      <w:r w:rsidRPr="009E464F">
        <w:rPr>
          <w:rFonts w:cs="Times New Roman"/>
          <w:lang w:eastAsia="zh-CN"/>
        </w:rPr>
        <w:t>-</w:t>
      </w:r>
      <w:r w:rsidRPr="009E464F">
        <w:rPr>
          <w:rFonts w:cs="Times New Roman"/>
          <w:lang w:eastAsia="zh-CN"/>
        </w:rPr>
        <w:t>活性关系（</w:t>
      </w:r>
      <w:r w:rsidRPr="009E464F">
        <w:rPr>
          <w:rFonts w:cs="Times New Roman"/>
          <w:lang w:eastAsia="zh-CN"/>
        </w:rPr>
        <w:t>Quantitative structure-activity relationships</w:t>
      </w:r>
      <w:r w:rsidRPr="009E464F">
        <w:rPr>
          <w:rFonts w:cs="Times New Roman"/>
          <w:lang w:eastAsia="zh-CN"/>
        </w:rPr>
        <w:t>，</w:t>
      </w:r>
      <w:r w:rsidRPr="009E464F">
        <w:rPr>
          <w:rFonts w:cs="Times New Roman"/>
          <w:lang w:eastAsia="zh-CN"/>
        </w:rPr>
        <w:t>QSAR</w:t>
      </w:r>
      <w:r w:rsidRPr="009E464F">
        <w:rPr>
          <w:rFonts w:cs="Times New Roman"/>
          <w:lang w:eastAsia="zh-CN"/>
        </w:rPr>
        <w:t>）来获得，</w:t>
      </w:r>
      <w:r w:rsidRPr="009E464F">
        <w:rPr>
          <w:rFonts w:cs="Times New Roman"/>
          <w:lang w:eastAsia="zh-CN"/>
        </w:rPr>
        <w:t xml:space="preserve"> </w:t>
      </w:r>
      <w:r w:rsidRPr="009E464F">
        <w:rPr>
          <w:rFonts w:cs="Times New Roman"/>
          <w:lang w:eastAsia="zh-CN"/>
        </w:rPr>
        <w:t>而</w:t>
      </w:r>
      <w:proofErr w:type="gramStart"/>
      <w:r w:rsidRPr="009E464F">
        <w:rPr>
          <w:rFonts w:cs="Times New Roman"/>
          <w:lang w:eastAsia="zh-CN"/>
        </w:rPr>
        <w:t>总药物</w:t>
      </w:r>
      <w:proofErr w:type="gramEnd"/>
      <w:r w:rsidRPr="009E464F">
        <w:rPr>
          <w:rFonts w:cs="Times New Roman"/>
          <w:lang w:eastAsia="zh-CN"/>
        </w:rPr>
        <w:t>AUC</w:t>
      </w:r>
      <w:r w:rsidRPr="009E464F">
        <w:rPr>
          <w:rFonts w:cs="Times New Roman"/>
          <w:lang w:eastAsia="zh-CN"/>
        </w:rPr>
        <w:t>可通过在人体物质平衡研究中，单次</w:t>
      </w:r>
      <w:r w:rsidR="000D74EE" w:rsidRPr="009E464F">
        <w:rPr>
          <w:rFonts w:cs="Times New Roman"/>
          <w:lang w:eastAsia="zh-CN"/>
        </w:rPr>
        <w:t>给予</w:t>
      </w:r>
      <w:r w:rsidRPr="009E464F">
        <w:rPr>
          <w:rFonts w:cs="Times New Roman"/>
          <w:lang w:eastAsia="zh-CN"/>
        </w:rPr>
        <w:t>受试者放射性物质标记的药物后计算放射性的血药浓度曲线获得。如果</w:t>
      </w:r>
      <w:r w:rsidR="00184B23" w:rsidRPr="009E464F">
        <w:rPr>
          <w:rFonts w:cs="Times New Roman"/>
          <w:lang w:eastAsia="zh-CN"/>
        </w:rPr>
        <w:t>缺乏</w:t>
      </w:r>
      <w:r w:rsidRPr="009E464F">
        <w:rPr>
          <w:rFonts w:cs="Times New Roman"/>
          <w:lang w:eastAsia="zh-CN"/>
        </w:rPr>
        <w:t>放射性数据但代谢物</w:t>
      </w:r>
      <w:r w:rsidRPr="009E464F">
        <w:rPr>
          <w:rFonts w:cs="Times New Roman"/>
          <w:lang w:eastAsia="zh-CN"/>
        </w:rPr>
        <w:t>AUC≥</w:t>
      </w:r>
      <w:r w:rsidR="00CA1B88" w:rsidRPr="009E464F">
        <w:rPr>
          <w:rFonts w:cs="Times New Roman"/>
          <w:lang w:eastAsia="zh-CN"/>
        </w:rPr>
        <w:t>原形药物</w:t>
      </w:r>
      <w:r w:rsidRPr="009E464F">
        <w:rPr>
          <w:rFonts w:cs="Times New Roman"/>
          <w:lang w:eastAsia="zh-CN"/>
        </w:rPr>
        <w:t>的</w:t>
      </w:r>
      <w:r w:rsidRPr="009E464F">
        <w:rPr>
          <w:rFonts w:cs="Times New Roman"/>
          <w:lang w:eastAsia="zh-CN"/>
        </w:rPr>
        <w:t>25%</w:t>
      </w:r>
      <w:r w:rsidRPr="009E464F">
        <w:rPr>
          <w:rFonts w:cs="Times New Roman"/>
          <w:lang w:eastAsia="zh-CN"/>
        </w:rPr>
        <w:t>，则应评估该代谢产物是否为代谢酶或者转运体抑制剂。</w:t>
      </w:r>
    </w:p>
    <w:p w14:paraId="7BD361AC" w14:textId="026E51FD" w:rsidR="00627CBB" w:rsidRDefault="00AC75A0" w:rsidP="00593FAB">
      <w:pPr>
        <w:spacing w:after="0"/>
        <w:ind w:firstLine="640"/>
        <w:rPr>
          <w:rFonts w:cs="Times New Roman"/>
          <w:lang w:eastAsia="zh-CN"/>
        </w:rPr>
      </w:pPr>
      <w:r>
        <w:rPr>
          <w:rFonts w:cs="Times New Roman"/>
          <w:lang w:eastAsia="zh-CN"/>
        </w:rPr>
        <w:t>3.</w:t>
      </w:r>
      <w:r w:rsidR="00627CBB">
        <w:rPr>
          <w:rFonts w:cs="Times New Roman" w:hint="eastAsia"/>
          <w:lang w:eastAsia="zh-CN"/>
        </w:rPr>
        <w:t>评估方法</w:t>
      </w:r>
    </w:p>
    <w:p w14:paraId="1B020C9E" w14:textId="1926AD4F" w:rsidR="00DD67B8" w:rsidRPr="00BC379E" w:rsidRDefault="00DD67B8" w:rsidP="00593FAB">
      <w:pPr>
        <w:spacing w:after="0"/>
        <w:ind w:firstLine="640"/>
        <w:rPr>
          <w:rFonts w:cs="Times New Roman"/>
          <w:lang w:eastAsia="zh-CN"/>
        </w:rPr>
      </w:pPr>
      <w:r w:rsidRPr="009E464F">
        <w:rPr>
          <w:rFonts w:cs="Times New Roman"/>
          <w:lang w:eastAsia="zh-CN"/>
        </w:rPr>
        <w:t>应使用与原形</w:t>
      </w:r>
      <w:proofErr w:type="gramStart"/>
      <w:r w:rsidRPr="009E464F">
        <w:rPr>
          <w:rFonts w:cs="Times New Roman"/>
          <w:lang w:eastAsia="zh-CN"/>
        </w:rPr>
        <w:t>药相同</w:t>
      </w:r>
      <w:proofErr w:type="gramEnd"/>
      <w:r w:rsidRPr="009E464F">
        <w:rPr>
          <w:rFonts w:cs="Times New Roman"/>
          <w:lang w:eastAsia="zh-CN"/>
        </w:rPr>
        <w:t>的评估方法对代谢产物是否为代谢酶或者</w:t>
      </w:r>
      <w:r w:rsidRPr="00BC379E">
        <w:rPr>
          <w:rFonts w:cs="Times New Roman" w:hint="eastAsia"/>
          <w:lang w:eastAsia="zh-CN"/>
        </w:rPr>
        <w:t>转运体底物或抑制剂进行评估，并对结果进行分析和解释。</w:t>
      </w:r>
    </w:p>
    <w:p w14:paraId="12AD55ED" w14:textId="77777777" w:rsidR="00897793" w:rsidRPr="00AC75A0" w:rsidRDefault="00897793" w:rsidP="00AC75A0">
      <w:pPr>
        <w:keepNext/>
        <w:keepLines/>
        <w:widowControl w:val="0"/>
        <w:autoSpaceDE w:val="0"/>
        <w:autoSpaceDN w:val="0"/>
        <w:adjustRightInd w:val="0"/>
        <w:spacing w:after="0"/>
        <w:ind w:firstLine="640"/>
        <w:outlineLvl w:val="0"/>
        <w:rPr>
          <w:rFonts w:eastAsia="黑体" w:cs="Times New Roman"/>
          <w:bCs/>
          <w:color w:val="000000"/>
          <w:kern w:val="44"/>
          <w:szCs w:val="32"/>
          <w:lang w:eastAsia="zh-CN"/>
        </w:rPr>
      </w:pPr>
      <w:bookmarkStart w:id="8" w:name="_bookmark13"/>
      <w:bookmarkStart w:id="9" w:name="_bookmark14"/>
      <w:bookmarkStart w:id="10" w:name="A._Study_Results_Reporting"/>
      <w:bookmarkStart w:id="11" w:name="1._Non-Compartmental_Analysis"/>
      <w:bookmarkStart w:id="12" w:name="2._Population_Pharmacokinetic_Analysis"/>
      <w:bookmarkStart w:id="13" w:name="1._Approaches_for_Determining_No-Effect_"/>
      <w:bookmarkStart w:id="14" w:name="3._Classifying_the_Investigational_Drug_"/>
      <w:bookmarkStart w:id="15" w:name="5._Extrapolating_Study_Results"/>
      <w:bookmarkStart w:id="16" w:name="VI._LABELING_RECOMMENDATIONS"/>
      <w:bookmarkStart w:id="17" w:name="_Toc48747212"/>
      <w:bookmarkStart w:id="18" w:name="_Toc48799361"/>
      <w:bookmarkStart w:id="19" w:name="_Toc50395970"/>
      <w:bookmarkEnd w:id="8"/>
      <w:bookmarkEnd w:id="9"/>
      <w:bookmarkEnd w:id="10"/>
      <w:bookmarkEnd w:id="11"/>
      <w:bookmarkEnd w:id="12"/>
      <w:bookmarkEnd w:id="13"/>
      <w:bookmarkEnd w:id="14"/>
      <w:bookmarkEnd w:id="15"/>
      <w:bookmarkEnd w:id="16"/>
      <w:r w:rsidRPr="00AC75A0">
        <w:rPr>
          <w:rFonts w:eastAsia="黑体" w:cs="Times New Roman" w:hint="eastAsia"/>
          <w:bCs/>
          <w:color w:val="000000"/>
          <w:kern w:val="44"/>
          <w:szCs w:val="32"/>
          <w:lang w:eastAsia="zh-CN"/>
        </w:rPr>
        <w:t>三、药物相互作用临床研究</w:t>
      </w:r>
      <w:bookmarkEnd w:id="17"/>
      <w:bookmarkEnd w:id="18"/>
      <w:bookmarkEnd w:id="19"/>
    </w:p>
    <w:p w14:paraId="1EC61893" w14:textId="77777777" w:rsidR="00897793" w:rsidRPr="00AC75A0" w:rsidRDefault="00897793" w:rsidP="00AC75A0">
      <w:pPr>
        <w:widowControl w:val="0"/>
        <w:autoSpaceDE w:val="0"/>
        <w:autoSpaceDN w:val="0"/>
        <w:adjustRightInd w:val="0"/>
        <w:spacing w:after="0"/>
        <w:ind w:firstLine="640"/>
        <w:rPr>
          <w:rFonts w:eastAsia="楷体" w:cs="Times New Roman"/>
          <w:color w:val="000000"/>
          <w:szCs w:val="32"/>
          <w:lang w:eastAsia="zh-CN"/>
        </w:rPr>
      </w:pPr>
      <w:bookmarkStart w:id="20" w:name="_Toc48747214"/>
      <w:bookmarkStart w:id="21" w:name="_Toc48799363"/>
      <w:bookmarkStart w:id="22" w:name="_Toc50395971"/>
      <w:r w:rsidRPr="00AC75A0">
        <w:rPr>
          <w:rFonts w:eastAsia="楷体" w:cs="Times New Roman"/>
          <w:color w:val="000000"/>
          <w:szCs w:val="32"/>
          <w:lang w:eastAsia="zh-CN"/>
        </w:rPr>
        <w:t>（一）</w:t>
      </w:r>
      <w:r w:rsidRPr="00AC75A0">
        <w:rPr>
          <w:rFonts w:eastAsia="楷体" w:cs="Times New Roman" w:hint="eastAsia"/>
          <w:color w:val="000000"/>
          <w:szCs w:val="32"/>
          <w:lang w:eastAsia="zh-CN"/>
        </w:rPr>
        <w:t>药物相互作用</w:t>
      </w:r>
      <w:r w:rsidRPr="00AC75A0">
        <w:rPr>
          <w:rFonts w:eastAsia="楷体" w:cs="Times New Roman"/>
          <w:color w:val="000000"/>
          <w:szCs w:val="32"/>
          <w:lang w:eastAsia="zh-CN"/>
        </w:rPr>
        <w:t>临床研究类型</w:t>
      </w:r>
      <w:bookmarkEnd w:id="20"/>
      <w:bookmarkEnd w:id="21"/>
      <w:bookmarkEnd w:id="22"/>
    </w:p>
    <w:p w14:paraId="30A99113" w14:textId="77777777" w:rsidR="00897793" w:rsidRPr="009E464F" w:rsidRDefault="00897793" w:rsidP="00593FAB">
      <w:pPr>
        <w:spacing w:after="0"/>
        <w:ind w:firstLine="640"/>
        <w:rPr>
          <w:rFonts w:cs="Times New Roman"/>
          <w:lang w:eastAsia="zh-CN"/>
        </w:rPr>
      </w:pPr>
      <w:r w:rsidRPr="009E464F">
        <w:rPr>
          <w:rFonts w:cs="Times New Roman"/>
          <w:lang w:eastAsia="zh-CN"/>
        </w:rPr>
        <w:t>根据临床研究设计</w:t>
      </w:r>
      <w:r>
        <w:rPr>
          <w:rFonts w:cs="Times New Roman" w:hint="eastAsia"/>
          <w:lang w:eastAsia="zh-CN"/>
        </w:rPr>
        <w:t>，</w:t>
      </w:r>
      <w:r w:rsidRPr="009E464F">
        <w:rPr>
          <w:rFonts w:cs="Times New Roman"/>
          <w:lang w:eastAsia="zh-CN"/>
        </w:rPr>
        <w:t>分为前瞻性</w:t>
      </w:r>
      <w:r>
        <w:rPr>
          <w:rFonts w:cs="Times New Roman" w:hint="eastAsia"/>
          <w:lang w:eastAsia="zh-CN"/>
        </w:rPr>
        <w:t>DDI</w:t>
      </w:r>
      <w:r>
        <w:rPr>
          <w:rFonts w:cs="Times New Roman" w:hint="eastAsia"/>
          <w:lang w:eastAsia="zh-CN"/>
        </w:rPr>
        <w:t>临床试验和</w:t>
      </w:r>
      <w:r w:rsidRPr="009E464F">
        <w:rPr>
          <w:rFonts w:cs="Times New Roman"/>
          <w:lang w:eastAsia="zh-CN"/>
        </w:rPr>
        <w:t>回顾性</w:t>
      </w:r>
      <w:r w:rsidRPr="009E464F">
        <w:rPr>
          <w:rFonts w:cs="Times New Roman"/>
          <w:lang w:eastAsia="zh-CN"/>
        </w:rPr>
        <w:t>DDI</w:t>
      </w:r>
      <w:r w:rsidRPr="009E464F">
        <w:rPr>
          <w:rFonts w:cs="Times New Roman"/>
          <w:lang w:eastAsia="zh-CN"/>
        </w:rPr>
        <w:t>临床试验</w:t>
      </w:r>
      <w:r>
        <w:rPr>
          <w:rFonts w:cs="Times New Roman" w:hint="eastAsia"/>
          <w:lang w:eastAsia="zh-CN"/>
        </w:rPr>
        <w:t>。</w:t>
      </w:r>
      <w:r w:rsidRPr="009E464F">
        <w:rPr>
          <w:rFonts w:cs="Times New Roman"/>
          <w:lang w:eastAsia="zh-CN"/>
        </w:rPr>
        <w:t>依据研究方法可分为</w:t>
      </w:r>
      <w:r>
        <w:rPr>
          <w:rFonts w:cs="Times New Roman" w:hint="eastAsia"/>
          <w:lang w:eastAsia="zh-CN"/>
        </w:rPr>
        <w:t>基于</w:t>
      </w:r>
      <w:r w:rsidRPr="009E464F">
        <w:rPr>
          <w:rFonts w:cs="Times New Roman"/>
          <w:lang w:eastAsia="zh-CN"/>
        </w:rPr>
        <w:t>指针药物（</w:t>
      </w:r>
      <w:r w:rsidRPr="009E464F">
        <w:rPr>
          <w:rFonts w:cs="Times New Roman"/>
          <w:lang w:eastAsia="zh-CN"/>
        </w:rPr>
        <w:t>Index drug</w:t>
      </w:r>
      <w:r w:rsidRPr="009E464F">
        <w:rPr>
          <w:rFonts w:cs="Times New Roman"/>
          <w:lang w:eastAsia="zh-CN"/>
        </w:rPr>
        <w:t>）的</w:t>
      </w:r>
      <w:r>
        <w:rPr>
          <w:rFonts w:cs="Times New Roman" w:hint="eastAsia"/>
          <w:lang w:eastAsia="zh-CN"/>
        </w:rPr>
        <w:t>DDI</w:t>
      </w:r>
      <w:r w:rsidRPr="009E464F">
        <w:rPr>
          <w:rFonts w:cs="Times New Roman"/>
          <w:lang w:eastAsia="zh-CN"/>
        </w:rPr>
        <w:t>研究、</w:t>
      </w:r>
      <w:r>
        <w:rPr>
          <w:rFonts w:cs="Times New Roman" w:hint="eastAsia"/>
          <w:lang w:eastAsia="zh-CN"/>
        </w:rPr>
        <w:t>基于临床</w:t>
      </w:r>
      <w:r w:rsidRPr="009E464F">
        <w:rPr>
          <w:rFonts w:cs="Times New Roman"/>
          <w:lang w:eastAsia="zh-CN"/>
        </w:rPr>
        <w:t>常见合并用药品种的</w:t>
      </w:r>
      <w:r w:rsidRPr="009E464F">
        <w:rPr>
          <w:rFonts w:cs="Times New Roman"/>
          <w:lang w:eastAsia="zh-CN"/>
        </w:rPr>
        <w:t>DDI</w:t>
      </w:r>
      <w:r w:rsidRPr="009E464F">
        <w:rPr>
          <w:rFonts w:cs="Times New Roman"/>
          <w:lang w:eastAsia="zh-CN"/>
        </w:rPr>
        <w:t>研究和</w:t>
      </w:r>
      <w:r>
        <w:rPr>
          <w:rFonts w:cs="Times New Roman" w:hint="eastAsia"/>
          <w:lang w:eastAsia="zh-CN"/>
        </w:rPr>
        <w:t>基于模型</w:t>
      </w:r>
      <w:r w:rsidRPr="009E464F">
        <w:rPr>
          <w:rFonts w:cs="Times New Roman"/>
          <w:lang w:eastAsia="zh-CN"/>
        </w:rPr>
        <w:t>模拟</w:t>
      </w:r>
      <w:r>
        <w:rPr>
          <w:rFonts w:cs="Times New Roman" w:hint="eastAsia"/>
          <w:lang w:eastAsia="zh-CN"/>
        </w:rPr>
        <w:t>的</w:t>
      </w:r>
      <w:r>
        <w:rPr>
          <w:rFonts w:cs="Times New Roman" w:hint="eastAsia"/>
          <w:lang w:eastAsia="zh-CN"/>
        </w:rPr>
        <w:t>DDI</w:t>
      </w:r>
      <w:r w:rsidRPr="009E464F">
        <w:rPr>
          <w:rFonts w:cs="Times New Roman"/>
          <w:lang w:eastAsia="zh-CN"/>
        </w:rPr>
        <w:t>临床试验。下文将分别进行介绍。</w:t>
      </w:r>
    </w:p>
    <w:p w14:paraId="742F5F4A" w14:textId="6A925FDA" w:rsidR="00897793" w:rsidRPr="009E464F" w:rsidRDefault="000B375C" w:rsidP="00593FAB">
      <w:pPr>
        <w:spacing w:after="0"/>
        <w:ind w:firstLine="640"/>
        <w:rPr>
          <w:rFonts w:cs="Times New Roman"/>
          <w:lang w:eastAsia="zh-CN"/>
        </w:rPr>
      </w:pPr>
      <w:bookmarkStart w:id="23" w:name="_Toc48747215"/>
      <w:bookmarkStart w:id="24" w:name="_Toc48799364"/>
      <w:r>
        <w:rPr>
          <w:rFonts w:cs="Times New Roman"/>
          <w:lang w:eastAsia="zh-CN"/>
        </w:rPr>
        <w:t>1.</w:t>
      </w:r>
      <w:r w:rsidR="00897793" w:rsidRPr="009E464F">
        <w:rPr>
          <w:rFonts w:cs="Times New Roman"/>
          <w:lang w:eastAsia="zh-CN"/>
        </w:rPr>
        <w:t>前瞻性</w:t>
      </w:r>
      <w:r w:rsidR="00897793">
        <w:rPr>
          <w:rFonts w:cs="Times New Roman" w:hint="eastAsia"/>
          <w:lang w:eastAsia="zh-CN"/>
        </w:rPr>
        <w:t>和</w:t>
      </w:r>
      <w:r w:rsidR="00897793" w:rsidRPr="009E464F">
        <w:rPr>
          <w:rFonts w:cs="Times New Roman"/>
          <w:lang w:eastAsia="zh-CN"/>
        </w:rPr>
        <w:t>回顾性</w:t>
      </w:r>
      <w:r w:rsidR="00897793" w:rsidRPr="009E464F">
        <w:rPr>
          <w:rFonts w:cs="Times New Roman"/>
          <w:lang w:eastAsia="zh-CN"/>
        </w:rPr>
        <w:t>DDI</w:t>
      </w:r>
      <w:r w:rsidR="00897793" w:rsidRPr="009E464F">
        <w:rPr>
          <w:rFonts w:cs="Times New Roman"/>
          <w:lang w:eastAsia="zh-CN"/>
        </w:rPr>
        <w:t>临床试验</w:t>
      </w:r>
      <w:bookmarkEnd w:id="23"/>
      <w:bookmarkEnd w:id="24"/>
    </w:p>
    <w:p w14:paraId="58678E78" w14:textId="77777777" w:rsidR="00897793" w:rsidRPr="009E464F" w:rsidRDefault="00897793" w:rsidP="00593FAB">
      <w:pPr>
        <w:spacing w:after="0"/>
        <w:ind w:firstLine="640"/>
        <w:rPr>
          <w:rFonts w:cs="Times New Roman"/>
          <w:lang w:eastAsia="zh-CN"/>
        </w:rPr>
      </w:pPr>
      <w:r w:rsidRPr="009E464F">
        <w:rPr>
          <w:rFonts w:cs="Times New Roman"/>
          <w:lang w:eastAsia="zh-CN"/>
        </w:rPr>
        <w:lastRenderedPageBreak/>
        <w:t>前瞻性</w:t>
      </w:r>
      <w:r w:rsidRPr="009E464F">
        <w:rPr>
          <w:rFonts w:cs="Times New Roman"/>
          <w:lang w:eastAsia="zh-CN"/>
        </w:rPr>
        <w:t>DDI</w:t>
      </w:r>
      <w:r w:rsidRPr="009E464F">
        <w:rPr>
          <w:rFonts w:cs="Times New Roman"/>
          <w:lang w:eastAsia="zh-CN"/>
        </w:rPr>
        <w:t>临床试验是特地为评价</w:t>
      </w:r>
      <w:r w:rsidRPr="009E464F">
        <w:rPr>
          <w:rFonts w:cs="Times New Roman"/>
          <w:lang w:eastAsia="zh-CN"/>
        </w:rPr>
        <w:t>DDI</w:t>
      </w:r>
      <w:r w:rsidRPr="009E464F">
        <w:rPr>
          <w:rFonts w:cs="Times New Roman"/>
          <w:lang w:eastAsia="zh-CN"/>
        </w:rPr>
        <w:t>而设计的，可以是独立的研究，也可以是临床大规模试验中的一部分（</w:t>
      </w:r>
      <w:r w:rsidRPr="009E464F">
        <w:rPr>
          <w:rFonts w:cs="Times New Roman"/>
          <w:lang w:eastAsia="zh-CN"/>
        </w:rPr>
        <w:t>Nested Study</w:t>
      </w:r>
      <w:r w:rsidRPr="009E464F">
        <w:rPr>
          <w:rFonts w:cs="Times New Roman"/>
          <w:lang w:eastAsia="zh-CN"/>
        </w:rPr>
        <w:t>）或者是临床</w:t>
      </w:r>
      <w:proofErr w:type="gramStart"/>
      <w:r w:rsidRPr="009E464F">
        <w:rPr>
          <w:rFonts w:cs="Times New Roman"/>
          <w:lang w:eastAsia="zh-CN"/>
        </w:rPr>
        <w:t>多扩大</w:t>
      </w:r>
      <w:proofErr w:type="gramEnd"/>
      <w:r w:rsidRPr="009E464F">
        <w:rPr>
          <w:rFonts w:cs="Times New Roman"/>
          <w:lang w:eastAsia="zh-CN"/>
        </w:rPr>
        <w:t>队列试验中的一个扩展试验（</w:t>
      </w:r>
      <w:r w:rsidRPr="009E464F">
        <w:rPr>
          <w:rFonts w:cs="Times New Roman"/>
          <w:lang w:eastAsia="zh-CN"/>
        </w:rPr>
        <w:t>Expansion cohort</w:t>
      </w:r>
      <w:r w:rsidRPr="009E464F">
        <w:rPr>
          <w:rFonts w:cs="Times New Roman"/>
          <w:lang w:eastAsia="zh-CN"/>
        </w:rPr>
        <w:t>）</w:t>
      </w:r>
      <w:r w:rsidRPr="009E464F">
        <w:rPr>
          <w:rFonts w:cs="Times New Roman"/>
          <w:lang w:eastAsia="zh-CN"/>
        </w:rPr>
        <w:t xml:space="preserve"> </w:t>
      </w:r>
      <w:r w:rsidRPr="009E464F">
        <w:rPr>
          <w:rFonts w:cs="Times New Roman"/>
          <w:vertAlign w:val="superscript"/>
          <w:lang w:eastAsia="zh-CN"/>
        </w:rPr>
        <w:t>[1]</w:t>
      </w:r>
      <w:r w:rsidRPr="009E464F">
        <w:rPr>
          <w:rFonts w:cs="Times New Roman"/>
          <w:lang w:eastAsia="zh-CN"/>
        </w:rPr>
        <w:t>。回顾性</w:t>
      </w:r>
      <w:r w:rsidRPr="009E464F">
        <w:rPr>
          <w:rFonts w:cs="Times New Roman"/>
          <w:lang w:eastAsia="zh-CN"/>
        </w:rPr>
        <w:t>DDI</w:t>
      </w:r>
      <w:r w:rsidRPr="009E464F">
        <w:rPr>
          <w:rFonts w:cs="Times New Roman"/>
          <w:lang w:eastAsia="zh-CN"/>
        </w:rPr>
        <w:t>临床试验</w:t>
      </w:r>
      <w:r>
        <w:rPr>
          <w:rFonts w:cs="Times New Roman" w:hint="eastAsia"/>
          <w:lang w:eastAsia="zh-CN"/>
        </w:rPr>
        <w:t>由于</w:t>
      </w:r>
      <w:r w:rsidRPr="009E464F">
        <w:rPr>
          <w:rFonts w:cs="Times New Roman"/>
          <w:lang w:eastAsia="zh-CN"/>
        </w:rPr>
        <w:t>研究目的并不单纯是药物相互作用研究</w:t>
      </w:r>
      <w:r>
        <w:rPr>
          <w:rFonts w:cs="Times New Roman" w:hint="eastAsia"/>
          <w:lang w:eastAsia="zh-CN"/>
        </w:rPr>
        <w:t>，通</w:t>
      </w:r>
      <w:r w:rsidRPr="009E464F">
        <w:rPr>
          <w:rFonts w:cs="Times New Roman"/>
          <w:lang w:eastAsia="zh-CN"/>
        </w:rPr>
        <w:t>常不能为药物相互作用提供足够的评价证据。</w:t>
      </w:r>
      <w:r w:rsidRPr="0017302C">
        <w:rPr>
          <w:rFonts w:cs="Times New Roman" w:hint="eastAsia"/>
          <w:lang w:eastAsia="zh-CN"/>
        </w:rPr>
        <w:t>监管决策通常需要为</w:t>
      </w:r>
      <w:r>
        <w:rPr>
          <w:rFonts w:cs="Times New Roman" w:hint="eastAsia"/>
          <w:lang w:eastAsia="zh-CN"/>
        </w:rPr>
        <w:t>DDI</w:t>
      </w:r>
      <w:r w:rsidRPr="0017302C">
        <w:rPr>
          <w:rFonts w:cs="Times New Roman" w:hint="eastAsia"/>
          <w:lang w:eastAsia="zh-CN"/>
        </w:rPr>
        <w:t>专门设计的前瞻性研究。</w:t>
      </w:r>
    </w:p>
    <w:p w14:paraId="17D183B6" w14:textId="4EC31DCD" w:rsidR="00897793" w:rsidRPr="009E464F" w:rsidRDefault="000B375C" w:rsidP="00593FAB">
      <w:pPr>
        <w:spacing w:after="0"/>
        <w:ind w:firstLine="640"/>
        <w:rPr>
          <w:rFonts w:cs="Times New Roman"/>
          <w:lang w:eastAsia="zh-CN"/>
        </w:rPr>
      </w:pPr>
      <w:bookmarkStart w:id="25" w:name="_Toc48747216"/>
      <w:bookmarkStart w:id="26" w:name="_Toc48799365"/>
      <w:r>
        <w:rPr>
          <w:rFonts w:cs="Times New Roman"/>
          <w:lang w:eastAsia="zh-CN"/>
        </w:rPr>
        <w:t>2.</w:t>
      </w:r>
      <w:r w:rsidR="00897793">
        <w:rPr>
          <w:rFonts w:cs="Times New Roman" w:hint="eastAsia"/>
          <w:lang w:eastAsia="zh-CN"/>
        </w:rPr>
        <w:t>基于</w:t>
      </w:r>
      <w:r w:rsidR="00897793" w:rsidRPr="009E464F">
        <w:rPr>
          <w:rFonts w:cs="Times New Roman"/>
          <w:lang w:eastAsia="zh-CN"/>
        </w:rPr>
        <w:t>指针药物的</w:t>
      </w:r>
      <w:r w:rsidR="00897793">
        <w:rPr>
          <w:rFonts w:cs="Times New Roman" w:hint="eastAsia"/>
          <w:lang w:eastAsia="zh-CN"/>
        </w:rPr>
        <w:t>DDI</w:t>
      </w:r>
      <w:r w:rsidR="00897793" w:rsidRPr="009E464F">
        <w:rPr>
          <w:rFonts w:cs="Times New Roman"/>
          <w:lang w:eastAsia="zh-CN"/>
        </w:rPr>
        <w:t>研究</w:t>
      </w:r>
      <w:bookmarkEnd w:id="25"/>
      <w:bookmarkEnd w:id="26"/>
    </w:p>
    <w:p w14:paraId="5BB6A918" w14:textId="77777777" w:rsidR="00897793" w:rsidRPr="009E464F" w:rsidRDefault="00897793" w:rsidP="00593FAB">
      <w:pPr>
        <w:spacing w:after="0"/>
        <w:ind w:firstLine="640"/>
        <w:rPr>
          <w:rFonts w:cs="Times New Roman"/>
          <w:lang w:eastAsia="zh-CN"/>
        </w:rPr>
      </w:pPr>
      <w:r w:rsidRPr="009E464F">
        <w:rPr>
          <w:rFonts w:cs="Times New Roman"/>
          <w:lang w:eastAsia="zh-CN"/>
        </w:rPr>
        <w:t>针对特定代谢酶或转运体</w:t>
      </w:r>
      <w:proofErr w:type="gramStart"/>
      <w:r w:rsidRPr="009E464F">
        <w:rPr>
          <w:rFonts w:cs="Times New Roman"/>
          <w:lang w:eastAsia="zh-CN"/>
        </w:rPr>
        <w:t>介</w:t>
      </w:r>
      <w:proofErr w:type="gramEnd"/>
      <w:r w:rsidRPr="009E464F">
        <w:rPr>
          <w:rFonts w:cs="Times New Roman"/>
          <w:lang w:eastAsia="zh-CN"/>
        </w:rPr>
        <w:t>导的相互作用，以特定酶</w:t>
      </w:r>
      <w:r w:rsidRPr="009E464F">
        <w:rPr>
          <w:rFonts w:cs="Times New Roman"/>
          <w:lang w:eastAsia="zh-CN"/>
        </w:rPr>
        <w:t>/</w:t>
      </w:r>
      <w:r w:rsidRPr="009E464F">
        <w:rPr>
          <w:rFonts w:cs="Times New Roman"/>
          <w:lang w:eastAsia="zh-CN"/>
        </w:rPr>
        <w:t>转运体的特异性抑制剂和诱导剂或敏感性底物为指针药物（详见附件</w:t>
      </w:r>
      <w:r w:rsidRPr="009E464F">
        <w:rPr>
          <w:rFonts w:cs="Times New Roman"/>
          <w:lang w:eastAsia="zh-CN"/>
        </w:rPr>
        <w:t>3</w:t>
      </w:r>
      <w:r w:rsidRPr="009E464F">
        <w:rPr>
          <w:rFonts w:cs="Times New Roman"/>
          <w:lang w:eastAsia="zh-CN"/>
        </w:rPr>
        <w:t>），评价</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药物与指针药物合并</w:t>
      </w:r>
      <w:r>
        <w:rPr>
          <w:rFonts w:cs="Times New Roman" w:hint="eastAsia"/>
          <w:lang w:eastAsia="zh-CN"/>
        </w:rPr>
        <w:t>使用时</w:t>
      </w:r>
      <w:r w:rsidRPr="009E464F">
        <w:rPr>
          <w:rFonts w:cs="Times New Roman"/>
          <w:lang w:eastAsia="zh-CN"/>
        </w:rPr>
        <w:t>的药动学特征改变，以获得代谢酶</w:t>
      </w:r>
      <w:r>
        <w:rPr>
          <w:rFonts w:cs="Times New Roman" w:hint="eastAsia"/>
          <w:lang w:eastAsia="zh-CN"/>
        </w:rPr>
        <w:t>或</w:t>
      </w:r>
      <w:r w:rsidRPr="009E464F">
        <w:rPr>
          <w:rFonts w:cs="Times New Roman"/>
          <w:lang w:eastAsia="zh-CN"/>
        </w:rPr>
        <w:t>转运体与</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药物的相互作用特征，</w:t>
      </w:r>
      <w:r>
        <w:rPr>
          <w:rFonts w:cs="Times New Roman" w:hint="eastAsia"/>
          <w:lang w:eastAsia="zh-CN"/>
        </w:rPr>
        <w:t>进而</w:t>
      </w:r>
      <w:r w:rsidRPr="009E464F">
        <w:rPr>
          <w:rFonts w:cs="Times New Roman"/>
          <w:lang w:eastAsia="zh-CN"/>
        </w:rPr>
        <w:t>指导临床</w:t>
      </w:r>
      <w:r>
        <w:rPr>
          <w:rFonts w:cs="Times New Roman" w:hint="eastAsia"/>
          <w:lang w:eastAsia="zh-CN"/>
        </w:rPr>
        <w:t>合并用药</w:t>
      </w:r>
      <w:r w:rsidRPr="009E464F">
        <w:rPr>
          <w:rFonts w:cs="Times New Roman"/>
          <w:lang w:eastAsia="zh-CN"/>
        </w:rPr>
        <w:t>时的</w:t>
      </w:r>
      <w:r>
        <w:rPr>
          <w:rFonts w:cs="Times New Roman" w:hint="eastAsia"/>
          <w:lang w:eastAsia="zh-CN"/>
        </w:rPr>
        <w:t>剂量</w:t>
      </w:r>
      <w:r w:rsidRPr="009E464F">
        <w:rPr>
          <w:rFonts w:cs="Times New Roman"/>
          <w:lang w:eastAsia="zh-CN"/>
        </w:rPr>
        <w:t>方案调整。</w:t>
      </w:r>
    </w:p>
    <w:p w14:paraId="0981DE9B" w14:textId="0E01B36E" w:rsidR="00897793" w:rsidRPr="009E464F" w:rsidRDefault="00703979" w:rsidP="00593FAB">
      <w:pPr>
        <w:spacing w:after="0"/>
        <w:ind w:firstLine="640"/>
        <w:rPr>
          <w:rFonts w:cs="Times New Roman"/>
          <w:lang w:eastAsia="zh-CN"/>
        </w:rPr>
      </w:pPr>
      <w:bookmarkStart w:id="27" w:name="_Toc48747217"/>
      <w:bookmarkStart w:id="28" w:name="_Toc48799366"/>
      <w:r>
        <w:rPr>
          <w:rFonts w:cs="Times New Roman"/>
          <w:lang w:eastAsia="zh-CN"/>
        </w:rPr>
        <w:t>3.</w:t>
      </w:r>
      <w:r w:rsidR="00897793">
        <w:rPr>
          <w:rFonts w:cs="Times New Roman" w:hint="eastAsia"/>
          <w:lang w:eastAsia="zh-CN"/>
        </w:rPr>
        <w:t>基于</w:t>
      </w:r>
      <w:r w:rsidR="00897793" w:rsidRPr="009E464F">
        <w:rPr>
          <w:rFonts w:cs="Times New Roman"/>
          <w:lang w:eastAsia="zh-CN"/>
        </w:rPr>
        <w:t>临床合并用药的</w:t>
      </w:r>
      <w:r w:rsidR="00897793">
        <w:rPr>
          <w:rFonts w:cs="Times New Roman" w:hint="eastAsia"/>
          <w:lang w:eastAsia="zh-CN"/>
        </w:rPr>
        <w:t>DDI</w:t>
      </w:r>
      <w:r w:rsidR="00897793" w:rsidRPr="009E464F">
        <w:rPr>
          <w:rFonts w:cs="Times New Roman"/>
          <w:lang w:eastAsia="zh-CN"/>
        </w:rPr>
        <w:t>研究</w:t>
      </w:r>
      <w:bookmarkEnd w:id="27"/>
      <w:bookmarkEnd w:id="28"/>
      <w:r w:rsidR="00897793" w:rsidRPr="009E464F">
        <w:rPr>
          <w:rFonts w:cs="Times New Roman"/>
          <w:lang w:eastAsia="zh-CN"/>
        </w:rPr>
        <w:t>（临床合并用药研究）</w:t>
      </w:r>
    </w:p>
    <w:p w14:paraId="56458E77" w14:textId="77777777" w:rsidR="00897793" w:rsidRPr="009E464F" w:rsidRDefault="00897793" w:rsidP="00593FAB">
      <w:pPr>
        <w:spacing w:after="0"/>
        <w:ind w:firstLine="640"/>
        <w:rPr>
          <w:rFonts w:cs="Times New Roman"/>
          <w:lang w:eastAsia="zh-CN"/>
        </w:rPr>
      </w:pPr>
      <w:r w:rsidRPr="009E464F">
        <w:rPr>
          <w:rFonts w:cs="Times New Roman"/>
          <w:lang w:eastAsia="zh-CN"/>
        </w:rPr>
        <w:t>对于并非常见代谢酶或转运体</w:t>
      </w:r>
      <w:proofErr w:type="gramStart"/>
      <w:r w:rsidRPr="009E464F">
        <w:rPr>
          <w:rFonts w:cs="Times New Roman"/>
          <w:lang w:eastAsia="zh-CN"/>
        </w:rPr>
        <w:t>介</w:t>
      </w:r>
      <w:proofErr w:type="gramEnd"/>
      <w:r w:rsidRPr="009E464F">
        <w:rPr>
          <w:rFonts w:cs="Times New Roman"/>
          <w:lang w:eastAsia="zh-CN"/>
        </w:rPr>
        <w:t>导，但在临床治疗时</w:t>
      </w:r>
      <w:r>
        <w:rPr>
          <w:rFonts w:cs="Times New Roman" w:hint="eastAsia"/>
          <w:lang w:eastAsia="zh-CN"/>
        </w:rPr>
        <w:t>常常</w:t>
      </w:r>
      <w:r w:rsidRPr="009E464F">
        <w:rPr>
          <w:rFonts w:cs="Times New Roman"/>
          <w:lang w:eastAsia="zh-CN"/>
        </w:rPr>
        <w:t>需要联合使用的药物（如与治疗糖尿病的二甲双</w:t>
      </w:r>
      <w:proofErr w:type="gramStart"/>
      <w:r w:rsidRPr="009E464F">
        <w:rPr>
          <w:rFonts w:cs="Times New Roman"/>
          <w:lang w:eastAsia="zh-CN"/>
        </w:rPr>
        <w:t>胍</w:t>
      </w:r>
      <w:proofErr w:type="gramEnd"/>
      <w:r w:rsidRPr="009E464F">
        <w:rPr>
          <w:rFonts w:cs="Times New Roman"/>
          <w:lang w:eastAsia="zh-CN"/>
        </w:rPr>
        <w:t>），申请人也需要评价该药物与</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药物的药代动力学及可能的药效动力学甚至安全性的相互影响。该研究将会支持</w:t>
      </w:r>
      <w:r>
        <w:rPr>
          <w:rFonts w:cs="Times New Roman" w:hint="eastAsia"/>
          <w:lang w:eastAsia="zh-CN"/>
        </w:rPr>
        <w:t>后</w:t>
      </w:r>
      <w:r w:rsidRPr="009E464F">
        <w:rPr>
          <w:rFonts w:cs="Times New Roman"/>
          <w:lang w:eastAsia="zh-CN"/>
        </w:rPr>
        <w:t>期临床试验中合并用药的给药方案设计和临床治疗实践中合并用药给药方案的制定。</w:t>
      </w:r>
    </w:p>
    <w:p w14:paraId="457740E0" w14:textId="163EEA0B" w:rsidR="00897793" w:rsidRPr="009E464F" w:rsidRDefault="00703979" w:rsidP="00593FAB">
      <w:pPr>
        <w:spacing w:after="0"/>
        <w:ind w:firstLine="640"/>
        <w:rPr>
          <w:rFonts w:cs="Times New Roman"/>
          <w:lang w:eastAsia="zh-CN"/>
        </w:rPr>
      </w:pPr>
      <w:bookmarkStart w:id="29" w:name="_Toc48747218"/>
      <w:bookmarkStart w:id="30" w:name="_Toc48799367"/>
      <w:r>
        <w:rPr>
          <w:rFonts w:cs="Times New Roman"/>
          <w:lang w:eastAsia="zh-CN"/>
        </w:rPr>
        <w:t>4.</w:t>
      </w:r>
      <w:r w:rsidR="00897793">
        <w:rPr>
          <w:rFonts w:cs="Times New Roman" w:hint="eastAsia"/>
          <w:lang w:eastAsia="zh-CN"/>
        </w:rPr>
        <w:t>基于</w:t>
      </w:r>
      <w:r w:rsidR="00897793" w:rsidRPr="009E464F">
        <w:rPr>
          <w:rFonts w:cs="Times New Roman"/>
          <w:lang w:eastAsia="zh-CN"/>
        </w:rPr>
        <w:t>模型</w:t>
      </w:r>
      <w:r w:rsidR="00897793">
        <w:rPr>
          <w:rFonts w:cs="Times New Roman" w:hint="eastAsia"/>
          <w:lang w:eastAsia="zh-CN"/>
        </w:rPr>
        <w:t>的</w:t>
      </w:r>
      <w:r w:rsidR="00897793">
        <w:rPr>
          <w:rFonts w:cs="Times New Roman" w:hint="eastAsia"/>
          <w:lang w:eastAsia="zh-CN"/>
        </w:rPr>
        <w:t>DDI</w:t>
      </w:r>
      <w:r w:rsidR="00897793" w:rsidRPr="009E464F">
        <w:rPr>
          <w:rFonts w:cs="Times New Roman"/>
          <w:lang w:eastAsia="zh-CN"/>
        </w:rPr>
        <w:t>研究</w:t>
      </w:r>
      <w:bookmarkEnd w:id="29"/>
      <w:bookmarkEnd w:id="30"/>
    </w:p>
    <w:p w14:paraId="0B009C75" w14:textId="77777777" w:rsidR="00897793" w:rsidRPr="009E464F" w:rsidRDefault="00897793" w:rsidP="00593FAB">
      <w:pPr>
        <w:spacing w:after="0"/>
        <w:ind w:firstLine="640"/>
        <w:rPr>
          <w:rFonts w:cs="Times New Roman"/>
          <w:lang w:eastAsia="zh-CN"/>
        </w:rPr>
      </w:pPr>
      <w:r>
        <w:rPr>
          <w:rFonts w:cs="Times New Roman" w:hint="eastAsia"/>
          <w:lang w:eastAsia="zh-CN"/>
        </w:rPr>
        <w:lastRenderedPageBreak/>
        <w:t>基于</w:t>
      </w:r>
      <w:r w:rsidRPr="009E464F">
        <w:rPr>
          <w:rFonts w:cs="Times New Roman"/>
          <w:lang w:eastAsia="zh-CN"/>
        </w:rPr>
        <w:t>模型</w:t>
      </w:r>
      <w:r>
        <w:rPr>
          <w:rFonts w:cs="Times New Roman" w:hint="eastAsia"/>
          <w:lang w:eastAsia="zh-CN"/>
        </w:rPr>
        <w:t>的</w:t>
      </w:r>
      <w:r>
        <w:rPr>
          <w:rFonts w:cs="Times New Roman" w:hint="eastAsia"/>
          <w:lang w:eastAsia="zh-CN"/>
        </w:rPr>
        <w:t>DDI</w:t>
      </w:r>
      <w:r w:rsidRPr="009E464F">
        <w:rPr>
          <w:rFonts w:cs="Times New Roman"/>
          <w:lang w:eastAsia="zh-CN"/>
        </w:rPr>
        <w:t>临床试验是通过使用建模与模拟技术和软件，如生理药动学模型（</w:t>
      </w:r>
      <w:r w:rsidRPr="009E464F">
        <w:rPr>
          <w:rFonts w:cs="Times New Roman"/>
          <w:lang w:eastAsia="zh-CN"/>
        </w:rPr>
        <w:t>PBPK</w:t>
      </w:r>
      <w:r w:rsidRPr="009E464F">
        <w:rPr>
          <w:rFonts w:cs="Times New Roman"/>
          <w:lang w:eastAsia="zh-CN"/>
        </w:rPr>
        <w:t>），整合系统特异参数和药物特异参数</w:t>
      </w:r>
      <w:r>
        <w:rPr>
          <w:rFonts w:cs="Times New Roman" w:hint="eastAsia"/>
          <w:lang w:eastAsia="zh-CN"/>
        </w:rPr>
        <w:t>来</w:t>
      </w:r>
      <w:r w:rsidRPr="009E464F">
        <w:rPr>
          <w:rFonts w:cs="Times New Roman"/>
          <w:lang w:eastAsia="zh-CN"/>
        </w:rPr>
        <w:t>前瞻性地预测可能的药物相互作用</w:t>
      </w:r>
      <w:r>
        <w:rPr>
          <w:rFonts w:cs="Times New Roman" w:hint="eastAsia"/>
          <w:lang w:eastAsia="zh-CN"/>
        </w:rPr>
        <w:t>。例如，</w:t>
      </w:r>
      <w:r w:rsidRPr="009E464F">
        <w:rPr>
          <w:rFonts w:cs="Times New Roman"/>
          <w:lang w:eastAsia="zh-CN"/>
        </w:rPr>
        <w:t>预测中等或弱抑制剂</w:t>
      </w:r>
      <w:r w:rsidRPr="009E464F">
        <w:rPr>
          <w:rFonts w:cs="Times New Roman"/>
          <w:lang w:eastAsia="zh-CN"/>
        </w:rPr>
        <w:t>/</w:t>
      </w:r>
      <w:r w:rsidRPr="009E464F">
        <w:rPr>
          <w:rFonts w:cs="Times New Roman"/>
          <w:lang w:eastAsia="zh-CN"/>
        </w:rPr>
        <w:t>诱导剂对</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药物的影响（一般在强抑制剂或诱导剂可显著影响</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药物后进行）。申请人需要先用强抑制剂</w:t>
      </w:r>
      <w:r w:rsidRPr="009E464F">
        <w:rPr>
          <w:rFonts w:cs="Times New Roman"/>
          <w:lang w:eastAsia="zh-CN"/>
        </w:rPr>
        <w:t>/</w:t>
      </w:r>
      <w:r w:rsidRPr="009E464F">
        <w:rPr>
          <w:rFonts w:cs="Times New Roman"/>
          <w:lang w:eastAsia="zh-CN"/>
        </w:rPr>
        <w:t>诱导剂的临床</w:t>
      </w:r>
      <w:r w:rsidRPr="009E464F">
        <w:rPr>
          <w:rFonts w:cs="Times New Roman"/>
          <w:lang w:eastAsia="zh-CN"/>
        </w:rPr>
        <w:t>DDI</w:t>
      </w:r>
      <w:r w:rsidRPr="009E464F">
        <w:rPr>
          <w:rFonts w:cs="Times New Roman"/>
          <w:lang w:eastAsia="zh-CN"/>
        </w:rPr>
        <w:t>药代动力学数据充分验证该</w:t>
      </w:r>
      <w:r w:rsidRPr="009E464F">
        <w:rPr>
          <w:rFonts w:cs="Times New Roman"/>
          <w:lang w:eastAsia="zh-CN"/>
        </w:rPr>
        <w:t>PBPK</w:t>
      </w:r>
      <w:r w:rsidRPr="009E464F">
        <w:rPr>
          <w:rFonts w:cs="Times New Roman"/>
          <w:lang w:eastAsia="zh-CN"/>
        </w:rPr>
        <w:t>模型，然后再用验证后的</w:t>
      </w:r>
      <w:r w:rsidRPr="009E464F">
        <w:rPr>
          <w:rFonts w:cs="Times New Roman"/>
          <w:lang w:eastAsia="zh-CN"/>
        </w:rPr>
        <w:t>PBPK</w:t>
      </w:r>
      <w:r w:rsidRPr="009E464F">
        <w:rPr>
          <w:rFonts w:cs="Times New Roman"/>
          <w:lang w:eastAsia="zh-CN"/>
        </w:rPr>
        <w:t>模型预测中等或弱抑制剂</w:t>
      </w:r>
      <w:r w:rsidRPr="009E464F">
        <w:rPr>
          <w:rFonts w:cs="Times New Roman"/>
          <w:lang w:eastAsia="zh-CN"/>
        </w:rPr>
        <w:t>/</w:t>
      </w:r>
      <w:r w:rsidRPr="009E464F">
        <w:rPr>
          <w:rFonts w:cs="Times New Roman"/>
          <w:lang w:eastAsia="zh-CN"/>
        </w:rPr>
        <w:t>诱导剂的影响。本</w:t>
      </w:r>
      <w:r>
        <w:rPr>
          <w:rFonts w:cs="Times New Roman"/>
          <w:lang w:eastAsia="zh-CN"/>
        </w:rPr>
        <w:t>指导原则</w:t>
      </w:r>
      <w:r w:rsidRPr="009E464F">
        <w:rPr>
          <w:rFonts w:cs="Times New Roman"/>
          <w:lang w:eastAsia="zh-CN"/>
        </w:rPr>
        <w:t>鼓励申请人与</w:t>
      </w:r>
      <w:r>
        <w:rPr>
          <w:rFonts w:cs="Times New Roman" w:hint="eastAsia"/>
          <w:lang w:eastAsia="zh-CN"/>
        </w:rPr>
        <w:t>监管</w:t>
      </w:r>
      <w:r w:rsidRPr="009E464F">
        <w:rPr>
          <w:rFonts w:cs="Times New Roman"/>
          <w:lang w:eastAsia="zh-CN"/>
        </w:rPr>
        <w:t>部门讨论使用</w:t>
      </w:r>
      <w:r w:rsidRPr="009E464F">
        <w:rPr>
          <w:rFonts w:cs="Times New Roman"/>
          <w:lang w:eastAsia="zh-CN"/>
        </w:rPr>
        <w:t>PBPK</w:t>
      </w:r>
      <w:r w:rsidRPr="009E464F">
        <w:rPr>
          <w:rFonts w:cs="Times New Roman"/>
          <w:lang w:eastAsia="zh-CN"/>
        </w:rPr>
        <w:t>模型进行预测的可行性以及其应用范围和程度。</w:t>
      </w:r>
    </w:p>
    <w:p w14:paraId="317EE821" w14:textId="73E46C49" w:rsidR="00897793" w:rsidRPr="00703979" w:rsidRDefault="00897793" w:rsidP="00703979">
      <w:pPr>
        <w:widowControl w:val="0"/>
        <w:autoSpaceDE w:val="0"/>
        <w:autoSpaceDN w:val="0"/>
        <w:adjustRightInd w:val="0"/>
        <w:spacing w:after="0"/>
        <w:ind w:firstLine="640"/>
        <w:rPr>
          <w:rFonts w:eastAsia="楷体" w:cs="Times New Roman"/>
          <w:color w:val="000000"/>
          <w:szCs w:val="32"/>
          <w:lang w:eastAsia="zh-CN"/>
        </w:rPr>
      </w:pPr>
      <w:bookmarkStart w:id="31" w:name="_Toc48747219"/>
      <w:bookmarkStart w:id="32" w:name="_Toc48799368"/>
      <w:bookmarkStart w:id="33" w:name="_Toc50395972"/>
      <w:r w:rsidRPr="00703979">
        <w:rPr>
          <w:rFonts w:eastAsia="楷体" w:cs="Times New Roman"/>
          <w:color w:val="000000"/>
          <w:szCs w:val="32"/>
          <w:lang w:eastAsia="zh-CN"/>
        </w:rPr>
        <w:t>（二）前瞻性</w:t>
      </w:r>
      <w:r w:rsidR="00232722" w:rsidRPr="00703979">
        <w:rPr>
          <w:rFonts w:eastAsia="楷体" w:cs="Times New Roman"/>
          <w:color w:val="000000"/>
          <w:szCs w:val="32"/>
          <w:lang w:eastAsia="zh-CN"/>
        </w:rPr>
        <w:t>临床</w:t>
      </w:r>
      <w:r w:rsidRPr="00703979">
        <w:rPr>
          <w:rFonts w:eastAsia="楷体" w:cs="Times New Roman"/>
          <w:color w:val="000000"/>
          <w:szCs w:val="32"/>
          <w:lang w:eastAsia="zh-CN"/>
        </w:rPr>
        <w:t>药物相互作用研究</w:t>
      </w:r>
      <w:bookmarkEnd w:id="31"/>
      <w:bookmarkEnd w:id="32"/>
      <w:bookmarkEnd w:id="33"/>
    </w:p>
    <w:p w14:paraId="6C9C1998" w14:textId="23DF0843" w:rsidR="00897793" w:rsidRPr="009E464F" w:rsidRDefault="00703979" w:rsidP="00593FAB">
      <w:pPr>
        <w:spacing w:after="0"/>
        <w:ind w:firstLine="640"/>
        <w:rPr>
          <w:rFonts w:cs="Times New Roman"/>
          <w:lang w:eastAsia="zh-CN"/>
        </w:rPr>
      </w:pPr>
      <w:bookmarkStart w:id="34" w:name="_Toc48747220"/>
      <w:bookmarkStart w:id="35" w:name="_Toc48799369"/>
      <w:r>
        <w:rPr>
          <w:rFonts w:cs="Times New Roman"/>
          <w:lang w:eastAsia="zh-CN"/>
        </w:rPr>
        <w:t>1.</w:t>
      </w:r>
      <w:r w:rsidR="00897793" w:rsidRPr="009E464F">
        <w:rPr>
          <w:rFonts w:cs="Times New Roman"/>
          <w:lang w:eastAsia="zh-CN"/>
        </w:rPr>
        <w:t>研究一般考虑</w:t>
      </w:r>
      <w:bookmarkEnd w:id="34"/>
      <w:bookmarkEnd w:id="35"/>
    </w:p>
    <w:p w14:paraId="3B8ED3BB" w14:textId="77777777" w:rsidR="00897793" w:rsidRPr="009E464F" w:rsidRDefault="00897793" w:rsidP="00593FAB">
      <w:pPr>
        <w:spacing w:after="0"/>
        <w:ind w:firstLine="640"/>
        <w:rPr>
          <w:rFonts w:cs="Times New Roman"/>
          <w:lang w:eastAsia="zh-CN"/>
        </w:rPr>
      </w:pPr>
      <w:r w:rsidRPr="00F8304D">
        <w:rPr>
          <w:rFonts w:cs="Times New Roman" w:hint="eastAsia"/>
          <w:lang w:eastAsia="zh-CN"/>
        </w:rPr>
        <w:t>前瞻性</w:t>
      </w:r>
      <w:r w:rsidRPr="00F8304D">
        <w:rPr>
          <w:rFonts w:cs="Times New Roman" w:hint="eastAsia"/>
          <w:lang w:eastAsia="zh-CN"/>
        </w:rPr>
        <w:t>DDI</w:t>
      </w:r>
      <w:r w:rsidRPr="00F8304D">
        <w:rPr>
          <w:rFonts w:cs="Times New Roman" w:hint="eastAsia"/>
          <w:lang w:eastAsia="zh-CN"/>
        </w:rPr>
        <w:t>研究通常是独立研究</w:t>
      </w:r>
      <w:r>
        <w:rPr>
          <w:rFonts w:cs="Times New Roman" w:hint="eastAsia"/>
          <w:lang w:eastAsia="zh-CN"/>
        </w:rPr>
        <w:t>，</w:t>
      </w:r>
      <w:r w:rsidRPr="009E464F">
        <w:rPr>
          <w:rFonts w:cs="Times New Roman"/>
          <w:lang w:eastAsia="zh-CN"/>
        </w:rPr>
        <w:t>可用于指针药物或临床常见合并用药</w:t>
      </w:r>
      <w:r w:rsidRPr="009E464F">
        <w:rPr>
          <w:rFonts w:cs="Times New Roman" w:hint="eastAsia"/>
          <w:lang w:eastAsia="zh-CN"/>
        </w:rPr>
        <w:t>品种</w:t>
      </w:r>
      <w:r w:rsidRPr="009E464F">
        <w:rPr>
          <w:rFonts w:cs="Times New Roman"/>
          <w:lang w:eastAsia="zh-CN"/>
        </w:rPr>
        <w:t>的相互作用研究，其临床试验应基于相互作用的可能机制（时间依赖的</w:t>
      </w:r>
      <w:r w:rsidRPr="009E464F">
        <w:rPr>
          <w:rFonts w:cs="Times New Roman"/>
          <w:lang w:eastAsia="zh-CN"/>
        </w:rPr>
        <w:t>DDI</w:t>
      </w:r>
      <w:r w:rsidRPr="009E464F">
        <w:rPr>
          <w:rFonts w:cs="Times New Roman"/>
          <w:lang w:eastAsia="zh-CN"/>
        </w:rPr>
        <w:t>）或临床合用药物情况选择正确的指针药物或特定药物，同时应基于相互作用特征（包括相互作用</w:t>
      </w:r>
      <w:r>
        <w:rPr>
          <w:rFonts w:cs="Times New Roman" w:hint="eastAsia"/>
          <w:lang w:eastAsia="zh-CN"/>
        </w:rPr>
        <w:t>程度</w:t>
      </w:r>
      <w:r w:rsidRPr="009E464F">
        <w:rPr>
          <w:rFonts w:cs="Times New Roman"/>
          <w:lang w:eastAsia="zh-CN"/>
        </w:rPr>
        <w:t>、达到最大相互作用的连续给药时长、相互作用的持续时间）、底物和促变药的药代动力学</w:t>
      </w:r>
      <w:r w:rsidRPr="009E464F">
        <w:rPr>
          <w:rFonts w:cs="Times New Roman"/>
          <w:lang w:eastAsia="zh-CN"/>
        </w:rPr>
        <w:t>/</w:t>
      </w:r>
      <w:r w:rsidRPr="009E464F">
        <w:rPr>
          <w:rFonts w:cs="Times New Roman"/>
          <w:lang w:eastAsia="zh-CN"/>
        </w:rPr>
        <w:t>药效动力学</w:t>
      </w:r>
      <w:r w:rsidRPr="009E464F">
        <w:rPr>
          <w:rFonts w:cs="Times New Roman"/>
          <w:lang w:eastAsia="zh-CN"/>
        </w:rPr>
        <w:t>/</w:t>
      </w:r>
      <w:r w:rsidRPr="009E464F">
        <w:rPr>
          <w:rFonts w:cs="Times New Roman"/>
          <w:lang w:eastAsia="zh-CN"/>
        </w:rPr>
        <w:t>安全性特征进行设计，选择最灵敏的研究方式进行临床</w:t>
      </w:r>
      <w:r w:rsidRPr="009E464F">
        <w:rPr>
          <w:rFonts w:cs="Times New Roman"/>
          <w:lang w:eastAsia="zh-CN"/>
        </w:rPr>
        <w:t>DDI</w:t>
      </w:r>
      <w:r w:rsidRPr="009E464F">
        <w:rPr>
          <w:rFonts w:cs="Times New Roman"/>
          <w:lang w:eastAsia="zh-CN"/>
        </w:rPr>
        <w:t>评价，以在安全的前提下尽可能观察到最大程度药物相互作用，为临床安全用药提供科学</w:t>
      </w:r>
      <w:r>
        <w:rPr>
          <w:rFonts w:cs="Times New Roman" w:hint="eastAsia"/>
          <w:lang w:eastAsia="zh-CN"/>
        </w:rPr>
        <w:t>依据</w:t>
      </w:r>
      <w:r w:rsidRPr="009E464F">
        <w:rPr>
          <w:rFonts w:cs="Times New Roman"/>
          <w:lang w:eastAsia="zh-CN"/>
        </w:rPr>
        <w:t>。同时，</w:t>
      </w:r>
      <w:r w:rsidRPr="009E464F">
        <w:rPr>
          <w:rFonts w:cs="Times New Roman"/>
          <w:lang w:eastAsia="zh-CN"/>
        </w:rPr>
        <w:t>DDI</w:t>
      </w:r>
      <w:r w:rsidRPr="009E464F">
        <w:rPr>
          <w:rFonts w:cs="Times New Roman"/>
          <w:lang w:eastAsia="zh-CN"/>
        </w:rPr>
        <w:t>临床研究还应该考虑底物的安全性是否与药代动力学暴露相关，以及评价抑制或诱导</w:t>
      </w:r>
      <w:r w:rsidRPr="009E464F">
        <w:rPr>
          <w:rFonts w:cs="Times New Roman"/>
          <w:lang w:eastAsia="zh-CN"/>
        </w:rPr>
        <w:lastRenderedPageBreak/>
        <w:t>作用的可行性。</w:t>
      </w:r>
      <w:r w:rsidRPr="009E464F">
        <w:rPr>
          <w:rFonts w:cs="Times New Roman"/>
          <w:lang w:eastAsia="zh-CN"/>
        </w:rPr>
        <w:t>DDI</w:t>
      </w:r>
      <w:r w:rsidRPr="009E464F">
        <w:rPr>
          <w:rFonts w:cs="Times New Roman"/>
          <w:lang w:eastAsia="zh-CN"/>
        </w:rPr>
        <w:t>临床研究一般被用于确定底物与促变药合用或单用时底物</w:t>
      </w:r>
      <w:r>
        <w:rPr>
          <w:rFonts w:cs="Times New Roman" w:hint="eastAsia"/>
          <w:lang w:eastAsia="zh-CN"/>
        </w:rPr>
        <w:t>在体内</w:t>
      </w:r>
      <w:r w:rsidRPr="009E464F">
        <w:rPr>
          <w:rFonts w:cs="Times New Roman"/>
          <w:lang w:eastAsia="zh-CN"/>
        </w:rPr>
        <w:t>暴露量（如</w:t>
      </w:r>
      <w:r w:rsidRPr="009E464F">
        <w:rPr>
          <w:rFonts w:cs="Times New Roman"/>
          <w:lang w:eastAsia="zh-CN"/>
        </w:rPr>
        <w:t>AUC</w:t>
      </w:r>
      <w:r w:rsidRPr="009E464F">
        <w:rPr>
          <w:rFonts w:cs="Times New Roman"/>
          <w:lang w:eastAsia="zh-CN"/>
        </w:rPr>
        <w:t>）的比值，为了准确评价该比值，临床试验设计时应考虑如下因素。</w:t>
      </w:r>
    </w:p>
    <w:p w14:paraId="715D7BFB" w14:textId="77777777" w:rsidR="00897793" w:rsidRPr="009E464F" w:rsidRDefault="00897793"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1</w:t>
      </w:r>
      <w:r w:rsidRPr="009E464F">
        <w:rPr>
          <w:rFonts w:cs="Times New Roman"/>
          <w:lang w:eastAsia="zh-CN"/>
        </w:rPr>
        <w:t>）研究人群选择及样本量确定</w:t>
      </w:r>
    </w:p>
    <w:p w14:paraId="2A6A3E3A" w14:textId="77777777" w:rsidR="00897793" w:rsidRPr="009E464F" w:rsidRDefault="00897793" w:rsidP="00593FAB">
      <w:pPr>
        <w:spacing w:after="0"/>
        <w:ind w:firstLine="640"/>
        <w:rPr>
          <w:rFonts w:cs="Times New Roman"/>
          <w:lang w:eastAsia="zh-CN"/>
        </w:rPr>
      </w:pPr>
      <w:r w:rsidRPr="009E464F">
        <w:rPr>
          <w:rFonts w:cs="Times New Roman"/>
          <w:lang w:eastAsia="zh-CN"/>
        </w:rPr>
        <w:t>如果健康受试者研究结果可以外推患者人群中药物相互作用特征，那么</w:t>
      </w:r>
      <w:r w:rsidRPr="009E464F">
        <w:rPr>
          <w:rFonts w:cs="Times New Roman"/>
          <w:lang w:eastAsia="zh-CN"/>
        </w:rPr>
        <w:t>DDI</w:t>
      </w:r>
      <w:r w:rsidRPr="009E464F">
        <w:rPr>
          <w:rFonts w:cs="Times New Roman"/>
          <w:lang w:eastAsia="zh-CN"/>
        </w:rPr>
        <w:t>临床研究应尽可能在健康成人中进行，某些情况下（如安全性原因或药效动力学研究目的）也可在患者中进行。</w:t>
      </w:r>
    </w:p>
    <w:p w14:paraId="48E1FC3B" w14:textId="77777777" w:rsidR="00897793" w:rsidRPr="009E464F" w:rsidRDefault="00897793" w:rsidP="00593FAB">
      <w:pPr>
        <w:spacing w:after="0"/>
        <w:ind w:firstLine="640"/>
        <w:rPr>
          <w:rFonts w:cs="Times New Roman"/>
          <w:lang w:eastAsia="zh-CN"/>
        </w:rPr>
      </w:pPr>
      <w:r w:rsidRPr="009E464F">
        <w:rPr>
          <w:rFonts w:cs="Times New Roman"/>
          <w:lang w:eastAsia="zh-CN"/>
        </w:rPr>
        <w:t>一般情况下，相互作用研究的受试者样本量应能准确评价相互作用的程度和变异，</w:t>
      </w:r>
      <w:r>
        <w:rPr>
          <w:rFonts w:cs="Times New Roman" w:hint="eastAsia"/>
          <w:lang w:eastAsia="zh-CN"/>
        </w:rPr>
        <w:t>同时</w:t>
      </w:r>
      <w:r w:rsidRPr="009E464F">
        <w:rPr>
          <w:rFonts w:cs="Times New Roman"/>
          <w:lang w:eastAsia="zh-CN"/>
        </w:rPr>
        <w:t>应考虑受试者</w:t>
      </w:r>
      <w:proofErr w:type="gramStart"/>
      <w:r w:rsidRPr="009E464F">
        <w:rPr>
          <w:rFonts w:cs="Times New Roman"/>
          <w:lang w:eastAsia="zh-CN"/>
        </w:rPr>
        <w:t>个</w:t>
      </w:r>
      <w:proofErr w:type="gramEnd"/>
      <w:r w:rsidRPr="009E464F">
        <w:rPr>
          <w:rFonts w:cs="Times New Roman"/>
          <w:lang w:eastAsia="zh-CN"/>
        </w:rPr>
        <w:t>体内变异（平行设计时也要考虑个体间变异）。在相互作用程度的范围尤其重要、潜在的异常值对于</w:t>
      </w:r>
      <w:r>
        <w:rPr>
          <w:rFonts w:cs="Times New Roman" w:hint="eastAsia"/>
          <w:lang w:eastAsia="zh-CN"/>
        </w:rPr>
        <w:t>临床</w:t>
      </w:r>
      <w:r w:rsidRPr="009E464F">
        <w:rPr>
          <w:rFonts w:cs="Times New Roman"/>
          <w:lang w:eastAsia="zh-CN"/>
        </w:rPr>
        <w:t>治疗有重大意义等某些特殊情况下，应纳入更多的受试者。</w:t>
      </w:r>
    </w:p>
    <w:p w14:paraId="20963003" w14:textId="77777777" w:rsidR="00897793" w:rsidRPr="009E464F" w:rsidRDefault="00897793"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2</w:t>
      </w:r>
      <w:r w:rsidRPr="009E464F">
        <w:rPr>
          <w:rFonts w:cs="Times New Roman"/>
          <w:lang w:eastAsia="zh-CN"/>
        </w:rPr>
        <w:t>）平行或交叉试验设计</w:t>
      </w:r>
    </w:p>
    <w:p w14:paraId="3CBCAEFE" w14:textId="77777777" w:rsidR="00897793" w:rsidRPr="009E464F" w:rsidRDefault="00897793" w:rsidP="00593FAB">
      <w:pPr>
        <w:spacing w:after="0"/>
        <w:ind w:firstLine="640"/>
        <w:rPr>
          <w:rFonts w:cs="Times New Roman"/>
          <w:lang w:eastAsia="zh-CN"/>
        </w:rPr>
      </w:pPr>
      <w:r w:rsidRPr="009E464F">
        <w:rPr>
          <w:rFonts w:cs="Times New Roman"/>
          <w:lang w:eastAsia="zh-CN"/>
        </w:rPr>
        <w:t>DDI</w:t>
      </w:r>
      <w:r w:rsidRPr="009E464F">
        <w:rPr>
          <w:rFonts w:cs="Times New Roman"/>
          <w:lang w:eastAsia="zh-CN"/>
        </w:rPr>
        <w:t>临床试验通常采用随机交叉试验（或顺序试验）设计，并依据底物和促变药单独给药时的药代动力学半衰期、合并用药</w:t>
      </w:r>
      <w:r>
        <w:rPr>
          <w:rFonts w:cs="Times New Roman" w:hint="eastAsia"/>
          <w:lang w:eastAsia="zh-CN"/>
        </w:rPr>
        <w:t>时</w:t>
      </w:r>
      <w:r w:rsidRPr="009E464F">
        <w:rPr>
          <w:rFonts w:cs="Times New Roman"/>
          <w:lang w:eastAsia="zh-CN"/>
        </w:rPr>
        <w:t>底物药代动力学半衰期以及代谢酶或转运体活性恢复至基线水平的时间设定清洗期。一般为双周期交叉试验设计，特殊情况下（如评价酶抑制剂给药后酶活性水平恢复至基线水平的时长或</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药物同时为底物和促变药时），申请人也可考虑三周期交叉试验设计。在交叉试验不可行时，可采用平行试验设</w:t>
      </w:r>
      <w:r w:rsidRPr="009E464F">
        <w:rPr>
          <w:rFonts w:cs="Times New Roman"/>
          <w:lang w:eastAsia="zh-CN"/>
        </w:rPr>
        <w:lastRenderedPageBreak/>
        <w:t>计进行</w:t>
      </w:r>
      <w:r w:rsidRPr="009E464F">
        <w:rPr>
          <w:rFonts w:cs="Times New Roman"/>
          <w:lang w:eastAsia="zh-CN"/>
        </w:rPr>
        <w:t>DDI</w:t>
      </w:r>
      <w:r w:rsidRPr="009E464F">
        <w:rPr>
          <w:rFonts w:cs="Times New Roman"/>
          <w:lang w:eastAsia="zh-CN"/>
        </w:rPr>
        <w:t>临床研究，此时应平衡影响</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药物药代动力学特征的内部及外部因素。</w:t>
      </w:r>
    </w:p>
    <w:p w14:paraId="2D922030" w14:textId="77777777" w:rsidR="00897793" w:rsidRPr="009E464F" w:rsidRDefault="00897793"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3</w:t>
      </w:r>
      <w:r w:rsidRPr="009E464F">
        <w:rPr>
          <w:rFonts w:cs="Times New Roman"/>
          <w:lang w:eastAsia="zh-CN"/>
        </w:rPr>
        <w:t>）给药方案</w:t>
      </w:r>
    </w:p>
    <w:p w14:paraId="59E9AA14" w14:textId="77777777" w:rsidR="00897793" w:rsidRPr="009E464F" w:rsidRDefault="00897793" w:rsidP="00593FAB">
      <w:pPr>
        <w:spacing w:after="0"/>
        <w:ind w:firstLineChars="300" w:firstLine="960"/>
        <w:rPr>
          <w:rFonts w:cs="Times New Roman"/>
          <w:lang w:eastAsia="zh-CN"/>
        </w:rPr>
      </w:pPr>
      <w:r w:rsidRPr="009E464F">
        <w:rPr>
          <w:rFonts w:cs="Times New Roman"/>
          <w:lang w:eastAsia="zh-CN"/>
        </w:rPr>
        <w:t>1</w:t>
      </w:r>
      <w:r w:rsidRPr="009E464F">
        <w:rPr>
          <w:rFonts w:cs="Times New Roman"/>
          <w:lang w:eastAsia="zh-CN"/>
        </w:rPr>
        <w:t>）剂量</w:t>
      </w:r>
    </w:p>
    <w:p w14:paraId="742E9688" w14:textId="77777777" w:rsidR="00897793" w:rsidRPr="009E464F" w:rsidRDefault="00897793" w:rsidP="00593FAB">
      <w:pPr>
        <w:spacing w:after="0"/>
        <w:ind w:firstLine="640"/>
        <w:rPr>
          <w:rFonts w:cs="Times New Roman"/>
          <w:lang w:eastAsia="zh-CN"/>
        </w:rPr>
      </w:pPr>
      <w:r w:rsidRPr="009E464F">
        <w:rPr>
          <w:rFonts w:cs="Times New Roman"/>
          <w:lang w:eastAsia="zh-CN"/>
        </w:rPr>
        <w:t>DDI</w:t>
      </w:r>
      <w:r w:rsidRPr="009E464F">
        <w:rPr>
          <w:rFonts w:cs="Times New Roman"/>
          <w:lang w:eastAsia="zh-CN"/>
        </w:rPr>
        <w:t>临床试验中促变药应在安全的前提下选择可观察到最大相互作用的剂量（暴露量接近其临床推荐使用的最高剂量）进行研究，如使用临床推荐给药方案中的最大剂量和最短的给药间隔。</w:t>
      </w:r>
    </w:p>
    <w:p w14:paraId="3A51D45F" w14:textId="77777777" w:rsidR="00897793" w:rsidRPr="009E464F" w:rsidRDefault="00897793" w:rsidP="00593FAB">
      <w:pPr>
        <w:spacing w:after="0"/>
        <w:ind w:firstLine="640"/>
        <w:rPr>
          <w:rFonts w:cs="Times New Roman"/>
          <w:lang w:eastAsia="zh-CN"/>
        </w:rPr>
      </w:pPr>
      <w:r w:rsidRPr="009E464F">
        <w:rPr>
          <w:rFonts w:cs="Times New Roman"/>
          <w:lang w:eastAsia="zh-CN"/>
        </w:rPr>
        <w:t>如果底物药物呈现线性药代动力学特征，则申请人可选择线性范围内的任一剂量进行研究，否则应选择最能观察到</w:t>
      </w:r>
      <w:r w:rsidRPr="009E464F">
        <w:rPr>
          <w:rFonts w:cs="Times New Roman"/>
          <w:lang w:eastAsia="zh-CN"/>
        </w:rPr>
        <w:t>DDI</w:t>
      </w:r>
      <w:r w:rsidRPr="009E464F">
        <w:rPr>
          <w:rFonts w:cs="Times New Roman"/>
          <w:lang w:eastAsia="zh-CN"/>
        </w:rPr>
        <w:t>的治疗剂量</w:t>
      </w:r>
      <w:r>
        <w:rPr>
          <w:rFonts w:cs="Times New Roman" w:hint="eastAsia"/>
          <w:lang w:eastAsia="zh-CN"/>
        </w:rPr>
        <w:t>进行</w:t>
      </w:r>
      <w:r w:rsidRPr="009E464F">
        <w:rPr>
          <w:rFonts w:cs="Times New Roman"/>
          <w:lang w:eastAsia="zh-CN"/>
        </w:rPr>
        <w:t>研究。如果</w:t>
      </w:r>
      <w:r>
        <w:rPr>
          <w:rFonts w:cs="Times New Roman" w:hint="eastAsia"/>
          <w:lang w:eastAsia="zh-CN"/>
        </w:rPr>
        <w:t>存在安全性隐患</w:t>
      </w:r>
      <w:r w:rsidRPr="009E464F">
        <w:rPr>
          <w:rFonts w:cs="Times New Roman"/>
          <w:lang w:eastAsia="zh-CN"/>
        </w:rPr>
        <w:t>时，申请人也可降低底物药物的剂量，此时</w:t>
      </w:r>
      <w:r>
        <w:rPr>
          <w:rFonts w:cs="Times New Roman" w:hint="eastAsia"/>
          <w:lang w:eastAsia="zh-CN"/>
        </w:rPr>
        <w:t>也</w:t>
      </w:r>
      <w:r w:rsidRPr="009E464F">
        <w:rPr>
          <w:rFonts w:cs="Times New Roman"/>
          <w:lang w:eastAsia="zh-CN"/>
        </w:rPr>
        <w:t>可用</w:t>
      </w:r>
      <w:r>
        <w:rPr>
          <w:rFonts w:cs="Times New Roman" w:hint="eastAsia"/>
          <w:lang w:eastAsia="zh-CN"/>
        </w:rPr>
        <w:t>经</w:t>
      </w:r>
      <w:r w:rsidRPr="009E464F">
        <w:rPr>
          <w:rFonts w:cs="Times New Roman"/>
          <w:lang w:eastAsia="zh-CN"/>
        </w:rPr>
        <w:t>验证</w:t>
      </w:r>
      <w:r>
        <w:rPr>
          <w:rFonts w:cs="Times New Roman" w:hint="eastAsia"/>
          <w:lang w:eastAsia="zh-CN"/>
        </w:rPr>
        <w:t>的</w:t>
      </w:r>
      <w:r w:rsidRPr="009E464F">
        <w:rPr>
          <w:rFonts w:cs="Times New Roman"/>
          <w:lang w:eastAsia="zh-CN"/>
        </w:rPr>
        <w:t>非线性特征</w:t>
      </w:r>
      <w:r w:rsidRPr="009E464F">
        <w:rPr>
          <w:rFonts w:cs="Times New Roman"/>
          <w:lang w:eastAsia="zh-CN"/>
        </w:rPr>
        <w:t>PBPK</w:t>
      </w:r>
      <w:r w:rsidRPr="009E464F">
        <w:rPr>
          <w:rFonts w:cs="Times New Roman"/>
          <w:lang w:eastAsia="zh-CN"/>
        </w:rPr>
        <w:t>模型支持剂量选择。</w:t>
      </w:r>
    </w:p>
    <w:p w14:paraId="704D08D1" w14:textId="77777777" w:rsidR="00897793" w:rsidRPr="009E464F" w:rsidRDefault="00897793" w:rsidP="00593FAB">
      <w:pPr>
        <w:spacing w:after="0"/>
        <w:ind w:firstLineChars="300" w:firstLine="960"/>
        <w:rPr>
          <w:rFonts w:cs="Times New Roman"/>
          <w:lang w:eastAsia="zh-CN"/>
        </w:rPr>
      </w:pPr>
      <w:r w:rsidRPr="009E464F">
        <w:rPr>
          <w:rFonts w:cs="Times New Roman"/>
          <w:lang w:eastAsia="zh-CN"/>
        </w:rPr>
        <w:t>2</w:t>
      </w:r>
      <w:r w:rsidRPr="009E464F">
        <w:rPr>
          <w:rFonts w:cs="Times New Roman"/>
          <w:lang w:eastAsia="zh-CN"/>
        </w:rPr>
        <w:t>）单次或多次给药</w:t>
      </w:r>
    </w:p>
    <w:p w14:paraId="56581EA1" w14:textId="77777777" w:rsidR="00897793" w:rsidRPr="009E464F" w:rsidRDefault="00897793" w:rsidP="00593FAB">
      <w:pPr>
        <w:spacing w:after="0"/>
        <w:ind w:firstLine="640"/>
        <w:rPr>
          <w:rFonts w:cs="Times New Roman"/>
          <w:lang w:eastAsia="zh-CN"/>
        </w:rPr>
      </w:pPr>
      <w:r w:rsidRPr="009E464F">
        <w:rPr>
          <w:rFonts w:cs="Times New Roman"/>
          <w:lang w:eastAsia="zh-CN"/>
        </w:rPr>
        <w:t>一般情况下促变药应多次给药直至其达到稳态后</w:t>
      </w:r>
      <w:r>
        <w:rPr>
          <w:rFonts w:cs="Times New Roman" w:hint="eastAsia"/>
          <w:lang w:eastAsia="zh-CN"/>
        </w:rPr>
        <w:t>，</w:t>
      </w:r>
      <w:r w:rsidRPr="009E464F">
        <w:rPr>
          <w:rFonts w:cs="Times New Roman"/>
          <w:lang w:eastAsia="zh-CN"/>
        </w:rPr>
        <w:t>再评价其对底物药物的影响。若促变药并非诱导</w:t>
      </w:r>
      <w:proofErr w:type="gramStart"/>
      <w:r w:rsidRPr="009E464F">
        <w:rPr>
          <w:rFonts w:cs="Times New Roman"/>
          <w:lang w:eastAsia="zh-CN"/>
        </w:rPr>
        <w:t>剂或者</w:t>
      </w:r>
      <w:proofErr w:type="gramEnd"/>
      <w:r w:rsidRPr="009E464F">
        <w:rPr>
          <w:rFonts w:cs="Times New Roman"/>
          <w:lang w:eastAsia="zh-CN"/>
        </w:rPr>
        <w:t>时间依赖型抑制剂，或是抑制剂并且可证明单次与多次给药对酶</w:t>
      </w:r>
      <w:r w:rsidRPr="009E464F">
        <w:rPr>
          <w:rFonts w:cs="Times New Roman"/>
          <w:lang w:eastAsia="zh-CN"/>
        </w:rPr>
        <w:t>/</w:t>
      </w:r>
      <w:r w:rsidRPr="009E464F">
        <w:rPr>
          <w:rFonts w:cs="Times New Roman"/>
          <w:lang w:eastAsia="zh-CN"/>
        </w:rPr>
        <w:t>转运体的影响相似时，申请人可采用单次给药进行</w:t>
      </w:r>
      <w:r w:rsidRPr="009E464F">
        <w:rPr>
          <w:rFonts w:cs="Times New Roman"/>
          <w:lang w:eastAsia="zh-CN"/>
        </w:rPr>
        <w:t>DDI</w:t>
      </w:r>
      <w:r w:rsidRPr="009E464F">
        <w:rPr>
          <w:rFonts w:cs="Times New Roman"/>
          <w:lang w:eastAsia="zh-CN"/>
        </w:rPr>
        <w:t>研究。另外，促变药有多个相互作用机制时，特定情况下也可以单次给药方式进行研究（如作为</w:t>
      </w:r>
      <w:r w:rsidRPr="009E464F">
        <w:rPr>
          <w:rFonts w:cs="Times New Roman"/>
          <w:lang w:eastAsia="zh-CN"/>
        </w:rPr>
        <w:t>OATP1B1</w:t>
      </w:r>
      <w:r w:rsidRPr="009E464F">
        <w:rPr>
          <w:rFonts w:cs="Times New Roman"/>
          <w:lang w:eastAsia="zh-CN"/>
        </w:rPr>
        <w:t>抑制剂的利福平）。促变药给药时长应可以覆盖底物药物的完整药代动力学曲线，因此长半</w:t>
      </w:r>
      <w:r w:rsidRPr="009E464F">
        <w:rPr>
          <w:rFonts w:cs="Times New Roman"/>
          <w:lang w:eastAsia="zh-CN"/>
        </w:rPr>
        <w:lastRenderedPageBreak/>
        <w:t>衰期底物药物的</w:t>
      </w:r>
      <w:r w:rsidRPr="009E464F">
        <w:rPr>
          <w:rFonts w:cs="Times New Roman"/>
          <w:lang w:eastAsia="zh-CN"/>
        </w:rPr>
        <w:t>DDI</w:t>
      </w:r>
      <w:r w:rsidRPr="009E464F">
        <w:rPr>
          <w:rFonts w:cs="Times New Roman"/>
          <w:lang w:eastAsia="zh-CN"/>
        </w:rPr>
        <w:t>研究可能会要求促变</w:t>
      </w:r>
      <w:proofErr w:type="gramStart"/>
      <w:r w:rsidRPr="009E464F">
        <w:rPr>
          <w:rFonts w:cs="Times New Roman"/>
          <w:lang w:eastAsia="zh-CN"/>
        </w:rPr>
        <w:t>药多次</w:t>
      </w:r>
      <w:proofErr w:type="gramEnd"/>
      <w:r w:rsidRPr="009E464F">
        <w:rPr>
          <w:rFonts w:cs="Times New Roman"/>
          <w:lang w:eastAsia="zh-CN"/>
        </w:rPr>
        <w:t>给药。诱导剂一般应连续给药两周以获得其对代谢酶</w:t>
      </w:r>
      <w:r w:rsidRPr="009E464F">
        <w:rPr>
          <w:rFonts w:cs="Times New Roman"/>
          <w:lang w:eastAsia="zh-CN"/>
        </w:rPr>
        <w:t>/</w:t>
      </w:r>
      <w:r w:rsidRPr="009E464F">
        <w:rPr>
          <w:rFonts w:cs="Times New Roman"/>
          <w:lang w:eastAsia="zh-CN"/>
        </w:rPr>
        <w:t>转运体的最大影响。</w:t>
      </w:r>
    </w:p>
    <w:p w14:paraId="0D9BE520" w14:textId="77777777" w:rsidR="00897793" w:rsidRPr="009E464F" w:rsidRDefault="00897793" w:rsidP="00593FAB">
      <w:pPr>
        <w:spacing w:after="0"/>
        <w:ind w:firstLine="640"/>
        <w:rPr>
          <w:rFonts w:cs="Times New Roman"/>
          <w:lang w:eastAsia="zh-CN"/>
        </w:rPr>
      </w:pPr>
      <w:r w:rsidRPr="009E464F">
        <w:rPr>
          <w:rFonts w:cs="Times New Roman"/>
          <w:lang w:eastAsia="zh-CN"/>
        </w:rPr>
        <w:t>底物药物可以单次给药进行</w:t>
      </w:r>
      <w:r w:rsidRPr="009E464F">
        <w:rPr>
          <w:rFonts w:cs="Times New Roman"/>
          <w:lang w:eastAsia="zh-CN"/>
        </w:rPr>
        <w:t>DDI</w:t>
      </w:r>
      <w:r w:rsidRPr="009E464F">
        <w:rPr>
          <w:rFonts w:cs="Times New Roman"/>
          <w:lang w:eastAsia="zh-CN"/>
        </w:rPr>
        <w:t>研究，其结果可外推出稳态</w:t>
      </w:r>
      <w:r w:rsidRPr="009E464F">
        <w:rPr>
          <w:rFonts w:cs="Times New Roman"/>
          <w:lang w:eastAsia="zh-CN"/>
        </w:rPr>
        <w:t>DDI</w:t>
      </w:r>
      <w:r w:rsidRPr="009E464F">
        <w:rPr>
          <w:rFonts w:cs="Times New Roman"/>
          <w:lang w:eastAsia="zh-CN"/>
        </w:rPr>
        <w:t>程度。若其具备时间依赖性药</w:t>
      </w:r>
      <w:r>
        <w:rPr>
          <w:rFonts w:cs="Times New Roman" w:hint="eastAsia"/>
          <w:lang w:eastAsia="zh-CN"/>
        </w:rPr>
        <w:t>代</w:t>
      </w:r>
      <w:r w:rsidRPr="009E464F">
        <w:rPr>
          <w:rFonts w:cs="Times New Roman"/>
          <w:lang w:eastAsia="zh-CN"/>
        </w:rPr>
        <w:t>动</w:t>
      </w:r>
      <w:r>
        <w:rPr>
          <w:rFonts w:cs="Times New Roman" w:hint="eastAsia"/>
          <w:lang w:eastAsia="zh-CN"/>
        </w:rPr>
        <w:t>力</w:t>
      </w:r>
      <w:r w:rsidRPr="009E464F">
        <w:rPr>
          <w:rFonts w:cs="Times New Roman"/>
          <w:lang w:eastAsia="zh-CN"/>
        </w:rPr>
        <w:t>学特征，则底物药物和促变药均应以多次给药进行</w:t>
      </w:r>
      <w:r w:rsidRPr="009E464F">
        <w:rPr>
          <w:rFonts w:cs="Times New Roman"/>
          <w:lang w:eastAsia="zh-CN"/>
        </w:rPr>
        <w:t>DDI</w:t>
      </w:r>
      <w:r w:rsidRPr="009E464F">
        <w:rPr>
          <w:rFonts w:cs="Times New Roman"/>
          <w:lang w:eastAsia="zh-CN"/>
        </w:rPr>
        <w:t>研究。</w:t>
      </w:r>
    </w:p>
    <w:p w14:paraId="30B1BFE9" w14:textId="77777777" w:rsidR="00897793" w:rsidRPr="009E464F" w:rsidRDefault="00897793" w:rsidP="00593FAB">
      <w:pPr>
        <w:spacing w:after="0"/>
        <w:ind w:firstLine="640"/>
        <w:rPr>
          <w:rFonts w:cs="Times New Roman"/>
          <w:lang w:eastAsia="zh-CN"/>
        </w:rPr>
      </w:pPr>
      <w:r w:rsidRPr="009E464F">
        <w:rPr>
          <w:rFonts w:cs="Times New Roman"/>
          <w:lang w:eastAsia="zh-CN"/>
        </w:rPr>
        <w:t>3</w:t>
      </w:r>
      <w:r w:rsidRPr="009E464F">
        <w:rPr>
          <w:rFonts w:cs="Times New Roman"/>
          <w:lang w:eastAsia="zh-CN"/>
        </w:rPr>
        <w:t>）给药途径</w:t>
      </w:r>
    </w:p>
    <w:p w14:paraId="2E1C2BD5" w14:textId="77777777" w:rsidR="00897793" w:rsidRPr="009E464F" w:rsidRDefault="00897793" w:rsidP="00593FAB">
      <w:pPr>
        <w:spacing w:after="0"/>
        <w:ind w:firstLine="640"/>
        <w:rPr>
          <w:rFonts w:cs="Times New Roman"/>
          <w:lang w:eastAsia="zh-CN"/>
        </w:rPr>
      </w:pPr>
      <w:r w:rsidRPr="009E464F">
        <w:rPr>
          <w:rFonts w:cs="Times New Roman"/>
          <w:lang w:eastAsia="zh-CN"/>
        </w:rPr>
        <w:t>DDI</w:t>
      </w:r>
      <w:r w:rsidRPr="009E464F">
        <w:rPr>
          <w:rFonts w:cs="Times New Roman"/>
          <w:lang w:eastAsia="zh-CN"/>
        </w:rPr>
        <w:t>临床研究中药物给药途径应与临床治疗给药途径一致。当有多种给药途径时，应基于</w:t>
      </w:r>
      <w:r w:rsidRPr="009E464F">
        <w:rPr>
          <w:rFonts w:cs="Times New Roman"/>
          <w:lang w:eastAsia="zh-CN"/>
        </w:rPr>
        <w:t>DDI</w:t>
      </w:r>
      <w:r w:rsidRPr="009E464F">
        <w:rPr>
          <w:rFonts w:cs="Times New Roman"/>
          <w:lang w:eastAsia="zh-CN"/>
        </w:rPr>
        <w:t>的可能机制和不同途径给药后原药和代谢物相应浓度</w:t>
      </w:r>
      <w:r w:rsidRPr="009E464F">
        <w:rPr>
          <w:rFonts w:cs="Times New Roman"/>
          <w:lang w:eastAsia="zh-CN"/>
        </w:rPr>
        <w:t>-</w:t>
      </w:r>
      <w:r w:rsidRPr="009E464F">
        <w:rPr>
          <w:rFonts w:cs="Times New Roman"/>
          <w:lang w:eastAsia="zh-CN"/>
        </w:rPr>
        <w:t>时间曲线的相似性确定</w:t>
      </w:r>
      <w:r w:rsidRPr="009E464F">
        <w:rPr>
          <w:rFonts w:cs="Times New Roman"/>
          <w:lang w:eastAsia="zh-CN"/>
        </w:rPr>
        <w:t>DDI</w:t>
      </w:r>
      <w:r w:rsidRPr="009E464F">
        <w:rPr>
          <w:rFonts w:cs="Times New Roman"/>
          <w:lang w:eastAsia="zh-CN"/>
        </w:rPr>
        <w:t>临床试验给药途径。</w:t>
      </w:r>
    </w:p>
    <w:p w14:paraId="09CA4A39" w14:textId="77777777" w:rsidR="00897793" w:rsidRPr="009E464F" w:rsidRDefault="00897793" w:rsidP="00593FAB">
      <w:pPr>
        <w:spacing w:after="0"/>
        <w:ind w:firstLine="640"/>
        <w:rPr>
          <w:rFonts w:cs="Times New Roman"/>
          <w:lang w:eastAsia="zh-CN"/>
        </w:rPr>
      </w:pPr>
      <w:r w:rsidRPr="009E464F">
        <w:rPr>
          <w:rFonts w:cs="Times New Roman"/>
          <w:lang w:eastAsia="zh-CN"/>
        </w:rPr>
        <w:t>4</w:t>
      </w:r>
      <w:r w:rsidRPr="009E464F">
        <w:rPr>
          <w:rFonts w:cs="Times New Roman"/>
          <w:lang w:eastAsia="zh-CN"/>
        </w:rPr>
        <w:t>）给药</w:t>
      </w:r>
      <w:r>
        <w:rPr>
          <w:rFonts w:cs="Times New Roman" w:hint="eastAsia"/>
          <w:lang w:eastAsia="zh-CN"/>
        </w:rPr>
        <w:t>时机</w:t>
      </w:r>
    </w:p>
    <w:p w14:paraId="308E16E5" w14:textId="77777777" w:rsidR="00897793" w:rsidRPr="009E464F" w:rsidRDefault="00897793" w:rsidP="00593FAB">
      <w:pPr>
        <w:spacing w:after="0"/>
        <w:ind w:firstLine="640"/>
        <w:rPr>
          <w:rFonts w:cs="Times New Roman"/>
          <w:lang w:eastAsia="zh-CN"/>
        </w:rPr>
      </w:pPr>
      <w:r w:rsidRPr="009E464F">
        <w:rPr>
          <w:rFonts w:cs="Times New Roman"/>
          <w:lang w:eastAsia="zh-CN"/>
        </w:rPr>
        <w:t>DDI</w:t>
      </w:r>
      <w:r w:rsidRPr="009E464F">
        <w:rPr>
          <w:rFonts w:cs="Times New Roman"/>
          <w:lang w:eastAsia="zh-CN"/>
        </w:rPr>
        <w:t>临床试验设计里应该明确试验药物的给药时间，促变药与底物在大多数情况下可同时</w:t>
      </w:r>
      <w:r>
        <w:rPr>
          <w:rFonts w:cs="Times New Roman" w:hint="eastAsia"/>
          <w:lang w:eastAsia="zh-CN"/>
        </w:rPr>
        <w:t>给</w:t>
      </w:r>
      <w:r w:rsidRPr="009E464F">
        <w:rPr>
          <w:rFonts w:cs="Times New Roman"/>
          <w:lang w:eastAsia="zh-CN"/>
        </w:rPr>
        <w:t>药</w:t>
      </w:r>
      <w:r>
        <w:rPr>
          <w:rFonts w:cs="Times New Roman" w:hint="eastAsia"/>
          <w:lang w:eastAsia="zh-CN"/>
        </w:rPr>
        <w:t>。</w:t>
      </w:r>
      <w:r w:rsidRPr="00826347">
        <w:rPr>
          <w:rFonts w:cs="Times New Roman" w:hint="eastAsia"/>
          <w:lang w:eastAsia="zh-CN"/>
        </w:rPr>
        <w:t>如果</w:t>
      </w:r>
      <w:r>
        <w:rPr>
          <w:rFonts w:cs="Times New Roman" w:hint="eastAsia"/>
          <w:lang w:eastAsia="zh-CN"/>
        </w:rPr>
        <w:t>促变药</w:t>
      </w:r>
      <w:r w:rsidRPr="00826347">
        <w:rPr>
          <w:rFonts w:cs="Times New Roman" w:hint="eastAsia"/>
          <w:lang w:eastAsia="zh-CN"/>
        </w:rPr>
        <w:t>既是抑制剂又是</w:t>
      </w:r>
      <w:r>
        <w:rPr>
          <w:rFonts w:cs="Times New Roman" w:hint="eastAsia"/>
          <w:lang w:eastAsia="zh-CN"/>
        </w:rPr>
        <w:t>诱导剂时</w:t>
      </w:r>
      <w:r w:rsidRPr="00826347">
        <w:rPr>
          <w:rFonts w:cs="Times New Roman" w:hint="eastAsia"/>
          <w:lang w:eastAsia="zh-CN"/>
        </w:rPr>
        <w:t>，则</w:t>
      </w:r>
      <w:r>
        <w:rPr>
          <w:rFonts w:cs="Times New Roman" w:hint="eastAsia"/>
          <w:lang w:eastAsia="zh-CN"/>
        </w:rPr>
        <w:t>给药时机</w:t>
      </w:r>
      <w:r w:rsidRPr="00826347">
        <w:rPr>
          <w:rFonts w:cs="Times New Roman" w:hint="eastAsia"/>
          <w:lang w:eastAsia="zh-CN"/>
        </w:rPr>
        <w:t>至关重要。</w:t>
      </w:r>
      <w:r>
        <w:rPr>
          <w:rFonts w:cs="Times New Roman" w:hint="eastAsia"/>
          <w:lang w:eastAsia="zh-CN"/>
        </w:rPr>
        <w:t>例如，研究药物同时是</w:t>
      </w:r>
      <w:r>
        <w:rPr>
          <w:rFonts w:cs="Times New Roman" w:hint="eastAsia"/>
          <w:lang w:eastAsia="zh-CN"/>
        </w:rPr>
        <w:t>CYP</w:t>
      </w:r>
      <w:r>
        <w:rPr>
          <w:rFonts w:cs="Times New Roman" w:hint="eastAsia"/>
          <w:lang w:eastAsia="zh-CN"/>
        </w:rPr>
        <w:t>酶和</w:t>
      </w:r>
      <w:r>
        <w:rPr>
          <w:rFonts w:cs="Times New Roman" w:hint="eastAsia"/>
          <w:lang w:eastAsia="zh-CN"/>
        </w:rPr>
        <w:t>OATP</w:t>
      </w:r>
      <w:r>
        <w:rPr>
          <w:rFonts w:cs="Times New Roman"/>
          <w:lang w:eastAsia="zh-CN"/>
        </w:rPr>
        <w:t>1</w:t>
      </w:r>
      <w:r>
        <w:rPr>
          <w:rFonts w:cs="Times New Roman" w:hint="eastAsia"/>
          <w:lang w:eastAsia="zh-CN"/>
        </w:rPr>
        <w:t>B</w:t>
      </w:r>
      <w:r>
        <w:rPr>
          <w:rFonts w:cs="Times New Roman" w:hint="eastAsia"/>
          <w:lang w:eastAsia="zh-CN"/>
        </w:rPr>
        <w:t>的底物，</w:t>
      </w:r>
      <w:r w:rsidRPr="009E464F">
        <w:rPr>
          <w:rFonts w:cs="Times New Roman"/>
          <w:lang w:eastAsia="zh-CN"/>
        </w:rPr>
        <w:t>利福平</w:t>
      </w:r>
      <w:r>
        <w:rPr>
          <w:rFonts w:cs="Times New Roman" w:hint="eastAsia"/>
          <w:lang w:eastAsia="zh-CN"/>
        </w:rPr>
        <w:t>作为</w:t>
      </w:r>
      <w:r w:rsidRPr="009E464F">
        <w:rPr>
          <w:rFonts w:cs="Times New Roman"/>
          <w:lang w:eastAsia="zh-CN"/>
        </w:rPr>
        <w:t>诱导剂</w:t>
      </w:r>
      <w:r>
        <w:rPr>
          <w:rFonts w:cs="Times New Roman" w:hint="eastAsia"/>
          <w:lang w:eastAsia="zh-CN"/>
        </w:rPr>
        <w:t>（也</w:t>
      </w:r>
      <w:r w:rsidRPr="009E464F">
        <w:rPr>
          <w:rFonts w:cs="Times New Roman"/>
          <w:lang w:eastAsia="zh-CN"/>
        </w:rPr>
        <w:t>是</w:t>
      </w:r>
      <w:r w:rsidRPr="009E464F">
        <w:rPr>
          <w:rFonts w:cs="Times New Roman"/>
          <w:lang w:eastAsia="zh-CN"/>
        </w:rPr>
        <w:t>OATP</w:t>
      </w:r>
      <w:r>
        <w:rPr>
          <w:rFonts w:cs="Times New Roman"/>
          <w:lang w:eastAsia="zh-CN"/>
        </w:rPr>
        <w:t>1</w:t>
      </w:r>
      <w:r>
        <w:rPr>
          <w:rFonts w:cs="Times New Roman" w:hint="eastAsia"/>
          <w:lang w:eastAsia="zh-CN"/>
        </w:rPr>
        <w:t>B</w:t>
      </w:r>
      <w:r w:rsidRPr="009E464F">
        <w:rPr>
          <w:rFonts w:cs="Times New Roman"/>
          <w:lang w:eastAsia="zh-CN"/>
        </w:rPr>
        <w:t>抑制剂</w:t>
      </w:r>
      <w:r>
        <w:rPr>
          <w:rFonts w:cs="Times New Roman" w:hint="eastAsia"/>
          <w:lang w:eastAsia="zh-CN"/>
        </w:rPr>
        <w:t>）</w:t>
      </w:r>
      <w:r w:rsidRPr="009E464F">
        <w:rPr>
          <w:rFonts w:cs="Times New Roman"/>
          <w:lang w:eastAsia="zh-CN"/>
        </w:rPr>
        <w:t>，</w:t>
      </w:r>
      <w:r>
        <w:rPr>
          <w:rFonts w:cs="Times New Roman" w:hint="eastAsia"/>
          <w:lang w:eastAsia="zh-CN"/>
        </w:rPr>
        <w:t>这种情况应</w:t>
      </w:r>
      <w:r>
        <w:rPr>
          <w:rFonts w:cs="Times New Roman"/>
          <w:lang w:eastAsia="zh-CN"/>
        </w:rPr>
        <w:t>推迟</w:t>
      </w:r>
      <w:r>
        <w:rPr>
          <w:rFonts w:cs="Times New Roman" w:hint="eastAsia"/>
          <w:lang w:eastAsia="zh-CN"/>
        </w:rPr>
        <w:t>加入</w:t>
      </w:r>
      <w:r>
        <w:rPr>
          <w:rFonts w:cs="Times New Roman"/>
          <w:lang w:eastAsia="zh-CN"/>
        </w:rPr>
        <w:t>在</w:t>
      </w:r>
      <w:proofErr w:type="gramStart"/>
      <w:r>
        <w:rPr>
          <w:rFonts w:cs="Times New Roman"/>
          <w:lang w:eastAsia="zh-CN"/>
        </w:rPr>
        <w:t>研</w:t>
      </w:r>
      <w:proofErr w:type="gramEnd"/>
      <w:r>
        <w:rPr>
          <w:rFonts w:cs="Times New Roman"/>
          <w:lang w:eastAsia="zh-CN"/>
        </w:rPr>
        <w:t>药物</w:t>
      </w:r>
      <w:r>
        <w:rPr>
          <w:rFonts w:cs="Times New Roman" w:hint="eastAsia"/>
          <w:lang w:eastAsia="zh-CN"/>
        </w:rPr>
        <w:t>的</w:t>
      </w:r>
      <w:r>
        <w:rPr>
          <w:rFonts w:cs="Times New Roman"/>
          <w:lang w:eastAsia="zh-CN"/>
        </w:rPr>
        <w:t>时间</w:t>
      </w:r>
      <w:r>
        <w:rPr>
          <w:rFonts w:cs="Times New Roman" w:hint="eastAsia"/>
          <w:lang w:eastAsia="zh-CN"/>
        </w:rPr>
        <w:t>。</w:t>
      </w:r>
      <w:r w:rsidRPr="009E464F">
        <w:rPr>
          <w:rFonts w:cs="Times New Roman"/>
          <w:lang w:eastAsia="zh-CN"/>
        </w:rPr>
        <w:t>有时可研究多个给药方案（体内或数学模拟）以理解交错给药是否会减弱相互作用（如主要发生在吸收环节的</w:t>
      </w:r>
      <w:r w:rsidRPr="009E464F">
        <w:rPr>
          <w:rFonts w:cs="Times New Roman"/>
          <w:lang w:eastAsia="zh-CN"/>
        </w:rPr>
        <w:t>DDI</w:t>
      </w:r>
      <w:r w:rsidRPr="009E464F">
        <w:rPr>
          <w:rFonts w:cs="Times New Roman"/>
          <w:lang w:eastAsia="zh-CN"/>
        </w:rPr>
        <w:t>）。</w:t>
      </w:r>
      <w:proofErr w:type="gramStart"/>
      <w:r w:rsidRPr="009E464F">
        <w:rPr>
          <w:rFonts w:cs="Times New Roman"/>
          <w:lang w:eastAsia="zh-CN"/>
        </w:rPr>
        <w:t>当拟评价</w:t>
      </w:r>
      <w:proofErr w:type="gramEnd"/>
      <w:r w:rsidRPr="009E464F">
        <w:rPr>
          <w:rFonts w:cs="Times New Roman"/>
          <w:lang w:eastAsia="zh-CN"/>
        </w:rPr>
        <w:t>DDI</w:t>
      </w:r>
      <w:r w:rsidRPr="009E464F">
        <w:rPr>
          <w:rFonts w:cs="Times New Roman"/>
          <w:lang w:eastAsia="zh-CN"/>
        </w:rPr>
        <w:t>的药物需要不同的进食条件以优化吸收时，申请人应以观察到最大相互作用程度以及反映临床意义为标准</w:t>
      </w:r>
      <w:r>
        <w:rPr>
          <w:rFonts w:cs="Times New Roman" w:hint="eastAsia"/>
          <w:lang w:eastAsia="zh-CN"/>
        </w:rPr>
        <w:t>，来</w:t>
      </w:r>
      <w:r w:rsidRPr="009E464F">
        <w:rPr>
          <w:rFonts w:cs="Times New Roman"/>
          <w:lang w:eastAsia="zh-CN"/>
        </w:rPr>
        <w:t>调整给药时间。</w:t>
      </w:r>
    </w:p>
    <w:p w14:paraId="56110CC8" w14:textId="77777777" w:rsidR="00897793" w:rsidRPr="009E464F" w:rsidRDefault="00897793" w:rsidP="00593FAB">
      <w:pPr>
        <w:spacing w:after="0"/>
        <w:ind w:firstLine="640"/>
        <w:rPr>
          <w:rFonts w:cs="Times New Roman"/>
          <w:lang w:eastAsia="zh-CN"/>
        </w:rPr>
      </w:pPr>
      <w:r w:rsidRPr="009E464F">
        <w:rPr>
          <w:rFonts w:cs="Times New Roman"/>
          <w:lang w:eastAsia="zh-CN"/>
        </w:rPr>
        <w:lastRenderedPageBreak/>
        <w:t>（</w:t>
      </w:r>
      <w:r w:rsidRPr="009E464F">
        <w:rPr>
          <w:rFonts w:cs="Times New Roman"/>
          <w:lang w:eastAsia="zh-CN"/>
        </w:rPr>
        <w:t>4</w:t>
      </w:r>
      <w:r w:rsidRPr="009E464F">
        <w:rPr>
          <w:rFonts w:cs="Times New Roman"/>
          <w:lang w:eastAsia="zh-CN"/>
        </w:rPr>
        <w:t>）合并用药等其他影响</w:t>
      </w:r>
      <w:r w:rsidRPr="009E464F">
        <w:rPr>
          <w:rFonts w:cs="Times New Roman"/>
          <w:lang w:eastAsia="zh-CN"/>
        </w:rPr>
        <w:t>DDI</w:t>
      </w:r>
      <w:r w:rsidRPr="009E464F">
        <w:rPr>
          <w:rFonts w:cs="Times New Roman"/>
          <w:lang w:eastAsia="zh-CN"/>
        </w:rPr>
        <w:t>的外因</w:t>
      </w:r>
    </w:p>
    <w:p w14:paraId="67243A55" w14:textId="77777777" w:rsidR="00897793" w:rsidRPr="009E464F" w:rsidRDefault="00897793" w:rsidP="00593FAB">
      <w:pPr>
        <w:spacing w:after="0"/>
        <w:ind w:firstLine="640"/>
        <w:rPr>
          <w:rFonts w:cs="Times New Roman"/>
          <w:lang w:eastAsia="zh-CN"/>
        </w:rPr>
      </w:pPr>
      <w:r w:rsidRPr="009E464F">
        <w:rPr>
          <w:rFonts w:cs="Times New Roman"/>
          <w:lang w:eastAsia="zh-CN"/>
        </w:rPr>
        <w:t>为了降低</w:t>
      </w:r>
      <w:r w:rsidRPr="009E464F">
        <w:rPr>
          <w:rFonts w:cs="Times New Roman"/>
          <w:lang w:eastAsia="zh-CN"/>
        </w:rPr>
        <w:t>DDI</w:t>
      </w:r>
      <w:r w:rsidRPr="009E464F">
        <w:rPr>
          <w:rFonts w:cs="Times New Roman"/>
          <w:lang w:eastAsia="zh-CN"/>
        </w:rPr>
        <w:t>程度的变异，申请人应在受试者入组前一定时间内</w:t>
      </w:r>
      <w:r>
        <w:rPr>
          <w:rFonts w:cs="Times New Roman" w:hint="eastAsia"/>
          <w:lang w:eastAsia="zh-CN"/>
        </w:rPr>
        <w:t>确认</w:t>
      </w:r>
      <w:r w:rsidRPr="009E464F">
        <w:rPr>
          <w:rFonts w:cs="Times New Roman"/>
          <w:lang w:eastAsia="zh-CN"/>
        </w:rPr>
        <w:t>受试者</w:t>
      </w:r>
      <w:r>
        <w:rPr>
          <w:rFonts w:cs="Times New Roman" w:hint="eastAsia"/>
          <w:lang w:eastAsia="zh-CN"/>
        </w:rPr>
        <w:t>未</w:t>
      </w:r>
      <w:r w:rsidRPr="009E464F">
        <w:rPr>
          <w:rFonts w:cs="Times New Roman"/>
          <w:lang w:eastAsia="zh-CN"/>
        </w:rPr>
        <w:t>服用可能会影响代谢酶或转运体表达</w:t>
      </w:r>
      <w:r>
        <w:rPr>
          <w:rFonts w:cs="Times New Roman" w:hint="eastAsia"/>
          <w:lang w:eastAsia="zh-CN"/>
        </w:rPr>
        <w:t>或功能</w:t>
      </w:r>
      <w:r w:rsidRPr="009E464F">
        <w:rPr>
          <w:rFonts w:cs="Times New Roman"/>
          <w:lang w:eastAsia="zh-CN"/>
        </w:rPr>
        <w:t>的处方或非处方药物、</w:t>
      </w:r>
      <w:r>
        <w:rPr>
          <w:rFonts w:cs="Times New Roman" w:hint="eastAsia"/>
          <w:lang w:eastAsia="zh-CN"/>
        </w:rPr>
        <w:t>保健品或</w:t>
      </w:r>
      <w:r w:rsidRPr="009E464F">
        <w:rPr>
          <w:rFonts w:cs="Times New Roman"/>
          <w:lang w:eastAsia="zh-CN"/>
        </w:rPr>
        <w:t>食物、烟草、酒精、果汁等。若</w:t>
      </w:r>
      <w:r w:rsidRPr="009E464F">
        <w:rPr>
          <w:rFonts w:cs="Times New Roman"/>
          <w:lang w:eastAsia="zh-CN"/>
        </w:rPr>
        <w:t>DDI</w:t>
      </w:r>
      <w:r w:rsidRPr="009E464F">
        <w:rPr>
          <w:rFonts w:cs="Times New Roman"/>
          <w:lang w:eastAsia="zh-CN"/>
        </w:rPr>
        <w:t>为诱导机制或时间依赖性抑制，其禁止服用上述影响物质的时间应更长。</w:t>
      </w:r>
    </w:p>
    <w:p w14:paraId="73DEBB5F" w14:textId="77777777" w:rsidR="00897793" w:rsidRPr="009E464F" w:rsidRDefault="00897793"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5</w:t>
      </w:r>
      <w:r w:rsidRPr="009E464F">
        <w:rPr>
          <w:rFonts w:cs="Times New Roman"/>
          <w:lang w:eastAsia="zh-CN"/>
        </w:rPr>
        <w:t>）样本与数据收集</w:t>
      </w:r>
    </w:p>
    <w:p w14:paraId="42C72C50" w14:textId="77777777" w:rsidR="00897793" w:rsidRPr="009E464F" w:rsidRDefault="00897793" w:rsidP="00593FAB">
      <w:pPr>
        <w:spacing w:after="0"/>
        <w:ind w:firstLine="640"/>
        <w:rPr>
          <w:rFonts w:cs="Times New Roman"/>
          <w:b/>
          <w:szCs w:val="32"/>
          <w:lang w:eastAsia="zh-CN"/>
        </w:rPr>
      </w:pPr>
      <w:r w:rsidRPr="009E464F">
        <w:rPr>
          <w:rFonts w:cs="Times New Roman"/>
          <w:szCs w:val="32"/>
          <w:lang w:eastAsia="zh-CN"/>
        </w:rPr>
        <w:t>底物药物药代动力学采样时</w:t>
      </w:r>
      <w:proofErr w:type="gramStart"/>
      <w:r w:rsidRPr="009E464F">
        <w:rPr>
          <w:rFonts w:cs="Times New Roman"/>
          <w:szCs w:val="32"/>
          <w:lang w:eastAsia="zh-CN"/>
        </w:rPr>
        <w:t>长应当</w:t>
      </w:r>
      <w:proofErr w:type="gramEnd"/>
      <w:r w:rsidRPr="009E464F">
        <w:rPr>
          <w:rFonts w:cs="Times New Roman"/>
          <w:szCs w:val="32"/>
          <w:lang w:eastAsia="zh-CN"/>
        </w:rPr>
        <w:t>足以在单独用药以及预期相互作用时准确估计</w:t>
      </w:r>
      <w:r w:rsidRPr="009E464F">
        <w:rPr>
          <w:rFonts w:cs="Times New Roman"/>
          <w:szCs w:val="32"/>
          <w:lang w:eastAsia="zh-CN"/>
        </w:rPr>
        <w:t>AUC</w:t>
      </w:r>
      <w:r w:rsidRPr="009E464F">
        <w:rPr>
          <w:rFonts w:cs="Times New Roman"/>
          <w:szCs w:val="32"/>
          <w:vertAlign w:val="subscript"/>
          <w:lang w:eastAsia="zh-CN"/>
        </w:rPr>
        <w:t>0-</w:t>
      </w:r>
      <w:r>
        <w:rPr>
          <w:rFonts w:cs="Times New Roman" w:hint="eastAsia"/>
          <w:szCs w:val="32"/>
          <w:vertAlign w:val="subscript"/>
          <w:lang w:eastAsia="zh-CN"/>
        </w:rPr>
        <w:t>inf</w:t>
      </w:r>
      <w:r w:rsidRPr="009E464F">
        <w:rPr>
          <w:rFonts w:cs="Times New Roman"/>
          <w:szCs w:val="32"/>
          <w:lang w:eastAsia="zh-CN"/>
        </w:rPr>
        <w:t>（适用于单剂量</w:t>
      </w:r>
      <w:r w:rsidRPr="00D956C8">
        <w:rPr>
          <w:rFonts w:cs="Times New Roman" w:hint="eastAsia"/>
          <w:szCs w:val="32"/>
          <w:lang w:eastAsia="zh-CN"/>
        </w:rPr>
        <w:t>研究）、</w:t>
      </w:r>
      <w:r w:rsidRPr="0083505F">
        <w:rPr>
          <w:rFonts w:cs="Times New Roman"/>
          <w:szCs w:val="32"/>
          <w:lang w:eastAsia="zh-CN"/>
        </w:rPr>
        <w:t>AUC</w:t>
      </w:r>
      <w:r w:rsidRPr="0083505F">
        <w:rPr>
          <w:rFonts w:cs="Times New Roman"/>
          <w:szCs w:val="32"/>
          <w:vertAlign w:val="subscript"/>
          <w:lang w:eastAsia="zh-CN"/>
        </w:rPr>
        <w:t>0-tau</w:t>
      </w:r>
      <w:r w:rsidRPr="00D956C8">
        <w:rPr>
          <w:rFonts w:cs="Times New Roman" w:hint="eastAsia"/>
          <w:szCs w:val="32"/>
          <w:lang w:eastAsia="zh-CN"/>
        </w:rPr>
        <w:t>（适</w:t>
      </w:r>
      <w:r w:rsidRPr="009E464F">
        <w:rPr>
          <w:rFonts w:cs="Times New Roman"/>
          <w:szCs w:val="32"/>
          <w:lang w:eastAsia="zh-CN"/>
        </w:rPr>
        <w:t>用于多剂量研究）和峰浓度（</w:t>
      </w:r>
      <w:proofErr w:type="spellStart"/>
      <w:r w:rsidRPr="009E464F">
        <w:rPr>
          <w:rFonts w:cs="Times New Roman"/>
          <w:szCs w:val="32"/>
          <w:lang w:eastAsia="zh-CN"/>
        </w:rPr>
        <w:t>C</w:t>
      </w:r>
      <w:r w:rsidRPr="009E464F">
        <w:rPr>
          <w:rFonts w:cs="Times New Roman"/>
          <w:szCs w:val="32"/>
          <w:vertAlign w:val="subscript"/>
          <w:lang w:eastAsia="zh-CN"/>
        </w:rPr>
        <w:t>max</w:t>
      </w:r>
      <w:proofErr w:type="spellEnd"/>
      <w:r w:rsidRPr="009E464F">
        <w:rPr>
          <w:rFonts w:cs="Times New Roman"/>
          <w:szCs w:val="32"/>
          <w:lang w:eastAsia="zh-CN"/>
        </w:rPr>
        <w:t>）（如单次给药时</w:t>
      </w:r>
      <w:r w:rsidRPr="009E464F">
        <w:rPr>
          <w:rFonts w:cs="Times New Roman"/>
          <w:szCs w:val="32"/>
          <w:lang w:eastAsia="zh-CN"/>
        </w:rPr>
        <w:t>AUC</w:t>
      </w:r>
      <w:r w:rsidRPr="009E464F">
        <w:rPr>
          <w:rFonts w:cs="Times New Roman"/>
          <w:szCs w:val="32"/>
          <w:vertAlign w:val="subscript"/>
          <w:lang w:eastAsia="zh-CN"/>
        </w:rPr>
        <w:t>0-t</w:t>
      </w:r>
      <w:r w:rsidRPr="009E464F">
        <w:rPr>
          <w:rFonts w:cs="Times New Roman"/>
          <w:szCs w:val="32"/>
          <w:lang w:eastAsia="zh-CN"/>
        </w:rPr>
        <w:t>与</w:t>
      </w:r>
      <w:r w:rsidRPr="009E464F">
        <w:rPr>
          <w:rFonts w:cs="Times New Roman"/>
          <w:szCs w:val="32"/>
          <w:lang w:eastAsia="zh-CN"/>
        </w:rPr>
        <w:t>AUC</w:t>
      </w:r>
      <w:r w:rsidRPr="009E464F">
        <w:rPr>
          <w:rFonts w:cs="Times New Roman"/>
          <w:szCs w:val="32"/>
          <w:vertAlign w:val="subscript"/>
          <w:lang w:eastAsia="zh-CN"/>
        </w:rPr>
        <w:t>0-</w:t>
      </w:r>
      <w:r>
        <w:rPr>
          <w:rFonts w:cs="Times New Roman" w:hint="eastAsia"/>
          <w:szCs w:val="32"/>
          <w:vertAlign w:val="subscript"/>
          <w:lang w:eastAsia="zh-CN"/>
        </w:rPr>
        <w:t>inf</w:t>
      </w:r>
      <w:r w:rsidRPr="009E464F">
        <w:rPr>
          <w:rFonts w:cs="Times New Roman"/>
          <w:szCs w:val="32"/>
          <w:lang w:eastAsia="zh-CN"/>
        </w:rPr>
        <w:t>之间的平均差小于</w:t>
      </w:r>
      <w:r w:rsidRPr="009E464F">
        <w:rPr>
          <w:rFonts w:cs="Times New Roman"/>
          <w:szCs w:val="32"/>
          <w:lang w:eastAsia="zh-CN"/>
        </w:rPr>
        <w:t>20%</w:t>
      </w:r>
      <w:r w:rsidRPr="009E464F">
        <w:rPr>
          <w:rFonts w:cs="Times New Roman"/>
          <w:szCs w:val="32"/>
          <w:lang w:eastAsia="zh-CN"/>
        </w:rPr>
        <w:t>），也可依据药代动力学或药理学意义对额外药动学参数（最低浓度（</w:t>
      </w:r>
      <w:proofErr w:type="spellStart"/>
      <w:r w:rsidRPr="009E464F">
        <w:rPr>
          <w:rFonts w:cs="Times New Roman"/>
          <w:szCs w:val="32"/>
          <w:lang w:eastAsia="zh-CN"/>
        </w:rPr>
        <w:t>C</w:t>
      </w:r>
      <w:r w:rsidRPr="009E464F">
        <w:rPr>
          <w:rFonts w:cs="Times New Roman"/>
          <w:szCs w:val="32"/>
          <w:vertAlign w:val="subscript"/>
          <w:lang w:eastAsia="zh-CN"/>
        </w:rPr>
        <w:t>min</w:t>
      </w:r>
      <w:proofErr w:type="spellEnd"/>
      <w:r w:rsidRPr="009E464F">
        <w:rPr>
          <w:rFonts w:cs="Times New Roman"/>
          <w:szCs w:val="32"/>
          <w:lang w:eastAsia="zh-CN"/>
        </w:rPr>
        <w:t>）或部分</w:t>
      </w:r>
      <w:r w:rsidRPr="009E464F">
        <w:rPr>
          <w:rFonts w:cs="Times New Roman"/>
          <w:szCs w:val="32"/>
          <w:lang w:eastAsia="zh-CN"/>
        </w:rPr>
        <w:t>AUC</w:t>
      </w:r>
      <w:r w:rsidRPr="009E464F">
        <w:rPr>
          <w:rFonts w:cs="Times New Roman"/>
          <w:szCs w:val="32"/>
          <w:lang w:eastAsia="zh-CN"/>
        </w:rPr>
        <w:t>）进行估计。申请人应当收集包含可解释结果的化合物（如原药）的样本。如果代谢产物浓度有助于理解</w:t>
      </w:r>
      <w:r w:rsidRPr="009E464F">
        <w:rPr>
          <w:rFonts w:cs="Times New Roman"/>
          <w:szCs w:val="32"/>
          <w:lang w:eastAsia="zh-CN"/>
        </w:rPr>
        <w:t>DDI</w:t>
      </w:r>
      <w:r w:rsidRPr="009E464F">
        <w:rPr>
          <w:rFonts w:cs="Times New Roman"/>
          <w:szCs w:val="32"/>
          <w:lang w:eastAsia="zh-CN"/>
        </w:rPr>
        <w:t>对</w:t>
      </w:r>
      <w:r>
        <w:rPr>
          <w:rFonts w:cs="Times New Roman" w:hint="eastAsia"/>
          <w:szCs w:val="32"/>
          <w:lang w:eastAsia="zh-CN"/>
        </w:rPr>
        <w:t>研究</w:t>
      </w:r>
      <w:r w:rsidRPr="009E464F">
        <w:rPr>
          <w:rFonts w:cs="Times New Roman"/>
          <w:szCs w:val="32"/>
          <w:lang w:eastAsia="zh-CN"/>
        </w:rPr>
        <w:t>药物有效性或安全性的影响或</w:t>
      </w:r>
      <w:r w:rsidRPr="009E464F">
        <w:rPr>
          <w:rFonts w:cs="Times New Roman"/>
          <w:szCs w:val="32"/>
          <w:lang w:eastAsia="zh-CN"/>
        </w:rPr>
        <w:t>DDI</w:t>
      </w:r>
      <w:r w:rsidRPr="009E464F">
        <w:rPr>
          <w:rFonts w:cs="Times New Roman"/>
          <w:szCs w:val="32"/>
          <w:lang w:eastAsia="zh-CN"/>
        </w:rPr>
        <w:t>机制，申请人应当测定代谢产物的浓度。所有研究都应</w:t>
      </w:r>
      <w:r>
        <w:rPr>
          <w:rFonts w:cs="Times New Roman" w:hint="eastAsia"/>
          <w:szCs w:val="32"/>
          <w:lang w:eastAsia="zh-CN"/>
        </w:rPr>
        <w:t>基于对所用</w:t>
      </w:r>
      <w:r w:rsidRPr="009E464F">
        <w:rPr>
          <w:rFonts w:cs="Times New Roman"/>
          <w:szCs w:val="32"/>
          <w:lang w:eastAsia="zh-CN"/>
        </w:rPr>
        <w:t>药物既存安全性问题的认识</w:t>
      </w:r>
      <w:r>
        <w:rPr>
          <w:rFonts w:cs="Times New Roman" w:hint="eastAsia"/>
          <w:szCs w:val="32"/>
          <w:lang w:eastAsia="zh-CN"/>
        </w:rPr>
        <w:t>，</w:t>
      </w:r>
      <w:r w:rsidRPr="009E464F">
        <w:rPr>
          <w:rFonts w:cs="Times New Roman"/>
          <w:szCs w:val="32"/>
          <w:lang w:eastAsia="zh-CN"/>
        </w:rPr>
        <w:t>收集相关的安全性信息。</w:t>
      </w:r>
    </w:p>
    <w:p w14:paraId="6DFBDC31" w14:textId="77777777" w:rsidR="00897793" w:rsidRPr="009E464F" w:rsidRDefault="00897793"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6</w:t>
      </w:r>
      <w:r w:rsidRPr="009E464F">
        <w:rPr>
          <w:rFonts w:cs="Times New Roman"/>
          <w:lang w:eastAsia="zh-CN"/>
        </w:rPr>
        <w:t>）药效动力学终点</w:t>
      </w:r>
    </w:p>
    <w:p w14:paraId="723B298D" w14:textId="77777777" w:rsidR="00897793" w:rsidRPr="009E464F" w:rsidRDefault="00897793" w:rsidP="00593FAB">
      <w:pPr>
        <w:spacing w:after="0"/>
        <w:ind w:firstLine="640"/>
        <w:rPr>
          <w:rFonts w:cs="Times New Roman"/>
          <w:szCs w:val="32"/>
          <w:lang w:eastAsia="zh-CN"/>
        </w:rPr>
      </w:pPr>
      <w:r w:rsidRPr="009E464F">
        <w:rPr>
          <w:rFonts w:cs="Times New Roman"/>
          <w:szCs w:val="32"/>
          <w:lang w:eastAsia="zh-CN"/>
        </w:rPr>
        <w:t>在某些情况下，</w:t>
      </w:r>
      <w:r w:rsidRPr="009E464F">
        <w:rPr>
          <w:rFonts w:cs="Times New Roman"/>
          <w:lang w:eastAsia="zh-CN"/>
        </w:rPr>
        <w:t>药效动力学</w:t>
      </w:r>
      <w:r w:rsidRPr="009E464F">
        <w:rPr>
          <w:rFonts w:cs="Times New Roman"/>
          <w:szCs w:val="32"/>
          <w:lang w:eastAsia="zh-CN"/>
        </w:rPr>
        <w:t>终点</w:t>
      </w:r>
      <w:r>
        <w:rPr>
          <w:rFonts w:cs="Times New Roman" w:hint="eastAsia"/>
          <w:szCs w:val="32"/>
          <w:lang w:eastAsia="zh-CN"/>
        </w:rPr>
        <w:t>表明</w:t>
      </w:r>
      <w:r w:rsidRPr="009E464F">
        <w:rPr>
          <w:rFonts w:cs="Times New Roman"/>
          <w:szCs w:val="32"/>
          <w:lang w:eastAsia="zh-CN"/>
        </w:rPr>
        <w:t>无法通过</w:t>
      </w:r>
      <w:r>
        <w:rPr>
          <w:rFonts w:cs="Times New Roman" w:hint="eastAsia"/>
          <w:szCs w:val="32"/>
          <w:lang w:eastAsia="zh-CN"/>
        </w:rPr>
        <w:t>体内</w:t>
      </w:r>
      <w:r w:rsidRPr="009E464F">
        <w:rPr>
          <w:rFonts w:cs="Times New Roman"/>
          <w:szCs w:val="32"/>
          <w:lang w:eastAsia="zh-CN"/>
        </w:rPr>
        <w:t>药物暴露量预测疗效或毒性变化。如抑制转运体可显著改变特定组织</w:t>
      </w:r>
      <w:r w:rsidRPr="009E464F">
        <w:rPr>
          <w:rFonts w:cs="Times New Roman"/>
          <w:szCs w:val="32"/>
          <w:lang w:eastAsia="zh-CN"/>
        </w:rPr>
        <w:lastRenderedPageBreak/>
        <w:t>的浓度，从而引起毒性，但</w:t>
      </w:r>
      <w:r>
        <w:rPr>
          <w:rFonts w:cs="Times New Roman" w:hint="eastAsia"/>
          <w:szCs w:val="32"/>
          <w:lang w:eastAsia="zh-CN"/>
        </w:rPr>
        <w:t>体内</w:t>
      </w:r>
      <w:r w:rsidRPr="009E464F">
        <w:rPr>
          <w:rFonts w:cs="Times New Roman"/>
          <w:szCs w:val="32"/>
          <w:lang w:eastAsia="zh-CN"/>
        </w:rPr>
        <w:t>药物浓度改变不大。此时申请人可通过药效学终点进行</w:t>
      </w:r>
      <w:r w:rsidRPr="009E464F">
        <w:rPr>
          <w:rFonts w:cs="Times New Roman"/>
          <w:szCs w:val="32"/>
          <w:lang w:eastAsia="zh-CN"/>
        </w:rPr>
        <w:t>DDI</w:t>
      </w:r>
      <w:r w:rsidRPr="009E464F">
        <w:rPr>
          <w:rFonts w:cs="Times New Roman"/>
          <w:szCs w:val="32"/>
          <w:lang w:eastAsia="zh-CN"/>
        </w:rPr>
        <w:t>评价。</w:t>
      </w:r>
    </w:p>
    <w:p w14:paraId="62B5F9D6" w14:textId="77777777" w:rsidR="00897793" w:rsidRPr="009E464F" w:rsidRDefault="00897793" w:rsidP="00593FAB">
      <w:pPr>
        <w:spacing w:after="0"/>
        <w:ind w:firstLine="640"/>
        <w:rPr>
          <w:rFonts w:cs="Times New Roman"/>
          <w:szCs w:val="32"/>
          <w:lang w:eastAsia="zh-CN"/>
        </w:rPr>
      </w:pPr>
      <w:r w:rsidRPr="009E464F">
        <w:rPr>
          <w:rFonts w:cs="Times New Roman"/>
          <w:szCs w:val="32"/>
          <w:lang w:eastAsia="zh-CN"/>
        </w:rPr>
        <w:t>如果体外数据无法提供可通过</w:t>
      </w:r>
      <w:r>
        <w:rPr>
          <w:rFonts w:cs="Times New Roman" w:hint="eastAsia"/>
          <w:szCs w:val="32"/>
          <w:lang w:eastAsia="zh-CN"/>
        </w:rPr>
        <w:t>体内</w:t>
      </w:r>
      <w:r w:rsidRPr="009E464F">
        <w:rPr>
          <w:rFonts w:cs="Times New Roman"/>
          <w:szCs w:val="32"/>
          <w:lang w:eastAsia="zh-CN"/>
        </w:rPr>
        <w:t>药物暴露评价</w:t>
      </w:r>
      <w:r w:rsidRPr="009E464F">
        <w:rPr>
          <w:rFonts w:cs="Times New Roman"/>
          <w:szCs w:val="32"/>
          <w:lang w:eastAsia="zh-CN"/>
        </w:rPr>
        <w:t>DDI</w:t>
      </w:r>
      <w:r w:rsidRPr="009E464F">
        <w:rPr>
          <w:rFonts w:cs="Times New Roman"/>
          <w:szCs w:val="32"/>
          <w:lang w:eastAsia="zh-CN"/>
        </w:rPr>
        <w:t>的合理机制，此时申请人</w:t>
      </w:r>
      <w:r>
        <w:rPr>
          <w:rFonts w:cs="Times New Roman" w:hint="eastAsia"/>
          <w:szCs w:val="32"/>
          <w:lang w:eastAsia="zh-CN"/>
        </w:rPr>
        <w:t>可</w:t>
      </w:r>
      <w:r w:rsidRPr="009E464F">
        <w:rPr>
          <w:rFonts w:cs="Times New Roman"/>
          <w:szCs w:val="32"/>
          <w:lang w:eastAsia="zh-CN"/>
        </w:rPr>
        <w:t>向</w:t>
      </w:r>
      <w:r>
        <w:rPr>
          <w:rFonts w:cs="Times New Roman" w:hint="eastAsia"/>
          <w:lang w:eastAsia="zh-CN"/>
        </w:rPr>
        <w:t>监管</w:t>
      </w:r>
      <w:r w:rsidRPr="009E464F">
        <w:rPr>
          <w:rFonts w:cs="Times New Roman"/>
          <w:szCs w:val="32"/>
          <w:lang w:eastAsia="zh-CN"/>
        </w:rPr>
        <w:t>部门咨询以</w:t>
      </w:r>
      <w:r w:rsidRPr="009E464F">
        <w:rPr>
          <w:rFonts w:cs="Times New Roman"/>
          <w:lang w:eastAsia="zh-CN"/>
        </w:rPr>
        <w:t>药效动力学</w:t>
      </w:r>
      <w:r w:rsidRPr="009E464F">
        <w:rPr>
          <w:rFonts w:cs="Times New Roman"/>
          <w:szCs w:val="32"/>
          <w:lang w:eastAsia="zh-CN"/>
        </w:rPr>
        <w:t>终点进行</w:t>
      </w:r>
      <w:r w:rsidRPr="009E464F">
        <w:rPr>
          <w:rFonts w:cs="Times New Roman"/>
          <w:szCs w:val="32"/>
          <w:lang w:eastAsia="zh-CN"/>
        </w:rPr>
        <w:t>DDI</w:t>
      </w:r>
      <w:r w:rsidRPr="009E464F">
        <w:rPr>
          <w:rFonts w:cs="Times New Roman"/>
          <w:szCs w:val="32"/>
          <w:lang w:eastAsia="zh-CN"/>
        </w:rPr>
        <w:t>的评价事宜。</w:t>
      </w:r>
    </w:p>
    <w:p w14:paraId="7A3E6B11" w14:textId="2CBFBD7F" w:rsidR="00897793" w:rsidRPr="009E464F" w:rsidRDefault="00850539" w:rsidP="00593FAB">
      <w:pPr>
        <w:spacing w:after="0"/>
        <w:ind w:firstLine="640"/>
        <w:rPr>
          <w:rFonts w:cs="Times New Roman"/>
          <w:lang w:eastAsia="zh-CN"/>
        </w:rPr>
      </w:pPr>
      <w:bookmarkStart w:id="36" w:name="_Toc48747221"/>
      <w:bookmarkStart w:id="37" w:name="_Toc48799370"/>
      <w:r>
        <w:rPr>
          <w:rFonts w:cs="Times New Roman"/>
          <w:lang w:eastAsia="zh-CN"/>
        </w:rPr>
        <w:t>2.</w:t>
      </w:r>
      <w:r w:rsidR="00897793" w:rsidRPr="009E464F">
        <w:rPr>
          <w:rFonts w:cs="Times New Roman" w:hint="eastAsia"/>
          <w:lang w:eastAsia="zh-CN"/>
        </w:rPr>
        <w:t>在</w:t>
      </w:r>
      <w:proofErr w:type="gramStart"/>
      <w:r w:rsidR="00897793" w:rsidRPr="009E464F">
        <w:rPr>
          <w:rFonts w:cs="Times New Roman" w:hint="eastAsia"/>
          <w:lang w:eastAsia="zh-CN"/>
        </w:rPr>
        <w:t>研</w:t>
      </w:r>
      <w:proofErr w:type="gramEnd"/>
      <w:r w:rsidR="00897793" w:rsidRPr="009E464F">
        <w:rPr>
          <w:rFonts w:cs="Times New Roman"/>
          <w:lang w:eastAsia="zh-CN"/>
        </w:rPr>
        <w:t>药物为药物代谢酶底物的相互作用</w:t>
      </w:r>
      <w:bookmarkEnd w:id="36"/>
      <w:bookmarkEnd w:id="37"/>
      <w:r w:rsidR="00897793" w:rsidRPr="009E464F">
        <w:rPr>
          <w:rFonts w:cs="Times New Roman"/>
          <w:lang w:eastAsia="zh-CN"/>
        </w:rPr>
        <w:t>特殊考虑</w:t>
      </w:r>
    </w:p>
    <w:p w14:paraId="479E73B2" w14:textId="77777777" w:rsidR="00897793" w:rsidRPr="009E464F" w:rsidRDefault="00897793" w:rsidP="00593FAB">
      <w:pPr>
        <w:spacing w:after="0"/>
        <w:ind w:firstLine="640"/>
        <w:rPr>
          <w:rFonts w:cs="Times New Roman"/>
          <w:lang w:eastAsia="zh-CN"/>
        </w:rPr>
      </w:pPr>
      <w:r w:rsidRPr="009E464F">
        <w:rPr>
          <w:rFonts w:cs="Times New Roman"/>
          <w:lang w:eastAsia="zh-CN"/>
        </w:rPr>
        <w:t>评价在</w:t>
      </w:r>
      <w:proofErr w:type="gramStart"/>
      <w:r w:rsidRPr="009E464F">
        <w:rPr>
          <w:rFonts w:cs="Times New Roman"/>
          <w:lang w:eastAsia="zh-CN"/>
        </w:rPr>
        <w:t>研</w:t>
      </w:r>
      <w:proofErr w:type="gramEnd"/>
      <w:r w:rsidRPr="009E464F">
        <w:rPr>
          <w:rFonts w:cs="Times New Roman"/>
          <w:lang w:eastAsia="zh-CN"/>
        </w:rPr>
        <w:t>药物为代谢酶底物的</w:t>
      </w:r>
      <w:r w:rsidRPr="009E464F">
        <w:rPr>
          <w:rFonts w:cs="Times New Roman"/>
          <w:lang w:eastAsia="zh-CN"/>
        </w:rPr>
        <w:t>DDI</w:t>
      </w:r>
      <w:r w:rsidRPr="009E464F">
        <w:rPr>
          <w:rFonts w:cs="Times New Roman"/>
          <w:lang w:eastAsia="zh-CN"/>
        </w:rPr>
        <w:t>时，应先研究其与强效指针抑制剂和诱导剂的临床</w:t>
      </w:r>
      <w:r w:rsidRPr="009E464F">
        <w:rPr>
          <w:rFonts w:cs="Times New Roman"/>
          <w:lang w:eastAsia="zh-CN"/>
        </w:rPr>
        <w:t>DDI</w:t>
      </w:r>
      <w:r w:rsidRPr="009E464F">
        <w:rPr>
          <w:rFonts w:cs="Times New Roman"/>
          <w:lang w:eastAsia="zh-CN"/>
        </w:rPr>
        <w:t>，如果未发现明显的</w:t>
      </w:r>
      <w:r w:rsidRPr="009E464F">
        <w:rPr>
          <w:rFonts w:cs="Times New Roman"/>
          <w:lang w:eastAsia="zh-CN"/>
        </w:rPr>
        <w:t>DDI</w:t>
      </w:r>
      <w:r w:rsidRPr="009E464F">
        <w:rPr>
          <w:rFonts w:cs="Times New Roman"/>
          <w:lang w:eastAsia="zh-CN"/>
        </w:rPr>
        <w:t>则无需对该代谢酶的</w:t>
      </w:r>
      <w:r w:rsidRPr="009E464F">
        <w:rPr>
          <w:rFonts w:cs="Times New Roman"/>
          <w:lang w:eastAsia="zh-CN"/>
        </w:rPr>
        <w:t>DDI</w:t>
      </w:r>
      <w:r w:rsidRPr="009E464F">
        <w:rPr>
          <w:rFonts w:cs="Times New Roman"/>
          <w:lang w:eastAsia="zh-CN"/>
        </w:rPr>
        <w:t>进行进一步研究。若发现有临床意义的</w:t>
      </w:r>
      <w:r w:rsidRPr="009E464F">
        <w:rPr>
          <w:rFonts w:cs="Times New Roman"/>
          <w:lang w:eastAsia="zh-CN"/>
        </w:rPr>
        <w:t>DDI</w:t>
      </w:r>
      <w:r w:rsidRPr="009E464F">
        <w:rPr>
          <w:rFonts w:cs="Times New Roman"/>
          <w:lang w:eastAsia="zh-CN"/>
        </w:rPr>
        <w:t>，则应对中等或弱抑制剂</w:t>
      </w:r>
      <w:r w:rsidRPr="009E464F">
        <w:rPr>
          <w:rFonts w:cs="Times New Roman"/>
          <w:lang w:eastAsia="zh-CN"/>
        </w:rPr>
        <w:t>/</w:t>
      </w:r>
      <w:r w:rsidRPr="009E464F">
        <w:rPr>
          <w:rFonts w:cs="Times New Roman"/>
          <w:lang w:eastAsia="zh-CN"/>
        </w:rPr>
        <w:t>诱导剂的</w:t>
      </w:r>
      <w:r w:rsidRPr="009E464F">
        <w:rPr>
          <w:rFonts w:cs="Times New Roman"/>
          <w:lang w:eastAsia="zh-CN"/>
        </w:rPr>
        <w:t>DDI</w:t>
      </w:r>
      <w:r w:rsidRPr="009E464F">
        <w:rPr>
          <w:rFonts w:cs="Times New Roman"/>
          <w:lang w:eastAsia="zh-CN"/>
        </w:rPr>
        <w:t>继续进行评价。此时，申请人可使用真实的临床试验或使用人体数据（包括强效指针药物）验证过的</w:t>
      </w:r>
      <w:r w:rsidRPr="009E464F">
        <w:rPr>
          <w:rFonts w:cs="Times New Roman"/>
          <w:lang w:eastAsia="zh-CN"/>
        </w:rPr>
        <w:t>PBPK</w:t>
      </w:r>
      <w:r w:rsidRPr="009E464F">
        <w:rPr>
          <w:rFonts w:cs="Times New Roman"/>
          <w:lang w:eastAsia="zh-CN"/>
        </w:rPr>
        <w:t>模型对</w:t>
      </w:r>
      <w:r w:rsidRPr="009E464F">
        <w:rPr>
          <w:rFonts w:cs="Times New Roman"/>
          <w:lang w:eastAsia="zh-CN"/>
        </w:rPr>
        <w:t>DDI</w:t>
      </w:r>
      <w:r w:rsidRPr="009E464F">
        <w:rPr>
          <w:rFonts w:cs="Times New Roman"/>
          <w:lang w:eastAsia="zh-CN"/>
        </w:rPr>
        <w:t>进行评价。如果无明确可用的强效指针药物，可使用中效</w:t>
      </w:r>
      <w:r w:rsidRPr="009E464F">
        <w:rPr>
          <w:rFonts w:cs="Times New Roman"/>
          <w:szCs w:val="32"/>
          <w:lang w:eastAsia="zh-CN"/>
        </w:rPr>
        <w:t>指针</w:t>
      </w:r>
      <w:r w:rsidRPr="009E464F">
        <w:rPr>
          <w:rFonts w:cs="Times New Roman"/>
          <w:lang w:eastAsia="zh-CN"/>
        </w:rPr>
        <w:t>抑制剂或诱导剂进行</w:t>
      </w:r>
      <w:r w:rsidRPr="009E464F">
        <w:rPr>
          <w:rFonts w:cs="Times New Roman"/>
          <w:lang w:eastAsia="zh-CN"/>
        </w:rPr>
        <w:t>DDI</w:t>
      </w:r>
      <w:r w:rsidRPr="009E464F">
        <w:rPr>
          <w:rFonts w:cs="Times New Roman"/>
          <w:lang w:eastAsia="zh-CN"/>
        </w:rPr>
        <w:t>临床研究。附录</w:t>
      </w:r>
      <w:r w:rsidRPr="009E464F">
        <w:rPr>
          <w:rFonts w:cs="Times New Roman"/>
          <w:lang w:eastAsia="zh-CN"/>
        </w:rPr>
        <w:t>4</w:t>
      </w:r>
      <w:r w:rsidRPr="009E464F">
        <w:rPr>
          <w:rFonts w:cs="Times New Roman"/>
          <w:lang w:eastAsia="zh-CN"/>
        </w:rPr>
        <w:t>中分别列出各</w:t>
      </w:r>
      <w:r w:rsidRPr="009E464F">
        <w:rPr>
          <w:rFonts w:cs="Times New Roman"/>
          <w:lang w:eastAsia="zh-CN"/>
        </w:rPr>
        <w:t>CYP</w:t>
      </w:r>
      <w:r w:rsidRPr="009E464F">
        <w:rPr>
          <w:rFonts w:cs="Times New Roman"/>
          <w:lang w:eastAsia="zh-CN"/>
        </w:rPr>
        <w:t>酶的相应的强效或中效抑制剂、诱导剂。</w:t>
      </w:r>
    </w:p>
    <w:p w14:paraId="24C94BB5" w14:textId="4D92479A" w:rsidR="00897793" w:rsidRPr="009E464F" w:rsidRDefault="00850539" w:rsidP="00593FAB">
      <w:pPr>
        <w:spacing w:after="0"/>
        <w:ind w:firstLine="640"/>
        <w:rPr>
          <w:rFonts w:cs="Times New Roman"/>
          <w:lang w:eastAsia="zh-CN"/>
        </w:rPr>
      </w:pPr>
      <w:bookmarkStart w:id="38" w:name="_Toc48747222"/>
      <w:bookmarkStart w:id="39" w:name="_Toc48799371"/>
      <w:r>
        <w:rPr>
          <w:rFonts w:cs="Times New Roman"/>
          <w:lang w:eastAsia="zh-CN"/>
        </w:rPr>
        <w:t>3.</w:t>
      </w:r>
      <w:r w:rsidR="00897793" w:rsidRPr="009E464F">
        <w:rPr>
          <w:rFonts w:cs="Times New Roman"/>
          <w:lang w:eastAsia="zh-CN"/>
        </w:rPr>
        <w:t>在</w:t>
      </w:r>
      <w:proofErr w:type="gramStart"/>
      <w:r w:rsidR="00897793" w:rsidRPr="009E464F">
        <w:rPr>
          <w:rFonts w:cs="Times New Roman"/>
          <w:lang w:eastAsia="zh-CN"/>
        </w:rPr>
        <w:t>研</w:t>
      </w:r>
      <w:proofErr w:type="gramEnd"/>
      <w:r w:rsidR="00897793" w:rsidRPr="009E464F">
        <w:rPr>
          <w:rFonts w:cs="Times New Roman"/>
          <w:lang w:eastAsia="zh-CN"/>
        </w:rPr>
        <w:t>药物为转运体底物的相互作用</w:t>
      </w:r>
      <w:bookmarkEnd w:id="38"/>
      <w:bookmarkEnd w:id="39"/>
      <w:r w:rsidR="00897793" w:rsidRPr="009E464F">
        <w:rPr>
          <w:rFonts w:cs="Times New Roman"/>
          <w:lang w:eastAsia="zh-CN"/>
        </w:rPr>
        <w:t>特殊考虑</w:t>
      </w:r>
    </w:p>
    <w:p w14:paraId="596A22A3" w14:textId="77777777" w:rsidR="00897793" w:rsidRPr="009E464F" w:rsidRDefault="00897793" w:rsidP="00593FAB">
      <w:pPr>
        <w:spacing w:after="0"/>
        <w:ind w:firstLine="640"/>
        <w:rPr>
          <w:rFonts w:cs="Times New Roman"/>
          <w:lang w:eastAsia="zh-CN"/>
        </w:rPr>
      </w:pPr>
      <w:r w:rsidRPr="009E464F">
        <w:rPr>
          <w:rFonts w:cs="Times New Roman"/>
          <w:lang w:eastAsia="zh-CN"/>
        </w:rPr>
        <w:t>如果体外研究结果显示在</w:t>
      </w:r>
      <w:proofErr w:type="gramStart"/>
      <w:r w:rsidRPr="009E464F">
        <w:rPr>
          <w:rFonts w:cs="Times New Roman"/>
          <w:lang w:eastAsia="zh-CN"/>
        </w:rPr>
        <w:t>研</w:t>
      </w:r>
      <w:proofErr w:type="gramEnd"/>
      <w:r w:rsidRPr="009E464F">
        <w:rPr>
          <w:rFonts w:cs="Times New Roman"/>
          <w:lang w:eastAsia="zh-CN"/>
        </w:rPr>
        <w:t>药物为转运体底物，应基于药物的理论作用部位、消除途径、可能的合并用药以及安全性考虑来综合评价是否需要进行</w:t>
      </w:r>
      <w:r w:rsidRPr="009E464F">
        <w:rPr>
          <w:rFonts w:cs="Times New Roman"/>
          <w:lang w:eastAsia="zh-CN"/>
        </w:rPr>
        <w:t>DDI</w:t>
      </w:r>
      <w:r w:rsidRPr="009E464F">
        <w:rPr>
          <w:rFonts w:cs="Times New Roman"/>
          <w:lang w:eastAsia="zh-CN"/>
        </w:rPr>
        <w:t>临床研究，比如下述情况：</w:t>
      </w:r>
    </w:p>
    <w:p w14:paraId="57BFB6C8" w14:textId="77777777" w:rsidR="00897793" w:rsidRPr="009E464F" w:rsidRDefault="00897793" w:rsidP="00593FAB">
      <w:pPr>
        <w:spacing w:after="0"/>
        <w:ind w:firstLine="640"/>
        <w:rPr>
          <w:rFonts w:cs="Times New Roman"/>
          <w:lang w:eastAsia="zh-CN"/>
        </w:rPr>
      </w:pPr>
      <w:r w:rsidRPr="009E464F">
        <w:rPr>
          <w:rFonts w:cs="Times New Roman"/>
          <w:lang w:eastAsia="zh-CN"/>
        </w:rPr>
        <w:t>P-</w:t>
      </w:r>
      <w:proofErr w:type="spellStart"/>
      <w:r w:rsidRPr="009E464F">
        <w:rPr>
          <w:rFonts w:cs="Times New Roman"/>
          <w:lang w:eastAsia="zh-CN"/>
        </w:rPr>
        <w:t>gP</w:t>
      </w:r>
      <w:proofErr w:type="spellEnd"/>
      <w:r w:rsidRPr="009E464F">
        <w:rPr>
          <w:rFonts w:cs="Times New Roman"/>
          <w:lang w:eastAsia="zh-CN"/>
        </w:rPr>
        <w:t>或</w:t>
      </w:r>
      <w:r w:rsidRPr="009E464F">
        <w:rPr>
          <w:rFonts w:cs="Times New Roman"/>
          <w:lang w:eastAsia="zh-CN"/>
        </w:rPr>
        <w:t>BCRP</w:t>
      </w:r>
      <w:proofErr w:type="gramStart"/>
      <w:r w:rsidRPr="009E464F">
        <w:rPr>
          <w:rFonts w:cs="Times New Roman"/>
          <w:lang w:eastAsia="zh-CN"/>
        </w:rPr>
        <w:t>介</w:t>
      </w:r>
      <w:proofErr w:type="gramEnd"/>
      <w:r w:rsidRPr="009E464F">
        <w:rPr>
          <w:rFonts w:cs="Times New Roman"/>
          <w:lang w:eastAsia="zh-CN"/>
        </w:rPr>
        <w:t>导的</w:t>
      </w:r>
      <w:r w:rsidRPr="009E464F">
        <w:rPr>
          <w:rFonts w:cs="Times New Roman"/>
          <w:lang w:eastAsia="zh-CN"/>
        </w:rPr>
        <w:t>DDI</w:t>
      </w:r>
      <w:r w:rsidRPr="009E464F">
        <w:rPr>
          <w:rFonts w:cs="Times New Roman"/>
          <w:lang w:eastAsia="zh-CN"/>
        </w:rPr>
        <w:t>：当小肠吸收、胆汁分泌和</w:t>
      </w:r>
      <w:proofErr w:type="gramStart"/>
      <w:r w:rsidRPr="009E464F">
        <w:rPr>
          <w:rFonts w:cs="Times New Roman"/>
          <w:lang w:eastAsia="zh-CN"/>
        </w:rPr>
        <w:t>肾主动</w:t>
      </w:r>
      <w:proofErr w:type="gramEnd"/>
      <w:r w:rsidRPr="009E464F">
        <w:rPr>
          <w:rFonts w:cs="Times New Roman"/>
          <w:lang w:eastAsia="zh-CN"/>
        </w:rPr>
        <w:t>分泌环节可能显著影响药物药代动力学或</w:t>
      </w:r>
      <w:r w:rsidRPr="009E464F">
        <w:rPr>
          <w:rFonts w:cs="Times New Roman" w:hint="eastAsia"/>
          <w:lang w:eastAsia="zh-CN"/>
        </w:rPr>
        <w:t>响应</w:t>
      </w:r>
      <w:r w:rsidRPr="009E464F">
        <w:rPr>
          <w:rFonts w:cs="Times New Roman"/>
          <w:lang w:eastAsia="zh-CN"/>
        </w:rPr>
        <w:t>的变异时；</w:t>
      </w:r>
    </w:p>
    <w:p w14:paraId="70D40240" w14:textId="77777777" w:rsidR="00897793" w:rsidRPr="009E464F" w:rsidRDefault="00897793" w:rsidP="00593FAB">
      <w:pPr>
        <w:spacing w:after="0"/>
        <w:ind w:firstLine="640"/>
        <w:rPr>
          <w:rFonts w:cs="Times New Roman"/>
          <w:lang w:eastAsia="zh-CN"/>
        </w:rPr>
      </w:pPr>
      <w:r w:rsidRPr="009E464F">
        <w:rPr>
          <w:rFonts w:cs="Times New Roman"/>
          <w:lang w:eastAsia="zh-CN"/>
        </w:rPr>
        <w:lastRenderedPageBreak/>
        <w:t>OATP1B1</w:t>
      </w:r>
      <w:r w:rsidRPr="009E464F">
        <w:rPr>
          <w:rFonts w:cs="Times New Roman"/>
          <w:lang w:eastAsia="zh-CN"/>
        </w:rPr>
        <w:t>或</w:t>
      </w:r>
      <w:r w:rsidRPr="009E464F">
        <w:rPr>
          <w:rFonts w:cs="Times New Roman"/>
          <w:lang w:eastAsia="zh-CN"/>
        </w:rPr>
        <w:t>OATP1B3</w:t>
      </w:r>
      <w:proofErr w:type="gramStart"/>
      <w:r w:rsidRPr="009E464F">
        <w:rPr>
          <w:rFonts w:cs="Times New Roman"/>
          <w:lang w:eastAsia="zh-CN"/>
        </w:rPr>
        <w:t>介</w:t>
      </w:r>
      <w:proofErr w:type="gramEnd"/>
      <w:r w:rsidRPr="009E464F">
        <w:rPr>
          <w:rFonts w:cs="Times New Roman"/>
          <w:lang w:eastAsia="zh-CN"/>
        </w:rPr>
        <w:t>导的</w:t>
      </w:r>
      <w:r w:rsidRPr="009E464F">
        <w:rPr>
          <w:rFonts w:cs="Times New Roman"/>
          <w:lang w:eastAsia="zh-CN"/>
        </w:rPr>
        <w:t>DDI</w:t>
      </w:r>
      <w:r w:rsidRPr="009E464F">
        <w:rPr>
          <w:rFonts w:cs="Times New Roman"/>
          <w:lang w:eastAsia="zh-CN"/>
        </w:rPr>
        <w:t>：当肝、胆汁消除是</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药物的主要消除途径，并且药物特征（如低被动扩散特征或高的肝脏药物浓度）支持药物主动摄入</w:t>
      </w:r>
      <w:r>
        <w:rPr>
          <w:rFonts w:cs="Times New Roman" w:hint="eastAsia"/>
          <w:lang w:eastAsia="zh-CN"/>
        </w:rPr>
        <w:t>进入肝脏</w:t>
      </w:r>
      <w:r w:rsidRPr="009E464F">
        <w:rPr>
          <w:rFonts w:cs="Times New Roman"/>
          <w:lang w:eastAsia="zh-CN"/>
        </w:rPr>
        <w:t>时；</w:t>
      </w:r>
    </w:p>
    <w:p w14:paraId="10674B29" w14:textId="77777777" w:rsidR="00897793" w:rsidRPr="009E464F" w:rsidRDefault="00897793" w:rsidP="00593FAB">
      <w:pPr>
        <w:spacing w:after="0"/>
        <w:ind w:firstLine="640"/>
        <w:rPr>
          <w:rFonts w:cs="Times New Roman"/>
          <w:lang w:eastAsia="zh-CN"/>
        </w:rPr>
      </w:pPr>
      <w:r w:rsidRPr="009E464F">
        <w:rPr>
          <w:rFonts w:cs="Times New Roman"/>
          <w:lang w:eastAsia="zh-CN"/>
        </w:rPr>
        <w:t>OAT1</w:t>
      </w:r>
      <w:r w:rsidRPr="009E464F">
        <w:rPr>
          <w:rFonts w:cs="Times New Roman"/>
          <w:lang w:eastAsia="zh-CN"/>
        </w:rPr>
        <w:t>、</w:t>
      </w:r>
      <w:r w:rsidRPr="009E464F">
        <w:rPr>
          <w:rFonts w:cs="Times New Roman"/>
          <w:lang w:eastAsia="zh-CN"/>
        </w:rPr>
        <w:t>OAT3</w:t>
      </w:r>
      <w:r w:rsidRPr="009E464F">
        <w:rPr>
          <w:rFonts w:cs="Times New Roman"/>
          <w:lang w:eastAsia="zh-CN"/>
        </w:rPr>
        <w:t>、</w:t>
      </w:r>
      <w:r w:rsidRPr="009E464F">
        <w:rPr>
          <w:rFonts w:cs="Times New Roman"/>
          <w:lang w:eastAsia="zh-CN"/>
        </w:rPr>
        <w:t>OCT2</w:t>
      </w:r>
      <w:r w:rsidRPr="009E464F">
        <w:rPr>
          <w:rFonts w:cs="Times New Roman"/>
          <w:lang w:eastAsia="zh-CN"/>
        </w:rPr>
        <w:t>或</w:t>
      </w:r>
      <w:r w:rsidRPr="009E464F">
        <w:rPr>
          <w:rFonts w:cs="Times New Roman"/>
          <w:lang w:eastAsia="zh-CN"/>
        </w:rPr>
        <w:t>MATE</w:t>
      </w:r>
      <w:proofErr w:type="gramStart"/>
      <w:r w:rsidRPr="009E464F">
        <w:rPr>
          <w:rFonts w:cs="Times New Roman"/>
          <w:lang w:eastAsia="zh-CN"/>
        </w:rPr>
        <w:t>介</w:t>
      </w:r>
      <w:proofErr w:type="gramEnd"/>
      <w:r w:rsidRPr="009E464F">
        <w:rPr>
          <w:rFonts w:cs="Times New Roman"/>
          <w:lang w:eastAsia="zh-CN"/>
        </w:rPr>
        <w:t>导的</w:t>
      </w:r>
      <w:r w:rsidRPr="009E464F">
        <w:rPr>
          <w:rFonts w:cs="Times New Roman"/>
          <w:lang w:eastAsia="zh-CN"/>
        </w:rPr>
        <w:t>DDI</w:t>
      </w:r>
      <w:r w:rsidRPr="009E464F">
        <w:rPr>
          <w:rFonts w:cs="Times New Roman"/>
          <w:lang w:eastAsia="zh-CN"/>
        </w:rPr>
        <w:t>：在</w:t>
      </w:r>
      <w:proofErr w:type="gramStart"/>
      <w:r w:rsidRPr="009E464F">
        <w:rPr>
          <w:rFonts w:cs="Times New Roman"/>
          <w:lang w:eastAsia="zh-CN"/>
        </w:rPr>
        <w:t>研</w:t>
      </w:r>
      <w:proofErr w:type="gramEnd"/>
      <w:r w:rsidRPr="009E464F">
        <w:rPr>
          <w:rFonts w:cs="Times New Roman"/>
          <w:lang w:eastAsia="zh-CN"/>
        </w:rPr>
        <w:t>药物的</w:t>
      </w:r>
      <w:proofErr w:type="gramStart"/>
      <w:r w:rsidRPr="009E464F">
        <w:rPr>
          <w:rFonts w:cs="Times New Roman"/>
          <w:lang w:eastAsia="zh-CN"/>
        </w:rPr>
        <w:t>肾主动</w:t>
      </w:r>
      <w:proofErr w:type="gramEnd"/>
      <w:r w:rsidRPr="009E464F">
        <w:rPr>
          <w:rFonts w:cs="Times New Roman"/>
          <w:lang w:eastAsia="zh-CN"/>
        </w:rPr>
        <w:t>分泌过程较为重要（</w:t>
      </w:r>
      <w:r w:rsidRPr="009E464F">
        <w:rPr>
          <w:rFonts w:cs="Times New Roman"/>
          <w:lang w:eastAsia="zh-CN"/>
        </w:rPr>
        <w:t>&gt;25%</w:t>
      </w:r>
      <w:r w:rsidRPr="009E464F">
        <w:rPr>
          <w:rFonts w:cs="Times New Roman"/>
          <w:lang w:eastAsia="zh-CN"/>
        </w:rPr>
        <w:t>消除）</w:t>
      </w:r>
      <w:r>
        <w:rPr>
          <w:rFonts w:cs="Times New Roman" w:hint="eastAsia"/>
          <w:lang w:eastAsia="zh-CN"/>
        </w:rPr>
        <w:t>，</w:t>
      </w:r>
      <w:r w:rsidRPr="009E464F">
        <w:rPr>
          <w:rFonts w:cs="Times New Roman"/>
          <w:lang w:eastAsia="zh-CN"/>
        </w:rPr>
        <w:t>或</w:t>
      </w:r>
      <w:r>
        <w:rPr>
          <w:rFonts w:cs="Times New Roman" w:hint="eastAsia"/>
          <w:lang w:eastAsia="zh-CN"/>
        </w:rPr>
        <w:t>可能存在肾脏毒性的</w:t>
      </w:r>
      <w:r w:rsidRPr="009E464F">
        <w:rPr>
          <w:rFonts w:cs="Times New Roman"/>
          <w:lang w:eastAsia="zh-CN"/>
        </w:rPr>
        <w:t>问题。</w:t>
      </w:r>
    </w:p>
    <w:p w14:paraId="65BB2BC0" w14:textId="77777777" w:rsidR="00897793" w:rsidRPr="009E464F" w:rsidRDefault="00897793" w:rsidP="00593FAB">
      <w:pPr>
        <w:spacing w:after="0"/>
        <w:ind w:firstLine="640"/>
        <w:rPr>
          <w:rFonts w:cs="Times New Roman"/>
          <w:lang w:eastAsia="zh-CN"/>
        </w:rPr>
      </w:pPr>
      <w:r w:rsidRPr="009E464F">
        <w:rPr>
          <w:rFonts w:cs="Times New Roman"/>
          <w:lang w:eastAsia="zh-CN"/>
        </w:rPr>
        <w:t>因为转运</w:t>
      </w:r>
      <w:proofErr w:type="gramStart"/>
      <w:r w:rsidRPr="009E464F">
        <w:rPr>
          <w:rFonts w:cs="Times New Roman"/>
          <w:lang w:eastAsia="zh-CN"/>
        </w:rPr>
        <w:t>体普遍</w:t>
      </w:r>
      <w:proofErr w:type="gramEnd"/>
      <w:r w:rsidRPr="009E464F">
        <w:rPr>
          <w:rFonts w:cs="Times New Roman"/>
          <w:lang w:eastAsia="zh-CN"/>
        </w:rPr>
        <w:t>缺乏</w:t>
      </w:r>
      <w:r w:rsidRPr="009E464F">
        <w:rPr>
          <w:rFonts w:cs="Times New Roman"/>
          <w:szCs w:val="32"/>
          <w:lang w:eastAsia="zh-CN"/>
        </w:rPr>
        <w:t>指针</w:t>
      </w:r>
      <w:r w:rsidRPr="009E464F">
        <w:rPr>
          <w:rFonts w:cs="Times New Roman"/>
          <w:lang w:eastAsia="zh-CN"/>
        </w:rPr>
        <w:t>抑制剂，因此通常以临床上与在</w:t>
      </w:r>
      <w:proofErr w:type="gramStart"/>
      <w:r w:rsidRPr="009E464F">
        <w:rPr>
          <w:rFonts w:cs="Times New Roman"/>
          <w:lang w:eastAsia="zh-CN"/>
        </w:rPr>
        <w:t>研</w:t>
      </w:r>
      <w:proofErr w:type="gramEnd"/>
      <w:r w:rsidRPr="009E464F">
        <w:rPr>
          <w:rFonts w:cs="Times New Roman"/>
          <w:lang w:eastAsia="zh-CN"/>
        </w:rPr>
        <w:t>药物合并用药的可能性作为选择转运体抑制剂的依据。</w:t>
      </w:r>
    </w:p>
    <w:p w14:paraId="588A4601" w14:textId="77777777" w:rsidR="00897793" w:rsidRPr="009E464F" w:rsidRDefault="00897793" w:rsidP="00593FAB">
      <w:pPr>
        <w:spacing w:after="0"/>
        <w:ind w:firstLine="640"/>
        <w:rPr>
          <w:rFonts w:cs="Times New Roman"/>
          <w:lang w:eastAsia="zh-CN"/>
        </w:rPr>
      </w:pPr>
      <w:r w:rsidRPr="009E464F">
        <w:rPr>
          <w:rFonts w:cs="Times New Roman"/>
          <w:lang w:eastAsia="zh-CN"/>
        </w:rPr>
        <w:t>当</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药物可能是多个转运体通路的底物，申请人可使用一种能够抑制多个转运体通路的强效抑制剂以观察转运体</w:t>
      </w:r>
      <w:proofErr w:type="gramStart"/>
      <w:r w:rsidRPr="009E464F">
        <w:rPr>
          <w:rFonts w:cs="Times New Roman"/>
          <w:lang w:eastAsia="zh-CN"/>
        </w:rPr>
        <w:t>介</w:t>
      </w:r>
      <w:proofErr w:type="gramEnd"/>
      <w:r w:rsidRPr="009E464F">
        <w:rPr>
          <w:rFonts w:cs="Times New Roman"/>
          <w:lang w:eastAsia="zh-CN"/>
        </w:rPr>
        <w:t>导的</w:t>
      </w:r>
      <w:r w:rsidRPr="009E464F">
        <w:rPr>
          <w:rFonts w:cs="Times New Roman"/>
          <w:lang w:eastAsia="zh-CN"/>
        </w:rPr>
        <w:t>DDI</w:t>
      </w:r>
      <w:r w:rsidRPr="009E464F">
        <w:rPr>
          <w:rFonts w:cs="Times New Roman"/>
          <w:lang w:eastAsia="zh-CN"/>
        </w:rPr>
        <w:t>最严重情况。如果该</w:t>
      </w:r>
      <w:r w:rsidRPr="009E464F">
        <w:rPr>
          <w:rFonts w:cs="Times New Roman"/>
          <w:lang w:eastAsia="zh-CN"/>
        </w:rPr>
        <w:t>DDI</w:t>
      </w:r>
      <w:r w:rsidRPr="009E464F">
        <w:rPr>
          <w:rFonts w:cs="Times New Roman"/>
          <w:lang w:eastAsia="zh-CN"/>
        </w:rPr>
        <w:t>试验为阳性，则应使用更特异的指针促变药进行研究。该方法也可评估同为转运体及代谢酶的底物的</w:t>
      </w:r>
      <w:r w:rsidRPr="009E464F">
        <w:rPr>
          <w:rFonts w:cs="Times New Roman"/>
          <w:lang w:eastAsia="zh-CN"/>
        </w:rPr>
        <w:t>DDI</w:t>
      </w:r>
      <w:r w:rsidRPr="009E464F">
        <w:rPr>
          <w:rFonts w:cs="Times New Roman"/>
          <w:lang w:eastAsia="zh-CN"/>
        </w:rPr>
        <w:t>。</w:t>
      </w:r>
    </w:p>
    <w:p w14:paraId="4BAC8BB9" w14:textId="48A0FFD8" w:rsidR="00897793" w:rsidRPr="009E464F" w:rsidRDefault="00850539" w:rsidP="00593FAB">
      <w:pPr>
        <w:spacing w:after="0"/>
        <w:ind w:firstLine="640"/>
        <w:rPr>
          <w:rFonts w:cs="Times New Roman"/>
          <w:lang w:eastAsia="zh-CN"/>
        </w:rPr>
      </w:pPr>
      <w:bookmarkStart w:id="40" w:name="_Toc48747223"/>
      <w:bookmarkStart w:id="41" w:name="_Toc48799372"/>
      <w:r>
        <w:rPr>
          <w:rFonts w:cs="Times New Roman"/>
          <w:lang w:eastAsia="zh-CN"/>
        </w:rPr>
        <w:t>4.</w:t>
      </w:r>
      <w:r w:rsidR="00897793" w:rsidRPr="009E464F">
        <w:rPr>
          <w:rFonts w:cs="Times New Roman"/>
          <w:lang w:eastAsia="zh-CN"/>
        </w:rPr>
        <w:t>在</w:t>
      </w:r>
      <w:proofErr w:type="gramStart"/>
      <w:r w:rsidR="00897793" w:rsidRPr="009E464F">
        <w:rPr>
          <w:rFonts w:cs="Times New Roman"/>
          <w:lang w:eastAsia="zh-CN"/>
        </w:rPr>
        <w:t>研</w:t>
      </w:r>
      <w:proofErr w:type="gramEnd"/>
      <w:r w:rsidR="00897793" w:rsidRPr="009E464F">
        <w:rPr>
          <w:rFonts w:cs="Times New Roman"/>
          <w:lang w:eastAsia="zh-CN"/>
        </w:rPr>
        <w:t>药物为转运体或代谢酶的促变药的相互作用研究特殊考虑</w:t>
      </w:r>
      <w:bookmarkEnd w:id="40"/>
      <w:bookmarkEnd w:id="41"/>
    </w:p>
    <w:p w14:paraId="35791F9C" w14:textId="77777777" w:rsidR="00897793" w:rsidRPr="009E464F" w:rsidRDefault="00897793" w:rsidP="00593FAB">
      <w:pPr>
        <w:spacing w:after="0"/>
        <w:ind w:firstLine="640"/>
        <w:rPr>
          <w:rFonts w:cs="Times New Roman"/>
          <w:lang w:eastAsia="zh-CN"/>
        </w:rPr>
      </w:pPr>
      <w:r w:rsidRPr="009E464F">
        <w:rPr>
          <w:rFonts w:cs="Times New Roman"/>
          <w:lang w:eastAsia="zh-CN"/>
        </w:rPr>
        <w:t>申请人应选择最灵敏的代谢酶或转运体指针底物（基于消除途径的相对贡献、合适的给药方案、安全性特征及相互作用程度）进行</w:t>
      </w:r>
      <w:r w:rsidRPr="009E464F">
        <w:rPr>
          <w:rFonts w:cs="Times New Roman"/>
          <w:lang w:eastAsia="zh-CN"/>
        </w:rPr>
        <w:t>DDI</w:t>
      </w:r>
      <w:r w:rsidRPr="009E464F">
        <w:rPr>
          <w:rFonts w:cs="Times New Roman"/>
          <w:lang w:eastAsia="zh-CN"/>
        </w:rPr>
        <w:t>临床研究，</w:t>
      </w:r>
      <w:proofErr w:type="gramStart"/>
      <w:r w:rsidRPr="009E464F">
        <w:rPr>
          <w:rFonts w:cs="Times New Roman"/>
          <w:lang w:eastAsia="zh-CN"/>
        </w:rPr>
        <w:t>若结果</w:t>
      </w:r>
      <w:proofErr w:type="gramEnd"/>
      <w:r w:rsidRPr="009E464F">
        <w:rPr>
          <w:rFonts w:cs="Times New Roman"/>
          <w:lang w:eastAsia="zh-CN"/>
        </w:rPr>
        <w:t>显示有临床显著意义的</w:t>
      </w:r>
      <w:r w:rsidRPr="009E464F">
        <w:rPr>
          <w:rFonts w:cs="Times New Roman"/>
          <w:lang w:eastAsia="zh-CN"/>
        </w:rPr>
        <w:t>DDI</w:t>
      </w:r>
      <w:r w:rsidRPr="009E464F">
        <w:rPr>
          <w:rFonts w:cs="Times New Roman"/>
          <w:lang w:eastAsia="zh-CN"/>
        </w:rPr>
        <w:t>，申请人</w:t>
      </w:r>
      <w:proofErr w:type="gramStart"/>
      <w:r w:rsidRPr="009E464F">
        <w:rPr>
          <w:rFonts w:cs="Times New Roman"/>
          <w:lang w:eastAsia="zh-CN"/>
        </w:rPr>
        <w:t>应评价</w:t>
      </w:r>
      <w:proofErr w:type="gramEnd"/>
      <w:r w:rsidRPr="009E464F">
        <w:rPr>
          <w:rFonts w:cs="Times New Roman"/>
          <w:lang w:eastAsia="zh-CN"/>
        </w:rPr>
        <w:t>其与该代谢酶或转运体其他底物的</w:t>
      </w:r>
      <w:r w:rsidRPr="009E464F">
        <w:rPr>
          <w:rFonts w:cs="Times New Roman"/>
          <w:lang w:eastAsia="zh-CN"/>
        </w:rPr>
        <w:t>DDI</w:t>
      </w:r>
      <w:r w:rsidRPr="009E464F">
        <w:rPr>
          <w:rFonts w:cs="Times New Roman"/>
          <w:lang w:eastAsia="zh-CN"/>
        </w:rPr>
        <w:t>。</w:t>
      </w:r>
    </w:p>
    <w:p w14:paraId="02BE70A1" w14:textId="77777777" w:rsidR="00897793" w:rsidRPr="009E464F" w:rsidRDefault="00897793" w:rsidP="00593FAB">
      <w:pPr>
        <w:spacing w:after="0"/>
        <w:ind w:firstLine="640"/>
        <w:rPr>
          <w:rFonts w:cs="Times New Roman"/>
          <w:lang w:eastAsia="zh-CN"/>
        </w:rPr>
      </w:pPr>
      <w:r w:rsidRPr="009E464F">
        <w:rPr>
          <w:rFonts w:cs="Times New Roman"/>
          <w:lang w:eastAsia="zh-CN"/>
        </w:rPr>
        <w:t>若代谢酶底物药物并不特异，只有当</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药物是该底物指针药物代谢酶的选择性抑制剂或诱导剂时，申请人才可以使用</w:t>
      </w:r>
      <w:proofErr w:type="gramStart"/>
      <w:r w:rsidRPr="009E464F">
        <w:rPr>
          <w:rFonts w:cs="Times New Roman"/>
          <w:lang w:eastAsia="zh-CN"/>
        </w:rPr>
        <w:lastRenderedPageBreak/>
        <w:t>被多酶代谢</w:t>
      </w:r>
      <w:proofErr w:type="gramEnd"/>
      <w:r w:rsidRPr="009E464F">
        <w:rPr>
          <w:rFonts w:cs="Times New Roman"/>
          <w:lang w:eastAsia="zh-CN"/>
        </w:rPr>
        <w:t>的底物药物作为指针药物进行</w:t>
      </w:r>
      <w:r w:rsidRPr="009E464F">
        <w:rPr>
          <w:rFonts w:cs="Times New Roman"/>
          <w:lang w:eastAsia="zh-CN"/>
        </w:rPr>
        <w:t>DDI</w:t>
      </w:r>
      <w:r w:rsidRPr="009E464F">
        <w:rPr>
          <w:rFonts w:cs="Times New Roman"/>
          <w:lang w:eastAsia="zh-CN"/>
        </w:rPr>
        <w:t>临床研究。若代谢产物浓度有助于理解特异代谢酶的改变程度，申请人也可以检测代谢产物浓度。若在</w:t>
      </w:r>
      <w:proofErr w:type="gramStart"/>
      <w:r w:rsidRPr="009E464F">
        <w:rPr>
          <w:rFonts w:cs="Times New Roman"/>
          <w:lang w:eastAsia="zh-CN"/>
        </w:rPr>
        <w:t>研</w:t>
      </w:r>
      <w:proofErr w:type="gramEnd"/>
      <w:r w:rsidRPr="009E464F">
        <w:rPr>
          <w:rFonts w:cs="Times New Roman"/>
          <w:lang w:eastAsia="zh-CN"/>
        </w:rPr>
        <w:t>药物既为代谢酶抑制</w:t>
      </w:r>
      <w:proofErr w:type="gramStart"/>
      <w:r w:rsidRPr="009E464F">
        <w:rPr>
          <w:rFonts w:cs="Times New Roman"/>
          <w:lang w:eastAsia="zh-CN"/>
        </w:rPr>
        <w:t>剂又是</w:t>
      </w:r>
      <w:proofErr w:type="gramEnd"/>
      <w:r w:rsidRPr="009E464F">
        <w:rPr>
          <w:rFonts w:cs="Times New Roman"/>
          <w:lang w:eastAsia="zh-CN"/>
        </w:rPr>
        <w:t>诱导剂，其对代谢酶的影响常为时间依赖性，</w:t>
      </w:r>
      <w:proofErr w:type="gramStart"/>
      <w:r w:rsidRPr="009E464F">
        <w:rPr>
          <w:rFonts w:cs="Times New Roman"/>
          <w:lang w:eastAsia="zh-CN"/>
        </w:rPr>
        <w:t>此时药</w:t>
      </w:r>
      <w:proofErr w:type="gramEnd"/>
      <w:r w:rsidRPr="009E464F">
        <w:rPr>
          <w:rFonts w:cs="Times New Roman"/>
          <w:lang w:eastAsia="zh-CN"/>
        </w:rPr>
        <w:t>代动力学采样应足够长以便完整理解其对代谢酶的影响。</w:t>
      </w:r>
    </w:p>
    <w:p w14:paraId="5EF37281" w14:textId="337595ED" w:rsidR="00897793" w:rsidRPr="009E464F" w:rsidRDefault="00B713DE" w:rsidP="00593FAB">
      <w:pPr>
        <w:spacing w:after="0"/>
        <w:ind w:firstLine="640"/>
        <w:rPr>
          <w:rFonts w:cs="Times New Roman"/>
          <w:lang w:eastAsia="zh-CN"/>
        </w:rPr>
      </w:pPr>
      <w:r>
        <w:rPr>
          <w:rFonts w:hint="eastAsia"/>
          <w:lang w:eastAsia="zh-CN"/>
        </w:rPr>
        <w:t>是否需要评价研究药物诱导转运体的能力，申请人可与监管部门进行沟通交流后确定</w:t>
      </w:r>
      <w:r w:rsidR="00897793" w:rsidRPr="009E464F">
        <w:rPr>
          <w:rFonts w:cs="Times New Roman"/>
          <w:lang w:eastAsia="zh-CN"/>
        </w:rPr>
        <w:t>。鉴于</w:t>
      </w:r>
      <w:r w:rsidR="00897793" w:rsidRPr="009E464F">
        <w:rPr>
          <w:rFonts w:cs="Times New Roman"/>
          <w:lang w:eastAsia="zh-CN"/>
        </w:rPr>
        <w:t>CYP3A4</w:t>
      </w:r>
      <w:r w:rsidR="00897793" w:rsidRPr="009E464F">
        <w:rPr>
          <w:rFonts w:cs="Times New Roman"/>
          <w:lang w:eastAsia="zh-CN"/>
        </w:rPr>
        <w:t>和</w:t>
      </w:r>
      <w:r w:rsidR="00897793" w:rsidRPr="009E464F">
        <w:rPr>
          <w:rFonts w:cs="Times New Roman"/>
          <w:lang w:eastAsia="zh-CN"/>
        </w:rPr>
        <w:t>P-</w:t>
      </w:r>
      <w:proofErr w:type="spellStart"/>
      <w:r w:rsidR="00897793" w:rsidRPr="009E464F">
        <w:rPr>
          <w:rFonts w:cs="Times New Roman"/>
          <w:lang w:eastAsia="zh-CN"/>
        </w:rPr>
        <w:t>gp</w:t>
      </w:r>
      <w:proofErr w:type="spellEnd"/>
      <w:r w:rsidR="00897793" w:rsidRPr="009E464F">
        <w:rPr>
          <w:rFonts w:cs="Times New Roman"/>
          <w:lang w:eastAsia="zh-CN"/>
        </w:rPr>
        <w:t>诱导机制的相似性，</w:t>
      </w:r>
      <w:r w:rsidR="00897793" w:rsidRPr="009E464F">
        <w:rPr>
          <w:rFonts w:cs="Times New Roman"/>
          <w:lang w:eastAsia="zh-CN"/>
        </w:rPr>
        <w:t>CYP3A4</w:t>
      </w:r>
      <w:r w:rsidR="00897793" w:rsidRPr="009E464F">
        <w:rPr>
          <w:rFonts w:cs="Times New Roman"/>
          <w:lang w:eastAsia="zh-CN"/>
        </w:rPr>
        <w:t>不被在</w:t>
      </w:r>
      <w:proofErr w:type="gramStart"/>
      <w:r w:rsidR="00897793" w:rsidRPr="009E464F">
        <w:rPr>
          <w:rFonts w:cs="Times New Roman"/>
          <w:lang w:eastAsia="zh-CN"/>
        </w:rPr>
        <w:t>研</w:t>
      </w:r>
      <w:proofErr w:type="gramEnd"/>
      <w:r w:rsidR="00897793" w:rsidRPr="009E464F">
        <w:rPr>
          <w:rFonts w:cs="Times New Roman"/>
          <w:lang w:eastAsia="zh-CN"/>
        </w:rPr>
        <w:t>药物诱导时，也不必考察在</w:t>
      </w:r>
      <w:proofErr w:type="gramStart"/>
      <w:r w:rsidR="00897793" w:rsidRPr="009E464F">
        <w:rPr>
          <w:rFonts w:cs="Times New Roman"/>
          <w:lang w:eastAsia="zh-CN"/>
        </w:rPr>
        <w:t>研</w:t>
      </w:r>
      <w:proofErr w:type="gramEnd"/>
      <w:r w:rsidR="00897793" w:rsidRPr="009E464F">
        <w:rPr>
          <w:rFonts w:cs="Times New Roman"/>
          <w:lang w:eastAsia="zh-CN"/>
        </w:rPr>
        <w:t>药物对</w:t>
      </w:r>
      <w:r w:rsidR="00897793" w:rsidRPr="009E464F">
        <w:rPr>
          <w:rFonts w:cs="Times New Roman"/>
          <w:lang w:eastAsia="zh-CN"/>
        </w:rPr>
        <w:t>P-</w:t>
      </w:r>
      <w:proofErr w:type="spellStart"/>
      <w:r w:rsidR="00897793" w:rsidRPr="009E464F">
        <w:rPr>
          <w:rFonts w:cs="Times New Roman"/>
          <w:lang w:eastAsia="zh-CN"/>
        </w:rPr>
        <w:t>gp</w:t>
      </w:r>
      <w:proofErr w:type="spellEnd"/>
      <w:r w:rsidR="00897793" w:rsidRPr="009E464F">
        <w:rPr>
          <w:rFonts w:cs="Times New Roman"/>
          <w:lang w:eastAsia="zh-CN"/>
        </w:rPr>
        <w:t>的诱导作用，但若</w:t>
      </w:r>
      <w:r w:rsidR="00897793" w:rsidRPr="009E464F">
        <w:rPr>
          <w:rFonts w:cs="Times New Roman"/>
          <w:lang w:eastAsia="zh-CN"/>
        </w:rPr>
        <w:t>CYP3A4</w:t>
      </w:r>
      <w:r w:rsidR="00897793" w:rsidRPr="009E464F">
        <w:rPr>
          <w:rFonts w:cs="Times New Roman"/>
          <w:lang w:eastAsia="zh-CN"/>
        </w:rPr>
        <w:t>可被诱导时，申请人应考察在</w:t>
      </w:r>
      <w:proofErr w:type="gramStart"/>
      <w:r w:rsidR="00897793" w:rsidRPr="009E464F">
        <w:rPr>
          <w:rFonts w:cs="Times New Roman"/>
          <w:lang w:eastAsia="zh-CN"/>
        </w:rPr>
        <w:t>研</w:t>
      </w:r>
      <w:proofErr w:type="gramEnd"/>
      <w:r w:rsidR="00897793" w:rsidRPr="009E464F">
        <w:rPr>
          <w:rFonts w:cs="Times New Roman"/>
          <w:lang w:eastAsia="zh-CN"/>
        </w:rPr>
        <w:t>药物对</w:t>
      </w:r>
      <w:r w:rsidR="00897793" w:rsidRPr="009E464F">
        <w:rPr>
          <w:rFonts w:cs="Times New Roman"/>
          <w:lang w:eastAsia="zh-CN"/>
        </w:rPr>
        <w:t>P-</w:t>
      </w:r>
      <w:proofErr w:type="spellStart"/>
      <w:r w:rsidR="00897793" w:rsidRPr="009E464F">
        <w:rPr>
          <w:rFonts w:cs="Times New Roman"/>
          <w:lang w:eastAsia="zh-CN"/>
        </w:rPr>
        <w:t>gp</w:t>
      </w:r>
      <w:proofErr w:type="spellEnd"/>
      <w:r w:rsidR="00897793" w:rsidRPr="009E464F">
        <w:rPr>
          <w:rFonts w:cs="Times New Roman"/>
          <w:lang w:eastAsia="zh-CN"/>
        </w:rPr>
        <w:t>的影响，若在</w:t>
      </w:r>
      <w:proofErr w:type="gramStart"/>
      <w:r w:rsidR="00897793" w:rsidRPr="009E464F">
        <w:rPr>
          <w:rFonts w:cs="Times New Roman"/>
          <w:lang w:eastAsia="zh-CN"/>
        </w:rPr>
        <w:t>研</w:t>
      </w:r>
      <w:proofErr w:type="gramEnd"/>
      <w:r w:rsidR="00897793" w:rsidRPr="009E464F">
        <w:rPr>
          <w:rFonts w:cs="Times New Roman"/>
          <w:lang w:eastAsia="zh-CN"/>
        </w:rPr>
        <w:t>药物也抑制</w:t>
      </w:r>
      <w:r w:rsidR="00897793" w:rsidRPr="009E464F">
        <w:rPr>
          <w:rFonts w:cs="Times New Roman"/>
          <w:lang w:eastAsia="zh-CN"/>
        </w:rPr>
        <w:t>P-</w:t>
      </w:r>
      <w:proofErr w:type="spellStart"/>
      <w:r w:rsidR="00897793" w:rsidRPr="009E464F">
        <w:rPr>
          <w:rFonts w:cs="Times New Roman"/>
          <w:lang w:eastAsia="zh-CN"/>
        </w:rPr>
        <w:t>gp</w:t>
      </w:r>
      <w:proofErr w:type="spellEnd"/>
      <w:r w:rsidR="00897793" w:rsidRPr="009E464F">
        <w:rPr>
          <w:rFonts w:cs="Times New Roman"/>
          <w:lang w:eastAsia="zh-CN"/>
        </w:rPr>
        <w:t>时，诱导试验可与抑制剂试验合并，并应采用多次给药试验设计。</w:t>
      </w:r>
    </w:p>
    <w:p w14:paraId="3C7CAA8A" w14:textId="42476DAA" w:rsidR="00897793" w:rsidRPr="009E464F" w:rsidRDefault="00850539" w:rsidP="00593FAB">
      <w:pPr>
        <w:spacing w:after="0"/>
        <w:ind w:firstLine="640"/>
        <w:rPr>
          <w:rFonts w:cs="Times New Roman"/>
          <w:lang w:eastAsia="zh-CN"/>
        </w:rPr>
      </w:pPr>
      <w:r>
        <w:rPr>
          <w:rFonts w:cs="Times New Roman"/>
          <w:lang w:eastAsia="zh-CN"/>
        </w:rPr>
        <w:t>5.</w:t>
      </w:r>
      <w:r w:rsidR="00897793" w:rsidRPr="009E464F">
        <w:rPr>
          <w:rFonts w:cs="Times New Roman"/>
          <w:lang w:eastAsia="zh-CN"/>
        </w:rPr>
        <w:t>鸡尾酒底物研究方法及内源性物质的应用</w:t>
      </w:r>
    </w:p>
    <w:p w14:paraId="15A73B4A" w14:textId="77777777" w:rsidR="00897793" w:rsidRPr="009E464F" w:rsidRDefault="00897793" w:rsidP="00593FAB">
      <w:pPr>
        <w:spacing w:after="0"/>
        <w:ind w:firstLine="640"/>
        <w:rPr>
          <w:rFonts w:cs="Times New Roman"/>
          <w:lang w:eastAsia="zh-CN"/>
        </w:rPr>
      </w:pPr>
      <w:r w:rsidRPr="009E464F">
        <w:rPr>
          <w:rFonts w:cs="Times New Roman"/>
          <w:lang w:eastAsia="zh-CN"/>
        </w:rPr>
        <w:t>如果在</w:t>
      </w:r>
      <w:proofErr w:type="gramStart"/>
      <w:r w:rsidRPr="009E464F">
        <w:rPr>
          <w:rFonts w:cs="Times New Roman"/>
          <w:lang w:eastAsia="zh-CN"/>
        </w:rPr>
        <w:t>研</w:t>
      </w:r>
      <w:proofErr w:type="gramEnd"/>
      <w:r w:rsidRPr="009E464F">
        <w:rPr>
          <w:rFonts w:cs="Times New Roman"/>
          <w:lang w:eastAsia="zh-CN"/>
        </w:rPr>
        <w:t>药物是多个代谢酶或转运体的促变药，则可以选择</w:t>
      </w:r>
      <w:r w:rsidRPr="009E464F">
        <w:rPr>
          <w:rFonts w:cs="Times New Roman"/>
          <w:lang w:eastAsia="zh-CN"/>
        </w:rPr>
        <w:t>“</w:t>
      </w:r>
      <w:r w:rsidRPr="009E464F">
        <w:rPr>
          <w:rFonts w:cs="Times New Roman"/>
          <w:lang w:eastAsia="zh-CN"/>
        </w:rPr>
        <w:t>鸡尾酒底物研究法</w:t>
      </w:r>
      <w:r w:rsidRPr="009E464F">
        <w:rPr>
          <w:rFonts w:cs="Times New Roman"/>
          <w:lang w:eastAsia="zh-CN"/>
        </w:rPr>
        <w:t xml:space="preserve">” </w:t>
      </w:r>
      <w:r w:rsidRPr="009E464F">
        <w:rPr>
          <w:rFonts w:cs="Times New Roman"/>
          <w:lang w:eastAsia="zh-CN"/>
        </w:rPr>
        <w:t>（</w:t>
      </w:r>
      <w:r w:rsidRPr="009E464F">
        <w:rPr>
          <w:rFonts w:cs="Times New Roman"/>
          <w:lang w:eastAsia="zh-CN"/>
        </w:rPr>
        <w:t>Cocktail substrate studies</w:t>
      </w:r>
      <w:r w:rsidRPr="009E464F">
        <w:rPr>
          <w:rFonts w:cs="Times New Roman"/>
          <w:lang w:eastAsia="zh-CN"/>
        </w:rPr>
        <w:t>）进行临床研究，此研究要求</w:t>
      </w:r>
      <w:r w:rsidRPr="009E464F">
        <w:rPr>
          <w:rFonts w:cs="Times New Roman"/>
          <w:lang w:eastAsia="zh-CN"/>
        </w:rPr>
        <w:t>1</w:t>
      </w:r>
      <w:r w:rsidRPr="009E464F">
        <w:rPr>
          <w:rFonts w:cs="Times New Roman"/>
          <w:lang w:eastAsia="zh-CN"/>
        </w:rPr>
        <w:t>）底物对研究的代谢酶或转运体特异；</w:t>
      </w:r>
      <w:r w:rsidRPr="009E464F">
        <w:rPr>
          <w:rFonts w:cs="Times New Roman"/>
          <w:lang w:eastAsia="zh-CN"/>
        </w:rPr>
        <w:t>2</w:t>
      </w:r>
      <w:r w:rsidRPr="009E464F">
        <w:rPr>
          <w:rFonts w:cs="Times New Roman"/>
          <w:lang w:eastAsia="zh-CN"/>
        </w:rPr>
        <w:t>）底物之间无相互作用；</w:t>
      </w:r>
      <w:r w:rsidRPr="009E464F">
        <w:rPr>
          <w:rFonts w:cs="Times New Roman"/>
          <w:lang w:eastAsia="zh-CN"/>
        </w:rPr>
        <w:t>3</w:t>
      </w:r>
      <w:r w:rsidRPr="009E464F">
        <w:rPr>
          <w:rFonts w:cs="Times New Roman"/>
          <w:lang w:eastAsia="zh-CN"/>
        </w:rPr>
        <w:t>）受试者样本量足以评价相互作用。如果研究表明在</w:t>
      </w:r>
      <w:proofErr w:type="gramStart"/>
      <w:r w:rsidRPr="009E464F">
        <w:rPr>
          <w:rFonts w:cs="Times New Roman"/>
          <w:lang w:eastAsia="zh-CN"/>
        </w:rPr>
        <w:t>研</w:t>
      </w:r>
      <w:proofErr w:type="gramEnd"/>
      <w:r w:rsidRPr="009E464F">
        <w:rPr>
          <w:rFonts w:cs="Times New Roman"/>
          <w:lang w:eastAsia="zh-CN"/>
        </w:rPr>
        <w:t>药物与</w:t>
      </w:r>
      <w:proofErr w:type="gramStart"/>
      <w:r w:rsidRPr="009E464F">
        <w:rPr>
          <w:rFonts w:cs="Times New Roman"/>
          <w:lang w:eastAsia="zh-CN"/>
        </w:rPr>
        <w:t>多种酶无相互作用</w:t>
      </w:r>
      <w:proofErr w:type="gramEnd"/>
      <w:r w:rsidRPr="009E464F">
        <w:rPr>
          <w:rFonts w:cs="Times New Roman"/>
          <w:lang w:eastAsia="zh-CN"/>
        </w:rPr>
        <w:t>，就不需要做进一步的评价，否则，应单独进行在</w:t>
      </w:r>
      <w:proofErr w:type="gramStart"/>
      <w:r w:rsidRPr="009E464F">
        <w:rPr>
          <w:rFonts w:cs="Times New Roman"/>
          <w:lang w:eastAsia="zh-CN"/>
        </w:rPr>
        <w:t>研</w:t>
      </w:r>
      <w:proofErr w:type="gramEnd"/>
      <w:r w:rsidRPr="009E464F">
        <w:rPr>
          <w:rFonts w:cs="Times New Roman"/>
          <w:lang w:eastAsia="zh-CN"/>
        </w:rPr>
        <w:t>药物与敏感底物的相互作用研究。如果有充分数据支持内源性物质（例如</w:t>
      </w:r>
      <w:r w:rsidRPr="009E464F">
        <w:rPr>
          <w:rFonts w:cs="Times New Roman"/>
          <w:lang w:eastAsia="zh-CN"/>
        </w:rPr>
        <w:t>N1-</w:t>
      </w:r>
      <w:r w:rsidRPr="009E464F">
        <w:rPr>
          <w:rFonts w:cs="Times New Roman"/>
          <w:lang w:eastAsia="zh-CN"/>
        </w:rPr>
        <w:t>甲基烟酰胺、硫胺素、胆红素），研究者可考虑通过在临床试验中测量这些内源性物质来评估在</w:t>
      </w:r>
      <w:proofErr w:type="gramStart"/>
      <w:r w:rsidRPr="009E464F">
        <w:rPr>
          <w:rFonts w:cs="Times New Roman"/>
          <w:lang w:eastAsia="zh-CN"/>
        </w:rPr>
        <w:t>研</w:t>
      </w:r>
      <w:proofErr w:type="gramEnd"/>
      <w:r w:rsidRPr="009E464F">
        <w:rPr>
          <w:rFonts w:cs="Times New Roman"/>
          <w:lang w:eastAsia="zh-CN"/>
        </w:rPr>
        <w:t>药物对</w:t>
      </w:r>
      <w:r>
        <w:rPr>
          <w:rFonts w:cs="Times New Roman" w:hint="eastAsia"/>
          <w:lang w:eastAsia="zh-CN"/>
        </w:rPr>
        <w:t>代谢</w:t>
      </w:r>
      <w:r w:rsidRPr="009E464F">
        <w:rPr>
          <w:rFonts w:cs="Times New Roman"/>
          <w:lang w:eastAsia="zh-CN"/>
        </w:rPr>
        <w:t>酶和转运体的影响。</w:t>
      </w:r>
    </w:p>
    <w:p w14:paraId="4B9A407A" w14:textId="77777777" w:rsidR="00897793" w:rsidRPr="00850539" w:rsidRDefault="00897793" w:rsidP="00850539">
      <w:pPr>
        <w:widowControl w:val="0"/>
        <w:autoSpaceDE w:val="0"/>
        <w:autoSpaceDN w:val="0"/>
        <w:adjustRightInd w:val="0"/>
        <w:spacing w:after="0"/>
        <w:ind w:firstLine="640"/>
        <w:rPr>
          <w:rFonts w:eastAsia="楷体" w:cs="Times New Roman"/>
          <w:color w:val="000000"/>
          <w:szCs w:val="32"/>
          <w:lang w:eastAsia="zh-CN"/>
        </w:rPr>
      </w:pPr>
      <w:bookmarkStart w:id="42" w:name="_Toc48747224"/>
      <w:bookmarkStart w:id="43" w:name="_Toc48799373"/>
      <w:bookmarkStart w:id="44" w:name="_Toc50395973"/>
      <w:r w:rsidRPr="00850539">
        <w:rPr>
          <w:rFonts w:eastAsia="楷体" w:cs="Times New Roman"/>
          <w:color w:val="000000"/>
          <w:szCs w:val="32"/>
          <w:lang w:eastAsia="zh-CN"/>
        </w:rPr>
        <w:lastRenderedPageBreak/>
        <w:t>（三）前瞻性嵌套临床相互作用试验考虑</w:t>
      </w:r>
      <w:bookmarkEnd w:id="42"/>
      <w:bookmarkEnd w:id="43"/>
      <w:bookmarkEnd w:id="44"/>
    </w:p>
    <w:p w14:paraId="77A863CE" w14:textId="77777777" w:rsidR="00897793" w:rsidRPr="009E464F" w:rsidRDefault="00897793" w:rsidP="00593FAB">
      <w:pPr>
        <w:spacing w:after="0"/>
        <w:ind w:firstLine="640"/>
        <w:rPr>
          <w:rFonts w:cs="Times New Roman"/>
          <w:lang w:eastAsia="zh-CN"/>
        </w:rPr>
      </w:pPr>
      <w:r w:rsidRPr="009E464F">
        <w:rPr>
          <w:rFonts w:cs="Times New Roman"/>
          <w:lang w:eastAsia="zh-CN"/>
        </w:rPr>
        <w:t>除了开展独立临床相互作用试验以外，研究者还可在其他临床试验中评价药物相互作用（常通过收集稀疏采集的药动学样本）。此时，研究者需要谨慎设计临床试验，有针对性地收集影响评价药物相互作用的信息（如给药剂量、给药时间、终止给药时间、合并用药以及可显著影响药物暴露的等临床因素），有时需要提前进行模拟（如群体</w:t>
      </w:r>
      <w:r>
        <w:rPr>
          <w:rFonts w:cs="Times New Roman" w:hint="eastAsia"/>
          <w:lang w:eastAsia="zh-CN"/>
        </w:rPr>
        <w:t>药代动力学</w:t>
      </w:r>
      <w:r w:rsidRPr="009E464F">
        <w:rPr>
          <w:rFonts w:cs="Times New Roman"/>
          <w:lang w:eastAsia="zh-CN"/>
        </w:rPr>
        <w:t>模型或</w:t>
      </w:r>
      <w:r w:rsidRPr="009E464F">
        <w:rPr>
          <w:rFonts w:cs="Times New Roman"/>
          <w:lang w:eastAsia="zh-CN"/>
        </w:rPr>
        <w:t>PBPK</w:t>
      </w:r>
      <w:r w:rsidRPr="009E464F">
        <w:rPr>
          <w:rFonts w:cs="Times New Roman"/>
          <w:lang w:eastAsia="zh-CN"/>
        </w:rPr>
        <w:t>模型）以支持采样点选择，以能充分观察到可能的药物相互作用程度。在设计良好的研究中，申请人可通过</w:t>
      </w:r>
      <w:r w:rsidRPr="009E464F">
        <w:rPr>
          <w:rFonts w:cs="Times New Roman" w:hint="eastAsia"/>
          <w:lang w:eastAsia="zh-CN"/>
        </w:rPr>
        <w:t>群体药代动力学</w:t>
      </w:r>
      <w:r w:rsidRPr="009E464F">
        <w:rPr>
          <w:rFonts w:cs="Times New Roman"/>
          <w:lang w:eastAsia="zh-CN"/>
        </w:rPr>
        <w:t>模型方法评价在</w:t>
      </w:r>
      <w:proofErr w:type="gramStart"/>
      <w:r w:rsidRPr="009E464F">
        <w:rPr>
          <w:rFonts w:cs="Times New Roman"/>
          <w:lang w:eastAsia="zh-CN"/>
        </w:rPr>
        <w:t>研</w:t>
      </w:r>
      <w:proofErr w:type="gramEnd"/>
      <w:r w:rsidRPr="009E464F">
        <w:rPr>
          <w:rFonts w:cs="Times New Roman"/>
          <w:lang w:eastAsia="zh-CN"/>
        </w:rPr>
        <w:t>药物为底物时的药物相互作用，当在</w:t>
      </w:r>
      <w:proofErr w:type="gramStart"/>
      <w:r w:rsidRPr="009E464F">
        <w:rPr>
          <w:rFonts w:cs="Times New Roman"/>
          <w:lang w:eastAsia="zh-CN"/>
        </w:rPr>
        <w:t>研</w:t>
      </w:r>
      <w:proofErr w:type="gramEnd"/>
      <w:r w:rsidRPr="009E464F">
        <w:rPr>
          <w:rFonts w:cs="Times New Roman"/>
          <w:lang w:eastAsia="zh-CN"/>
        </w:rPr>
        <w:t>药物为促变药并且临床试验未测定其底物药物浓度时，该方法并不适用。</w:t>
      </w:r>
    </w:p>
    <w:p w14:paraId="1209CDB9" w14:textId="77777777" w:rsidR="00897793" w:rsidRPr="00850539" w:rsidRDefault="00897793" w:rsidP="00850539">
      <w:pPr>
        <w:widowControl w:val="0"/>
        <w:autoSpaceDE w:val="0"/>
        <w:autoSpaceDN w:val="0"/>
        <w:adjustRightInd w:val="0"/>
        <w:spacing w:after="0"/>
        <w:ind w:firstLine="640"/>
        <w:rPr>
          <w:rFonts w:eastAsia="楷体" w:cs="Times New Roman"/>
          <w:color w:val="000000"/>
          <w:szCs w:val="32"/>
          <w:lang w:eastAsia="zh-CN"/>
        </w:rPr>
      </w:pPr>
      <w:bookmarkStart w:id="45" w:name="_Toc48747225"/>
      <w:bookmarkStart w:id="46" w:name="_Toc48799374"/>
      <w:bookmarkStart w:id="47" w:name="_Toc50395974"/>
      <w:r w:rsidRPr="00850539">
        <w:rPr>
          <w:rFonts w:eastAsia="楷体" w:cs="Times New Roman"/>
          <w:color w:val="000000"/>
          <w:szCs w:val="32"/>
          <w:lang w:eastAsia="zh-CN"/>
        </w:rPr>
        <w:t>（四）数学模型临床试验特殊考虑</w:t>
      </w:r>
      <w:bookmarkEnd w:id="45"/>
      <w:bookmarkEnd w:id="46"/>
      <w:bookmarkEnd w:id="47"/>
    </w:p>
    <w:p w14:paraId="1D25FDAA" w14:textId="77777777" w:rsidR="00897793" w:rsidRPr="009E464F" w:rsidRDefault="00897793" w:rsidP="00593FAB">
      <w:pPr>
        <w:spacing w:after="0"/>
        <w:ind w:firstLine="640"/>
        <w:rPr>
          <w:rFonts w:cs="Times New Roman"/>
          <w:color w:val="000000" w:themeColor="text1"/>
          <w:lang w:eastAsia="zh-CN"/>
        </w:rPr>
      </w:pPr>
      <w:r w:rsidRPr="009E464F">
        <w:rPr>
          <w:rFonts w:cs="Times New Roman"/>
          <w:lang w:eastAsia="zh-CN"/>
        </w:rPr>
        <w:t>新药临床研发中，需要对</w:t>
      </w:r>
      <w:r w:rsidRPr="009E464F">
        <w:rPr>
          <w:rFonts w:cs="Times New Roman"/>
          <w:lang w:eastAsia="zh-CN"/>
        </w:rPr>
        <w:t>DDI</w:t>
      </w:r>
      <w:r w:rsidRPr="009E464F">
        <w:rPr>
          <w:rFonts w:cs="Times New Roman"/>
          <w:lang w:eastAsia="zh-CN"/>
        </w:rPr>
        <w:t>研究做出预测以辅助临床试验设计，有时也可以根据预测结果评价临床药物相互作用。该研究主要是</w:t>
      </w:r>
      <w:proofErr w:type="gramStart"/>
      <w:r w:rsidRPr="009E464F">
        <w:rPr>
          <w:rFonts w:cs="Times New Roman"/>
          <w:lang w:eastAsia="zh-CN"/>
        </w:rPr>
        <w:t>考量</w:t>
      </w:r>
      <w:proofErr w:type="gramEnd"/>
      <w:r w:rsidRPr="009E464F">
        <w:rPr>
          <w:rFonts w:cs="Times New Roman"/>
          <w:lang w:eastAsia="zh-CN"/>
        </w:rPr>
        <w:t>系统特异参数改变或药物特异参数受到影响后的</w:t>
      </w:r>
      <w:r w:rsidRPr="009E464F">
        <w:rPr>
          <w:rFonts w:cs="Times New Roman"/>
          <w:lang w:eastAsia="zh-CN"/>
        </w:rPr>
        <w:t>PK</w:t>
      </w:r>
      <w:r w:rsidRPr="009E464F">
        <w:rPr>
          <w:rFonts w:cs="Times New Roman"/>
          <w:lang w:eastAsia="zh-CN"/>
        </w:rPr>
        <w:t>特征，其研究方法通常如下：使用体外实测数据建立模型，并使用人体单</w:t>
      </w:r>
      <w:r w:rsidRPr="009E464F">
        <w:rPr>
          <w:rFonts w:cs="Times New Roman"/>
          <w:lang w:eastAsia="zh-CN"/>
        </w:rPr>
        <w:t>/</w:t>
      </w:r>
      <w:r w:rsidRPr="009E464F">
        <w:rPr>
          <w:rFonts w:cs="Times New Roman"/>
          <w:lang w:eastAsia="zh-CN"/>
        </w:rPr>
        <w:t>多次给药</w:t>
      </w:r>
      <w:r w:rsidRPr="009E464F">
        <w:rPr>
          <w:rFonts w:cs="Times New Roman"/>
          <w:lang w:eastAsia="zh-CN"/>
        </w:rPr>
        <w:t>PK</w:t>
      </w:r>
      <w:r w:rsidRPr="009E464F">
        <w:rPr>
          <w:rFonts w:cs="Times New Roman"/>
          <w:lang w:eastAsia="zh-CN"/>
        </w:rPr>
        <w:t>数据和物质平衡研究数据验证该模型；使用能体现药物相互作用的机制性数据建立药物相互作用的模型，用以优化药物相互作用临床试</w:t>
      </w:r>
      <w:r w:rsidRPr="009E464F">
        <w:rPr>
          <w:rFonts w:cs="Times New Roman"/>
          <w:color w:val="000000" w:themeColor="text1"/>
          <w:lang w:eastAsia="zh-CN"/>
        </w:rPr>
        <w:t>验的设计，并进行虚拟人模拟试验，支持药物相互作用情况下的剂量调整。当</w:t>
      </w:r>
      <w:r w:rsidRPr="009E464F">
        <w:rPr>
          <w:rFonts w:cs="Times New Roman"/>
          <w:color w:val="000000" w:themeColor="text1"/>
          <w:lang w:eastAsia="zh-CN"/>
        </w:rPr>
        <w:lastRenderedPageBreak/>
        <w:t>使用</w:t>
      </w:r>
      <w:r w:rsidRPr="009E464F">
        <w:rPr>
          <w:rFonts w:cs="Times New Roman"/>
          <w:color w:val="000000" w:themeColor="text1"/>
          <w:lang w:eastAsia="zh-CN"/>
        </w:rPr>
        <w:t>PBPK</w:t>
      </w:r>
      <w:r w:rsidRPr="009E464F">
        <w:rPr>
          <w:rFonts w:cs="Times New Roman"/>
          <w:color w:val="000000" w:themeColor="text1"/>
          <w:lang w:eastAsia="zh-CN"/>
        </w:rPr>
        <w:t>模拟来支持临床</w:t>
      </w:r>
      <w:r w:rsidRPr="009E464F">
        <w:rPr>
          <w:rFonts w:cs="Times New Roman"/>
          <w:color w:val="000000" w:themeColor="text1"/>
          <w:lang w:eastAsia="zh-CN"/>
        </w:rPr>
        <w:t>DDI</w:t>
      </w:r>
      <w:r w:rsidRPr="009E464F">
        <w:rPr>
          <w:rFonts w:cs="Times New Roman"/>
          <w:color w:val="000000" w:themeColor="text1"/>
          <w:lang w:eastAsia="zh-CN"/>
        </w:rPr>
        <w:t>评价时，研究者应使用临床</w:t>
      </w:r>
      <w:r w:rsidRPr="009E464F">
        <w:rPr>
          <w:rFonts w:cs="Times New Roman"/>
          <w:color w:val="000000" w:themeColor="text1"/>
          <w:lang w:eastAsia="zh-CN"/>
        </w:rPr>
        <w:t>DDI</w:t>
      </w:r>
      <w:r w:rsidRPr="009E464F">
        <w:rPr>
          <w:rFonts w:cs="Times New Roman"/>
          <w:color w:val="000000" w:themeColor="text1"/>
          <w:lang w:eastAsia="zh-CN"/>
        </w:rPr>
        <w:t>体内数据对模型进行充分验证。值得注意的是，该方法经常使用预测暴露量的均值和临床实测值做比较，</w:t>
      </w:r>
      <w:r>
        <w:rPr>
          <w:rFonts w:cs="Times New Roman" w:hint="eastAsia"/>
          <w:color w:val="000000" w:themeColor="text1"/>
          <w:lang w:eastAsia="zh-CN"/>
        </w:rPr>
        <w:t>但某些情况下</w:t>
      </w:r>
      <w:r w:rsidRPr="009E464F">
        <w:rPr>
          <w:rFonts w:cs="Times New Roman"/>
          <w:color w:val="000000" w:themeColor="text1"/>
          <w:lang w:eastAsia="zh-CN"/>
        </w:rPr>
        <w:t>对变异性的预测结果的评估也很重要（比如进行敏感性分析时）。</w:t>
      </w:r>
      <w:r>
        <w:rPr>
          <w:rFonts w:cs="Times New Roman" w:hint="eastAsia"/>
          <w:color w:val="000000" w:themeColor="text1"/>
          <w:lang w:eastAsia="zh-CN"/>
        </w:rPr>
        <w:t>某些情况下，</w:t>
      </w:r>
      <w:r w:rsidRPr="009E464F">
        <w:rPr>
          <w:rFonts w:cs="Times New Roman"/>
          <w:color w:val="000000" w:themeColor="text1"/>
          <w:lang w:eastAsia="zh-CN"/>
        </w:rPr>
        <w:t>选用健康的虚拟人群进行模拟，不能反映患者特性，因此有必要在分析时把这些特性考虑在模型结构中</w:t>
      </w:r>
      <w:r w:rsidRPr="009E464F">
        <w:rPr>
          <w:rFonts w:cs="Times New Roman"/>
          <w:color w:val="000000" w:themeColor="text1"/>
          <w:shd w:val="clear" w:color="auto" w:fill="FFFFFF"/>
          <w:lang w:eastAsia="zh-CN"/>
        </w:rPr>
        <w:t>。</w:t>
      </w:r>
    </w:p>
    <w:p w14:paraId="558112DC" w14:textId="77777777" w:rsidR="00897793" w:rsidRPr="00850539" w:rsidRDefault="00897793" w:rsidP="00850539">
      <w:pPr>
        <w:widowControl w:val="0"/>
        <w:autoSpaceDE w:val="0"/>
        <w:autoSpaceDN w:val="0"/>
        <w:adjustRightInd w:val="0"/>
        <w:spacing w:after="0"/>
        <w:ind w:firstLine="640"/>
        <w:rPr>
          <w:rFonts w:eastAsia="楷体" w:cs="Times New Roman"/>
          <w:color w:val="000000"/>
          <w:szCs w:val="32"/>
          <w:lang w:eastAsia="zh-CN"/>
        </w:rPr>
      </w:pPr>
      <w:bookmarkStart w:id="48" w:name="_Toc48747226"/>
      <w:bookmarkStart w:id="49" w:name="_Toc48799375"/>
      <w:bookmarkStart w:id="50" w:name="_Toc50395975"/>
      <w:r w:rsidRPr="00850539">
        <w:rPr>
          <w:rFonts w:eastAsia="楷体" w:cs="Times New Roman"/>
          <w:color w:val="000000"/>
          <w:szCs w:val="32"/>
          <w:lang w:eastAsia="zh-CN"/>
        </w:rPr>
        <w:t>（五）其他临床研究设计考虑问题</w:t>
      </w:r>
      <w:bookmarkEnd w:id="48"/>
      <w:bookmarkEnd w:id="49"/>
      <w:bookmarkEnd w:id="50"/>
    </w:p>
    <w:p w14:paraId="53BD734A" w14:textId="2FD10092" w:rsidR="00897793" w:rsidRPr="009E464F" w:rsidRDefault="00897793" w:rsidP="00593FAB">
      <w:pPr>
        <w:spacing w:after="0"/>
        <w:ind w:firstLine="640"/>
        <w:rPr>
          <w:rFonts w:cs="Times New Roman"/>
          <w:lang w:eastAsia="zh-CN"/>
        </w:rPr>
      </w:pPr>
      <w:bookmarkStart w:id="51" w:name="_Toc48747227"/>
      <w:bookmarkStart w:id="52" w:name="_Toc48799376"/>
      <w:r w:rsidRPr="009E464F">
        <w:rPr>
          <w:rFonts w:cs="Times New Roman"/>
          <w:lang w:eastAsia="zh-CN"/>
        </w:rPr>
        <w:t>1</w:t>
      </w:r>
      <w:r w:rsidR="00850539">
        <w:rPr>
          <w:rFonts w:cs="Times New Roman"/>
          <w:lang w:eastAsia="zh-CN"/>
        </w:rPr>
        <w:t>.</w:t>
      </w:r>
      <w:r w:rsidRPr="009E464F">
        <w:rPr>
          <w:rFonts w:cs="Times New Roman"/>
          <w:lang w:eastAsia="zh-CN"/>
        </w:rPr>
        <w:t>基因型</w:t>
      </w:r>
      <w:bookmarkEnd w:id="51"/>
      <w:bookmarkEnd w:id="52"/>
    </w:p>
    <w:p w14:paraId="25FCB0E8" w14:textId="77777777" w:rsidR="00897793" w:rsidRPr="009E464F" w:rsidRDefault="00897793" w:rsidP="00593FAB">
      <w:pPr>
        <w:spacing w:after="0"/>
        <w:ind w:firstLine="640"/>
        <w:rPr>
          <w:rFonts w:cs="Times New Roman"/>
          <w:lang w:eastAsia="zh-CN"/>
        </w:rPr>
      </w:pPr>
      <w:r w:rsidRPr="009E464F">
        <w:rPr>
          <w:rFonts w:cs="Times New Roman"/>
          <w:lang w:eastAsia="zh-CN"/>
        </w:rPr>
        <w:t>如果</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药物为具</w:t>
      </w:r>
      <w:r>
        <w:rPr>
          <w:rFonts w:cs="Times New Roman" w:hint="eastAsia"/>
          <w:lang w:eastAsia="zh-CN"/>
        </w:rPr>
        <w:t>有</w:t>
      </w:r>
      <w:r w:rsidRPr="009E464F">
        <w:rPr>
          <w:rFonts w:cs="Times New Roman"/>
          <w:lang w:eastAsia="zh-CN"/>
        </w:rPr>
        <w:t>多态性的代谢酶或者转运体的底物，申请人用指针抑制剂或者底物（如奥美拉</w:t>
      </w:r>
      <w:proofErr w:type="gramStart"/>
      <w:r w:rsidRPr="009E464F">
        <w:rPr>
          <w:rFonts w:cs="Times New Roman"/>
          <w:lang w:eastAsia="zh-CN"/>
        </w:rPr>
        <w:t>唑</w:t>
      </w:r>
      <w:proofErr w:type="gramEnd"/>
      <w:r w:rsidRPr="009E464F">
        <w:rPr>
          <w:rFonts w:cs="Times New Roman"/>
          <w:lang w:eastAsia="zh-CN"/>
        </w:rPr>
        <w:t>为</w:t>
      </w:r>
      <w:r w:rsidRPr="009E464F">
        <w:rPr>
          <w:rFonts w:cs="Times New Roman"/>
          <w:lang w:eastAsia="zh-CN"/>
        </w:rPr>
        <w:t>CYP2C19</w:t>
      </w:r>
      <w:r w:rsidRPr="009E464F">
        <w:rPr>
          <w:rFonts w:cs="Times New Roman"/>
          <w:lang w:eastAsia="zh-CN"/>
        </w:rPr>
        <w:t>的底物）评价</w:t>
      </w:r>
      <w:r w:rsidRPr="009E464F">
        <w:rPr>
          <w:rFonts w:cs="Times New Roman"/>
          <w:lang w:eastAsia="zh-CN"/>
        </w:rPr>
        <w:t>DDI</w:t>
      </w:r>
      <w:r w:rsidRPr="009E464F">
        <w:rPr>
          <w:rFonts w:cs="Times New Roman"/>
          <w:lang w:eastAsia="zh-CN"/>
        </w:rPr>
        <w:t>程度时，应将无功能性酶活性的受试者个体排除在外，或者研究应当有足够的把握度进行</w:t>
      </w:r>
      <w:r w:rsidRPr="009E464F">
        <w:rPr>
          <w:rFonts w:cs="Times New Roman"/>
          <w:lang w:eastAsia="zh-CN"/>
        </w:rPr>
        <w:t>DDI</w:t>
      </w:r>
      <w:r w:rsidRPr="009E464F">
        <w:rPr>
          <w:rFonts w:cs="Times New Roman"/>
          <w:lang w:eastAsia="zh-CN"/>
        </w:rPr>
        <w:t>评价。申请人并非以多态性酶或者转运体的基因型为基础入组受试者，仍然应当从所有受试者中常规采集</w:t>
      </w:r>
      <w:r w:rsidRPr="009E464F">
        <w:rPr>
          <w:rFonts w:cs="Times New Roman"/>
          <w:lang w:eastAsia="zh-CN"/>
        </w:rPr>
        <w:t>DNA</w:t>
      </w:r>
      <w:r w:rsidRPr="009E464F">
        <w:rPr>
          <w:rFonts w:cs="Times New Roman"/>
          <w:lang w:eastAsia="zh-CN"/>
        </w:rPr>
        <w:t>样本以对所关注的酶或者转运体进行回顾性分析，以便确定各基因型</w:t>
      </w:r>
      <w:r w:rsidRPr="009E464F">
        <w:rPr>
          <w:rFonts w:cs="Times New Roman"/>
          <w:lang w:eastAsia="zh-CN"/>
        </w:rPr>
        <w:t>DDI</w:t>
      </w:r>
      <w:r w:rsidRPr="009E464F">
        <w:rPr>
          <w:rFonts w:cs="Times New Roman"/>
          <w:lang w:eastAsia="zh-CN"/>
        </w:rPr>
        <w:t>程度的差异和理解个别受试者药物浓度异常现象。如果该代谢酶或转运体的弱代谢特征明确且存在弱代谢型受试者（如</w:t>
      </w:r>
      <w:r w:rsidRPr="009E464F">
        <w:rPr>
          <w:rFonts w:cs="Times New Roman"/>
          <w:lang w:eastAsia="zh-CN"/>
        </w:rPr>
        <w:t>CYP2D6</w:t>
      </w:r>
      <w:r w:rsidRPr="009E464F">
        <w:rPr>
          <w:rFonts w:cs="Times New Roman"/>
          <w:lang w:eastAsia="zh-CN"/>
        </w:rPr>
        <w:t>及</w:t>
      </w:r>
      <w:r w:rsidRPr="009E464F">
        <w:rPr>
          <w:rFonts w:cs="Times New Roman"/>
          <w:lang w:eastAsia="zh-CN"/>
        </w:rPr>
        <w:t>CYP2C19</w:t>
      </w:r>
      <w:r w:rsidRPr="009E464F">
        <w:rPr>
          <w:rFonts w:cs="Times New Roman"/>
          <w:lang w:eastAsia="zh-CN"/>
        </w:rPr>
        <w:t>），则可用比较慢代谢者（</w:t>
      </w:r>
      <w:r>
        <w:rPr>
          <w:rFonts w:cs="Times New Roman"/>
          <w:lang w:eastAsia="zh-CN"/>
        </w:rPr>
        <w:t>P</w:t>
      </w:r>
      <w:r w:rsidRPr="008E7121">
        <w:rPr>
          <w:rFonts w:cs="Times New Roman"/>
          <w:lang w:eastAsia="zh-CN"/>
        </w:rPr>
        <w:t>oor metabolizer</w:t>
      </w:r>
      <w:r>
        <w:rPr>
          <w:rFonts w:cs="Times New Roman"/>
          <w:lang w:eastAsia="zh-CN"/>
        </w:rPr>
        <w:t xml:space="preserve">, </w:t>
      </w:r>
      <w:r w:rsidRPr="009E464F">
        <w:rPr>
          <w:rFonts w:cs="Times New Roman"/>
          <w:lang w:eastAsia="zh-CN"/>
        </w:rPr>
        <w:t>PM</w:t>
      </w:r>
      <w:r w:rsidRPr="009E464F">
        <w:rPr>
          <w:rFonts w:cs="Times New Roman"/>
          <w:lang w:eastAsia="zh-CN"/>
        </w:rPr>
        <w:t>）与快代谢者（</w:t>
      </w:r>
      <w:r>
        <w:rPr>
          <w:rFonts w:cs="Times New Roman"/>
          <w:lang w:eastAsia="zh-CN"/>
        </w:rPr>
        <w:t>E</w:t>
      </w:r>
      <w:r w:rsidRPr="008E7121">
        <w:rPr>
          <w:rFonts w:cs="Times New Roman"/>
          <w:lang w:eastAsia="zh-CN"/>
        </w:rPr>
        <w:t>xtensive metabolizer</w:t>
      </w:r>
      <w:r>
        <w:rPr>
          <w:rFonts w:cs="Times New Roman" w:hint="eastAsia"/>
          <w:lang w:eastAsia="zh-CN"/>
        </w:rPr>
        <w:t>，</w:t>
      </w:r>
      <w:r w:rsidRPr="009E464F">
        <w:rPr>
          <w:rFonts w:cs="Times New Roman"/>
          <w:lang w:eastAsia="zh-CN"/>
        </w:rPr>
        <w:t>EM</w:t>
      </w:r>
      <w:r w:rsidRPr="009E464F">
        <w:rPr>
          <w:rFonts w:cs="Times New Roman"/>
          <w:lang w:eastAsia="zh-CN"/>
        </w:rPr>
        <w:t>）的药代动力学参数替代指针药物临床试验以评价</w:t>
      </w:r>
      <w:r w:rsidRPr="009E464F">
        <w:rPr>
          <w:rFonts w:cs="Times New Roman"/>
          <w:lang w:eastAsia="zh-CN"/>
        </w:rPr>
        <w:t>DDI</w:t>
      </w:r>
      <w:r w:rsidRPr="009E464F">
        <w:rPr>
          <w:rFonts w:cs="Times New Roman"/>
          <w:lang w:eastAsia="zh-CN"/>
        </w:rPr>
        <w:t>程度。慢代谢者表型所表现出的效应预计与</w:t>
      </w:r>
      <w:proofErr w:type="gramStart"/>
      <w:r w:rsidRPr="009E464F">
        <w:rPr>
          <w:rFonts w:cs="Times New Roman"/>
          <w:lang w:eastAsia="zh-CN"/>
        </w:rPr>
        <w:t>该途径</w:t>
      </w:r>
      <w:proofErr w:type="gramEnd"/>
      <w:r w:rsidRPr="009E464F">
        <w:rPr>
          <w:rFonts w:cs="Times New Roman"/>
          <w:lang w:eastAsia="zh-CN"/>
        </w:rPr>
        <w:t>的强抑制剂的效应相类似，</w:t>
      </w:r>
      <w:proofErr w:type="gramStart"/>
      <w:r w:rsidRPr="009E464F">
        <w:rPr>
          <w:rFonts w:cs="Times New Roman"/>
          <w:lang w:eastAsia="zh-CN"/>
        </w:rPr>
        <w:t>若结果</w:t>
      </w:r>
      <w:proofErr w:type="gramEnd"/>
      <w:r w:rsidRPr="009E464F">
        <w:rPr>
          <w:rFonts w:cs="Times New Roman"/>
          <w:lang w:eastAsia="zh-CN"/>
        </w:rPr>
        <w:t>提示</w:t>
      </w:r>
      <w:r w:rsidRPr="009E464F">
        <w:rPr>
          <w:rFonts w:cs="Times New Roman"/>
          <w:lang w:eastAsia="zh-CN"/>
        </w:rPr>
        <w:lastRenderedPageBreak/>
        <w:t>PM</w:t>
      </w:r>
      <w:r w:rsidRPr="009E464F">
        <w:rPr>
          <w:rFonts w:cs="Times New Roman"/>
          <w:lang w:eastAsia="zh-CN"/>
        </w:rPr>
        <w:t>与</w:t>
      </w:r>
      <w:r w:rsidRPr="009E464F">
        <w:rPr>
          <w:rFonts w:cs="Times New Roman"/>
          <w:lang w:eastAsia="zh-CN"/>
        </w:rPr>
        <w:t>EM</w:t>
      </w:r>
      <w:r w:rsidRPr="009E464F">
        <w:rPr>
          <w:rFonts w:cs="Times New Roman"/>
          <w:lang w:eastAsia="zh-CN"/>
        </w:rPr>
        <w:t>的</w:t>
      </w:r>
      <w:r w:rsidRPr="009E464F">
        <w:rPr>
          <w:rFonts w:cs="Times New Roman"/>
          <w:lang w:eastAsia="zh-CN"/>
        </w:rPr>
        <w:t>PK</w:t>
      </w:r>
      <w:r w:rsidRPr="009E464F">
        <w:rPr>
          <w:rFonts w:cs="Times New Roman"/>
          <w:lang w:eastAsia="zh-CN"/>
        </w:rPr>
        <w:t>特征显著差异，则申请人应该使用上文所述的该酶的中效促变药继续进行</w:t>
      </w:r>
      <w:r w:rsidRPr="009E464F">
        <w:rPr>
          <w:rFonts w:cs="Times New Roman"/>
          <w:lang w:eastAsia="zh-CN"/>
        </w:rPr>
        <w:t>DDI</w:t>
      </w:r>
      <w:r w:rsidRPr="009E464F">
        <w:rPr>
          <w:rFonts w:cs="Times New Roman"/>
          <w:lang w:eastAsia="zh-CN"/>
        </w:rPr>
        <w:t>评价。</w:t>
      </w:r>
    </w:p>
    <w:p w14:paraId="6A1B71A5" w14:textId="77777777" w:rsidR="00897793" w:rsidRPr="009E464F" w:rsidRDefault="00897793" w:rsidP="00593FAB">
      <w:pPr>
        <w:spacing w:after="0"/>
        <w:ind w:firstLine="640"/>
        <w:rPr>
          <w:rFonts w:cs="Times New Roman"/>
          <w:lang w:eastAsia="zh-CN"/>
        </w:rPr>
      </w:pPr>
      <w:r w:rsidRPr="009E464F">
        <w:rPr>
          <w:rFonts w:cs="Times New Roman"/>
          <w:lang w:eastAsia="zh-CN"/>
        </w:rPr>
        <w:t>可通过</w:t>
      </w:r>
      <w:r w:rsidRPr="009E464F">
        <w:rPr>
          <w:rFonts w:cs="Times New Roman"/>
          <w:lang w:eastAsia="zh-CN"/>
        </w:rPr>
        <w:t>DDI</w:t>
      </w:r>
      <w:r w:rsidRPr="009E464F">
        <w:rPr>
          <w:rFonts w:cs="Times New Roman"/>
          <w:lang w:eastAsia="zh-CN"/>
        </w:rPr>
        <w:t>研究探索多态性酶与转运体的不同基因型产生的综合影响。有时基因</w:t>
      </w:r>
      <w:r w:rsidRPr="009E464F">
        <w:rPr>
          <w:rFonts w:cs="Times New Roman"/>
          <w:lang w:eastAsia="zh-CN"/>
        </w:rPr>
        <w:t>-</w:t>
      </w:r>
      <w:r w:rsidRPr="009E464F">
        <w:rPr>
          <w:rFonts w:cs="Times New Roman"/>
          <w:lang w:eastAsia="zh-CN"/>
        </w:rPr>
        <w:t>药物相互作用可以替代</w:t>
      </w:r>
      <w:r w:rsidRPr="009E464F">
        <w:rPr>
          <w:rFonts w:cs="Times New Roman"/>
          <w:lang w:eastAsia="zh-CN"/>
        </w:rPr>
        <w:t>DDI</w:t>
      </w:r>
      <w:r w:rsidRPr="009E464F">
        <w:rPr>
          <w:rFonts w:cs="Times New Roman"/>
          <w:lang w:eastAsia="zh-CN"/>
        </w:rPr>
        <w:t>临床研究，此时底物应该以较高比例由特定酶代谢（如</w:t>
      </w:r>
      <w:proofErr w:type="spellStart"/>
      <w:r w:rsidRPr="009E464F">
        <w:rPr>
          <w:rFonts w:cs="Times New Roman"/>
          <w:lang w:eastAsia="zh-CN"/>
        </w:rPr>
        <w:t>f</w:t>
      </w:r>
      <w:r w:rsidRPr="009E464F">
        <w:rPr>
          <w:rFonts w:cs="Times New Roman"/>
          <w:vertAlign w:val="subscript"/>
          <w:lang w:eastAsia="zh-CN"/>
        </w:rPr>
        <w:t>m</w:t>
      </w:r>
      <w:proofErr w:type="spellEnd"/>
      <w:r w:rsidRPr="009E464F">
        <w:rPr>
          <w:rFonts w:cs="Times New Roman"/>
          <w:lang w:eastAsia="zh-CN"/>
        </w:rPr>
        <w:t>&gt;80%</w:t>
      </w:r>
      <w:r w:rsidRPr="009E464F">
        <w:rPr>
          <w:rFonts w:cs="Times New Roman"/>
          <w:lang w:eastAsia="zh-CN"/>
        </w:rPr>
        <w:t>）。特定转运</w:t>
      </w:r>
      <w:proofErr w:type="gramStart"/>
      <w:r w:rsidRPr="009E464F">
        <w:rPr>
          <w:rFonts w:cs="Times New Roman"/>
          <w:lang w:eastAsia="zh-CN"/>
        </w:rPr>
        <w:t>体不同</w:t>
      </w:r>
      <w:proofErr w:type="gramEnd"/>
      <w:r w:rsidRPr="009E464F">
        <w:rPr>
          <w:rFonts w:cs="Times New Roman"/>
          <w:lang w:eastAsia="zh-CN"/>
        </w:rPr>
        <w:t>基因型受试者之间的药动学特征有助于我们理解转运体对药物清除的贡献。</w:t>
      </w:r>
    </w:p>
    <w:p w14:paraId="39E3BE14" w14:textId="3AD3DE43" w:rsidR="00897793" w:rsidRPr="009E464F" w:rsidRDefault="00850539" w:rsidP="00593FAB">
      <w:pPr>
        <w:spacing w:after="0"/>
        <w:ind w:firstLine="640"/>
        <w:rPr>
          <w:rFonts w:cs="Times New Roman"/>
          <w:lang w:eastAsia="zh-CN"/>
        </w:rPr>
      </w:pPr>
      <w:bookmarkStart w:id="53" w:name="_Toc48747228"/>
      <w:bookmarkStart w:id="54" w:name="_Toc48799377"/>
      <w:r>
        <w:rPr>
          <w:rFonts w:cs="Times New Roman"/>
          <w:lang w:eastAsia="zh-CN"/>
        </w:rPr>
        <w:t>2.</w:t>
      </w:r>
      <w:r w:rsidR="00897793" w:rsidRPr="009E464F">
        <w:rPr>
          <w:rFonts w:cs="Times New Roman"/>
          <w:lang w:eastAsia="zh-CN"/>
        </w:rPr>
        <w:t>吸烟者</w:t>
      </w:r>
      <w:bookmarkEnd w:id="53"/>
      <w:bookmarkEnd w:id="54"/>
    </w:p>
    <w:p w14:paraId="70FFD7C2" w14:textId="77777777" w:rsidR="00897793" w:rsidRPr="009E464F" w:rsidRDefault="00897793" w:rsidP="00593FAB">
      <w:pPr>
        <w:spacing w:after="0"/>
        <w:ind w:firstLine="640"/>
        <w:rPr>
          <w:rFonts w:cs="Times New Roman"/>
          <w:lang w:eastAsia="zh-CN"/>
        </w:rPr>
      </w:pPr>
      <w:r w:rsidRPr="009E464F">
        <w:rPr>
          <w:rFonts w:cs="Times New Roman"/>
          <w:lang w:eastAsia="zh-CN"/>
        </w:rPr>
        <w:t>吸烟对</w:t>
      </w:r>
      <w:r w:rsidRPr="009E464F">
        <w:rPr>
          <w:rFonts w:cs="Times New Roman"/>
          <w:lang w:eastAsia="zh-CN"/>
        </w:rPr>
        <w:t>CYP1A2</w:t>
      </w:r>
      <w:r w:rsidRPr="009E464F">
        <w:rPr>
          <w:rFonts w:cs="Times New Roman"/>
          <w:lang w:eastAsia="zh-CN"/>
        </w:rPr>
        <w:t>活性具有诱导作用。因此，如果在</w:t>
      </w:r>
      <w:proofErr w:type="gramStart"/>
      <w:r w:rsidRPr="009E464F">
        <w:rPr>
          <w:rFonts w:cs="Times New Roman"/>
          <w:lang w:eastAsia="zh-CN"/>
        </w:rPr>
        <w:t>研</w:t>
      </w:r>
      <w:proofErr w:type="gramEnd"/>
      <w:r w:rsidRPr="009E464F">
        <w:rPr>
          <w:rFonts w:cs="Times New Roman"/>
          <w:lang w:eastAsia="zh-CN"/>
        </w:rPr>
        <w:t>药物为</w:t>
      </w:r>
      <w:r w:rsidRPr="009E464F">
        <w:rPr>
          <w:rFonts w:cs="Times New Roman"/>
          <w:lang w:eastAsia="zh-CN"/>
        </w:rPr>
        <w:t>CYP1A2</w:t>
      </w:r>
      <w:r w:rsidRPr="009E464F">
        <w:rPr>
          <w:rFonts w:cs="Times New Roman"/>
          <w:lang w:eastAsia="zh-CN"/>
        </w:rPr>
        <w:t>的抑制剂或者诱导剂的时候，在临床</w:t>
      </w:r>
      <w:r w:rsidRPr="009E464F">
        <w:rPr>
          <w:rFonts w:cs="Times New Roman"/>
          <w:lang w:eastAsia="zh-CN"/>
        </w:rPr>
        <w:t>DDI</w:t>
      </w:r>
      <w:r w:rsidRPr="009E464F">
        <w:rPr>
          <w:rFonts w:cs="Times New Roman"/>
          <w:lang w:eastAsia="zh-CN"/>
        </w:rPr>
        <w:t>试验设计的时候，应该考虑受试者吸烟状况以避免干扰临床药物相互作用的结果。如果在</w:t>
      </w:r>
      <w:proofErr w:type="gramStart"/>
      <w:r w:rsidRPr="009E464F">
        <w:rPr>
          <w:rFonts w:cs="Times New Roman"/>
          <w:lang w:eastAsia="zh-CN"/>
        </w:rPr>
        <w:t>研</w:t>
      </w:r>
      <w:proofErr w:type="gramEnd"/>
      <w:r w:rsidRPr="009E464F">
        <w:rPr>
          <w:rFonts w:cs="Times New Roman"/>
          <w:lang w:eastAsia="zh-CN"/>
        </w:rPr>
        <w:t>药物属于</w:t>
      </w:r>
      <w:r w:rsidRPr="009E464F">
        <w:rPr>
          <w:rFonts w:cs="Times New Roman"/>
          <w:lang w:eastAsia="zh-CN"/>
        </w:rPr>
        <w:t>CYP1A2</w:t>
      </w:r>
      <w:r w:rsidRPr="009E464F">
        <w:rPr>
          <w:rFonts w:cs="Times New Roman"/>
          <w:lang w:eastAsia="zh-CN"/>
        </w:rPr>
        <w:t>的底物，申请人应在预期患者人群、</w:t>
      </w:r>
      <w:r w:rsidRPr="009E464F">
        <w:rPr>
          <w:rFonts w:cs="Times New Roman"/>
          <w:lang w:eastAsia="zh-CN"/>
        </w:rPr>
        <w:t>CYP1A2</w:t>
      </w:r>
      <w:r w:rsidRPr="009E464F">
        <w:rPr>
          <w:rFonts w:cs="Times New Roman"/>
          <w:lang w:eastAsia="zh-CN"/>
        </w:rPr>
        <w:t>诱导对于药物暴露量影响的基础上决定是否进行一项吸烟者研究。</w:t>
      </w:r>
    </w:p>
    <w:p w14:paraId="6B5421CE" w14:textId="220CC2E7" w:rsidR="00B822FA" w:rsidRPr="0083505F" w:rsidRDefault="00850539" w:rsidP="00593FAB">
      <w:pPr>
        <w:spacing w:after="0"/>
        <w:ind w:firstLine="640"/>
        <w:rPr>
          <w:rFonts w:cs="Times New Roman"/>
          <w:lang w:eastAsia="zh-CN"/>
        </w:rPr>
      </w:pPr>
      <w:bookmarkStart w:id="55" w:name="_Toc48747229"/>
      <w:bookmarkStart w:id="56" w:name="_Toc48799378"/>
      <w:r>
        <w:rPr>
          <w:rFonts w:cs="Times New Roman"/>
          <w:lang w:eastAsia="zh-CN"/>
        </w:rPr>
        <w:t>3.</w:t>
      </w:r>
      <w:r w:rsidR="00B822FA" w:rsidRPr="00C97182">
        <w:rPr>
          <w:rFonts w:cs="Times New Roman" w:hint="eastAsia"/>
          <w:lang w:eastAsia="zh-CN"/>
        </w:rPr>
        <w:t>治</w:t>
      </w:r>
      <w:r w:rsidR="00B822FA" w:rsidRPr="0083505F">
        <w:rPr>
          <w:rFonts w:cs="Times New Roman" w:hint="eastAsia"/>
          <w:lang w:eastAsia="zh-CN"/>
        </w:rPr>
        <w:t>疗</w:t>
      </w:r>
      <w:r w:rsidR="00B822FA" w:rsidRPr="0083505F">
        <w:rPr>
          <w:rFonts w:cs="Times New Roman"/>
          <w:lang w:eastAsia="zh-CN"/>
        </w:rPr>
        <w:t>蛋白药物的相互作用</w:t>
      </w:r>
    </w:p>
    <w:p w14:paraId="53086F0C" w14:textId="77777777" w:rsidR="00274196" w:rsidRPr="0083505F" w:rsidRDefault="00274196" w:rsidP="00593FAB">
      <w:pPr>
        <w:spacing w:after="0"/>
        <w:ind w:firstLine="640"/>
        <w:rPr>
          <w:rFonts w:cs="Times New Roman"/>
          <w:lang w:eastAsia="zh-CN"/>
        </w:rPr>
      </w:pPr>
      <w:r w:rsidRPr="0083505F">
        <w:rPr>
          <w:rFonts w:cs="Times New Roman" w:hint="eastAsia"/>
          <w:lang w:eastAsia="zh-CN"/>
        </w:rPr>
        <w:t>治疗</w:t>
      </w:r>
      <w:r w:rsidRPr="0083505F">
        <w:rPr>
          <w:rFonts w:cs="Times New Roman"/>
          <w:lang w:eastAsia="zh-CN"/>
        </w:rPr>
        <w:t>蛋白药物</w:t>
      </w:r>
      <w:r w:rsidRPr="0083505F">
        <w:rPr>
          <w:rFonts w:cs="Times New Roman" w:hint="eastAsia"/>
          <w:lang w:eastAsia="zh-CN"/>
        </w:rPr>
        <w:t>（</w:t>
      </w:r>
      <w:r w:rsidRPr="0083505F">
        <w:rPr>
          <w:rFonts w:cs="Times New Roman"/>
          <w:lang w:eastAsia="zh-CN"/>
        </w:rPr>
        <w:t>therapeutic protein</w:t>
      </w:r>
      <w:r w:rsidRPr="0083505F">
        <w:rPr>
          <w:rFonts w:cs="Times New Roman" w:hint="eastAsia"/>
          <w:lang w:eastAsia="zh-CN"/>
        </w:rPr>
        <w:t>，</w:t>
      </w:r>
      <w:r w:rsidRPr="0083505F">
        <w:rPr>
          <w:rFonts w:cs="Times New Roman" w:hint="eastAsia"/>
          <w:lang w:eastAsia="zh-CN"/>
        </w:rPr>
        <w:t>TP</w:t>
      </w:r>
      <w:r w:rsidRPr="0083505F">
        <w:rPr>
          <w:rFonts w:cs="Times New Roman" w:hint="eastAsia"/>
          <w:lang w:eastAsia="zh-CN"/>
        </w:rPr>
        <w:t>）</w:t>
      </w:r>
      <w:r w:rsidRPr="0083505F">
        <w:rPr>
          <w:rFonts w:cs="Times New Roman"/>
          <w:lang w:eastAsia="zh-CN"/>
        </w:rPr>
        <w:t>相互作用包括治疗蛋白药物与小分子药物之间的相互作用和治疗蛋白药物之间的相互作用两类。</w:t>
      </w:r>
      <w:r w:rsidRPr="0083505F">
        <w:rPr>
          <w:rFonts w:cs="Times New Roman" w:hint="eastAsia"/>
          <w:lang w:eastAsia="zh-CN"/>
        </w:rPr>
        <w:t>应考虑潜在的</w:t>
      </w:r>
      <w:r w:rsidRPr="0083505F">
        <w:rPr>
          <w:rFonts w:cs="Times New Roman"/>
          <w:lang w:eastAsia="zh-CN"/>
        </w:rPr>
        <w:t>DDI</w:t>
      </w:r>
      <w:r w:rsidRPr="0083505F">
        <w:rPr>
          <w:rFonts w:cs="Times New Roman"/>
          <w:lang w:eastAsia="zh-CN"/>
        </w:rPr>
        <w:t>机制，同时考虑蛋白药物的</w:t>
      </w:r>
      <w:r w:rsidRPr="0083505F">
        <w:rPr>
          <w:rFonts w:cs="Times New Roman" w:hint="eastAsia"/>
          <w:lang w:eastAsia="zh-CN"/>
        </w:rPr>
        <w:t>作用机理</w:t>
      </w:r>
      <w:r w:rsidRPr="0083505F">
        <w:rPr>
          <w:rFonts w:cs="Times New Roman"/>
          <w:lang w:eastAsia="zh-CN"/>
        </w:rPr>
        <w:t>和清除</w:t>
      </w:r>
      <w:r w:rsidRPr="0083505F">
        <w:rPr>
          <w:rFonts w:cs="Times New Roman" w:hint="eastAsia"/>
          <w:lang w:eastAsia="zh-CN"/>
        </w:rPr>
        <w:t>途径，</w:t>
      </w:r>
      <w:r w:rsidRPr="0083505F">
        <w:rPr>
          <w:rFonts w:cs="Times New Roman"/>
          <w:lang w:eastAsia="zh-CN"/>
        </w:rPr>
        <w:t>以及患者人群中</w:t>
      </w:r>
      <w:r w:rsidRPr="0083505F">
        <w:rPr>
          <w:rFonts w:cs="Times New Roman" w:hint="eastAsia"/>
          <w:lang w:eastAsia="zh-CN"/>
        </w:rPr>
        <w:t>可能的</w:t>
      </w:r>
      <w:r w:rsidRPr="0083505F">
        <w:rPr>
          <w:rFonts w:cs="Times New Roman"/>
          <w:lang w:eastAsia="zh-CN"/>
        </w:rPr>
        <w:t>合并用药。蛋白药物的相互作用可能的机制包括但不限于：</w:t>
      </w:r>
    </w:p>
    <w:p w14:paraId="05991108" w14:textId="76D16FD9" w:rsidR="00274196" w:rsidRPr="0083505F" w:rsidRDefault="00850539" w:rsidP="00593FAB">
      <w:pPr>
        <w:spacing w:after="0"/>
        <w:ind w:firstLine="640"/>
        <w:rPr>
          <w:rFonts w:cs="Times New Roman"/>
          <w:lang w:eastAsia="zh-CN"/>
        </w:rPr>
      </w:pPr>
      <w:r>
        <w:rPr>
          <w:rFonts w:cs="Times New Roman" w:hint="eastAsia"/>
          <w:lang w:eastAsia="zh-CN"/>
        </w:rPr>
        <w:lastRenderedPageBreak/>
        <w:t>（</w:t>
      </w:r>
      <w:r>
        <w:rPr>
          <w:rFonts w:cs="Times New Roman" w:hint="eastAsia"/>
          <w:lang w:eastAsia="zh-CN"/>
        </w:rPr>
        <w:t>1</w:t>
      </w:r>
      <w:r>
        <w:rPr>
          <w:rFonts w:cs="Times New Roman" w:hint="eastAsia"/>
          <w:lang w:eastAsia="zh-CN"/>
        </w:rPr>
        <w:t>）</w:t>
      </w:r>
      <w:proofErr w:type="gramStart"/>
      <w:r w:rsidR="00274196" w:rsidRPr="0083505F">
        <w:rPr>
          <w:rFonts w:cs="Times New Roman" w:hint="eastAsia"/>
          <w:lang w:eastAsia="zh-CN"/>
        </w:rPr>
        <w:t>促炎细胞因子</w:t>
      </w:r>
      <w:proofErr w:type="gramEnd"/>
      <w:r w:rsidR="00274196" w:rsidRPr="0083505F">
        <w:rPr>
          <w:rFonts w:cs="Times New Roman" w:hint="eastAsia"/>
          <w:lang w:eastAsia="zh-CN"/>
        </w:rPr>
        <w:t>相关机制：</w:t>
      </w:r>
      <w:r w:rsidR="00274196" w:rsidRPr="0083505F">
        <w:rPr>
          <w:rFonts w:cs="Times New Roman"/>
          <w:lang w:eastAsia="zh-CN"/>
        </w:rPr>
        <w:t>a</w:t>
      </w:r>
      <w:r w:rsidR="00274196" w:rsidRPr="0083505F">
        <w:rPr>
          <w:rFonts w:cs="Times New Roman"/>
          <w:lang w:eastAsia="zh-CN"/>
        </w:rPr>
        <w:t>）</w:t>
      </w:r>
      <w:r w:rsidR="00274196" w:rsidRPr="0083505F">
        <w:rPr>
          <w:rFonts w:cs="Times New Roman"/>
          <w:lang w:eastAsia="zh-CN"/>
        </w:rPr>
        <w:t>TP</w:t>
      </w:r>
      <w:proofErr w:type="gramStart"/>
      <w:r w:rsidR="00274196" w:rsidRPr="0083505F">
        <w:rPr>
          <w:rFonts w:cs="Times New Roman"/>
          <w:lang w:eastAsia="zh-CN"/>
        </w:rPr>
        <w:t>是促炎细胞因子</w:t>
      </w:r>
      <w:proofErr w:type="gramEnd"/>
      <w:r w:rsidR="00274196" w:rsidRPr="0083505F">
        <w:rPr>
          <w:rFonts w:cs="Times New Roman"/>
          <w:lang w:eastAsia="zh-CN"/>
        </w:rPr>
        <w:t>时，细胞因子水平的变化可能会影响</w:t>
      </w:r>
      <w:r w:rsidR="00274196" w:rsidRPr="0083505F">
        <w:rPr>
          <w:rFonts w:cs="Times New Roman"/>
          <w:lang w:eastAsia="zh-CN"/>
        </w:rPr>
        <w:t>CYP</w:t>
      </w:r>
      <w:r w:rsidR="00274196" w:rsidRPr="0083505F">
        <w:rPr>
          <w:rFonts w:cs="Times New Roman"/>
          <w:lang w:eastAsia="zh-CN"/>
        </w:rPr>
        <w:t>表达以及</w:t>
      </w:r>
      <w:r w:rsidR="00274196" w:rsidRPr="0083505F">
        <w:rPr>
          <w:rFonts w:cs="Times New Roman"/>
          <w:lang w:eastAsia="zh-CN"/>
        </w:rPr>
        <w:t>CYP</w:t>
      </w:r>
      <w:r w:rsidR="00274196" w:rsidRPr="0083505F">
        <w:rPr>
          <w:rFonts w:cs="Times New Roman"/>
          <w:lang w:eastAsia="zh-CN"/>
        </w:rPr>
        <w:t>底物的活性和暴露程度</w:t>
      </w:r>
      <w:r w:rsidR="00274196" w:rsidRPr="0083505F">
        <w:rPr>
          <w:rFonts w:cs="Times New Roman" w:hint="eastAsia"/>
          <w:lang w:eastAsia="zh-CN"/>
        </w:rPr>
        <w:t>；</w:t>
      </w:r>
      <w:r w:rsidR="00274196" w:rsidRPr="0083505F">
        <w:rPr>
          <w:rFonts w:cs="Times New Roman" w:hint="eastAsia"/>
          <w:lang w:eastAsia="zh-CN"/>
        </w:rPr>
        <w:t>b</w:t>
      </w:r>
      <w:r w:rsidR="00274196" w:rsidRPr="0083505F">
        <w:rPr>
          <w:rFonts w:cs="Times New Roman" w:hint="eastAsia"/>
          <w:lang w:eastAsia="zh-CN"/>
        </w:rPr>
        <w:t>）</w:t>
      </w:r>
      <w:r w:rsidR="00274196" w:rsidRPr="0083505F">
        <w:rPr>
          <w:rFonts w:cs="Times New Roman" w:hint="eastAsia"/>
          <w:lang w:eastAsia="zh-CN"/>
        </w:rPr>
        <w:t>T</w:t>
      </w:r>
      <w:r w:rsidR="00274196" w:rsidRPr="0083505F">
        <w:rPr>
          <w:rFonts w:cs="Times New Roman"/>
          <w:lang w:eastAsia="zh-CN"/>
        </w:rPr>
        <w:t>P</w:t>
      </w:r>
      <w:r w:rsidR="00274196" w:rsidRPr="0083505F">
        <w:rPr>
          <w:rFonts w:cs="Times New Roman"/>
          <w:lang w:eastAsia="zh-CN"/>
        </w:rPr>
        <w:t>是细胞因子调节剂</w:t>
      </w:r>
      <w:r w:rsidR="00274196" w:rsidRPr="0083505F">
        <w:rPr>
          <w:rFonts w:cs="Times New Roman" w:hint="eastAsia"/>
          <w:lang w:eastAsia="zh-CN"/>
        </w:rPr>
        <w:t>时：</w:t>
      </w:r>
      <w:r w:rsidR="00274196" w:rsidRPr="0083505F">
        <w:rPr>
          <w:rFonts w:cs="Times New Roman"/>
          <w:lang w:eastAsia="zh-CN"/>
        </w:rPr>
        <w:t>TP</w:t>
      </w:r>
      <w:proofErr w:type="gramStart"/>
      <w:r w:rsidR="00274196" w:rsidRPr="0083505F">
        <w:rPr>
          <w:rFonts w:cs="Times New Roman"/>
          <w:lang w:eastAsia="zh-CN"/>
        </w:rPr>
        <w:t>导致促炎细胞因子</w:t>
      </w:r>
      <w:proofErr w:type="gramEnd"/>
      <w:r w:rsidR="00274196" w:rsidRPr="0083505F">
        <w:rPr>
          <w:rFonts w:cs="Times New Roman"/>
          <w:lang w:eastAsia="zh-CN"/>
        </w:rPr>
        <w:t>水平升高，此时应确定细胞因子水平升高的持续时间和程度；在细胞因子水平升高的情况下，</w:t>
      </w:r>
      <w:r w:rsidR="00274196" w:rsidRPr="0083505F">
        <w:rPr>
          <w:rFonts w:cs="Times New Roman"/>
          <w:lang w:eastAsia="zh-CN"/>
        </w:rPr>
        <w:t>TP</w:t>
      </w:r>
      <w:proofErr w:type="gramStart"/>
      <w:r w:rsidR="00274196" w:rsidRPr="0083505F">
        <w:rPr>
          <w:rFonts w:cs="Times New Roman"/>
          <w:lang w:eastAsia="zh-CN"/>
        </w:rPr>
        <w:t>调节促炎细胞因子</w:t>
      </w:r>
      <w:proofErr w:type="gramEnd"/>
      <w:r w:rsidR="00274196" w:rsidRPr="0083505F">
        <w:rPr>
          <w:rFonts w:cs="Times New Roman"/>
          <w:lang w:eastAsia="zh-CN"/>
        </w:rPr>
        <w:t>，</w:t>
      </w:r>
      <w:r w:rsidR="00274196" w:rsidRPr="0083505F">
        <w:rPr>
          <w:rFonts w:cs="Times New Roman" w:hint="eastAsia"/>
          <w:lang w:eastAsia="zh-CN"/>
        </w:rPr>
        <w:t>此时</w:t>
      </w:r>
      <w:r w:rsidR="00956CB4">
        <w:rPr>
          <w:rFonts w:cs="Times New Roman"/>
          <w:lang w:eastAsia="zh-CN"/>
        </w:rPr>
        <w:t>因疾病类型和疾病严重程度而异</w:t>
      </w:r>
      <w:r w:rsidR="00274196" w:rsidRPr="0083505F">
        <w:rPr>
          <w:rFonts w:cs="Times New Roman"/>
          <w:lang w:eastAsia="zh-CN"/>
        </w:rPr>
        <w:t>，导致</w:t>
      </w:r>
      <w:r w:rsidR="00274196" w:rsidRPr="0083505F">
        <w:rPr>
          <w:rFonts w:cs="Times New Roman"/>
          <w:lang w:eastAsia="zh-CN"/>
        </w:rPr>
        <w:t>CYP</w:t>
      </w:r>
      <w:r w:rsidR="00274196" w:rsidRPr="0083505F">
        <w:rPr>
          <w:rFonts w:cs="Times New Roman"/>
          <w:lang w:eastAsia="zh-CN"/>
        </w:rPr>
        <w:t>表达变化。</w:t>
      </w:r>
    </w:p>
    <w:p w14:paraId="5C2F0212" w14:textId="4734F46B" w:rsidR="00274196" w:rsidRPr="0083505F" w:rsidRDefault="00850539" w:rsidP="00593FAB">
      <w:pPr>
        <w:spacing w:after="0"/>
        <w:ind w:firstLine="640"/>
        <w:rPr>
          <w:rFonts w:cs="Times New Roman"/>
          <w:lang w:eastAsia="zh-CN"/>
        </w:rPr>
      </w:pPr>
      <w:r>
        <w:rPr>
          <w:rFonts w:cs="Times New Roman" w:hint="eastAsia"/>
          <w:lang w:eastAsia="zh-CN"/>
        </w:rPr>
        <w:t>（</w:t>
      </w:r>
      <w:r>
        <w:rPr>
          <w:rFonts w:cs="Times New Roman" w:hint="eastAsia"/>
          <w:lang w:eastAsia="zh-CN"/>
        </w:rPr>
        <w:t>2</w:t>
      </w:r>
      <w:r>
        <w:rPr>
          <w:rFonts w:cs="Times New Roman" w:hint="eastAsia"/>
          <w:lang w:eastAsia="zh-CN"/>
        </w:rPr>
        <w:t>）</w:t>
      </w:r>
      <w:proofErr w:type="gramStart"/>
      <w:r w:rsidR="00274196" w:rsidRPr="0083505F">
        <w:rPr>
          <w:rFonts w:cs="Times New Roman" w:hint="eastAsia"/>
          <w:lang w:eastAsia="zh-CN"/>
        </w:rPr>
        <w:t>非</w:t>
      </w:r>
      <w:r w:rsidR="00274196" w:rsidRPr="0083505F">
        <w:rPr>
          <w:rFonts w:cs="Times New Roman"/>
          <w:lang w:eastAsia="zh-CN"/>
        </w:rPr>
        <w:t>促炎</w:t>
      </w:r>
      <w:proofErr w:type="gramEnd"/>
      <w:r w:rsidR="00274196" w:rsidRPr="0083505F">
        <w:rPr>
          <w:rFonts w:cs="Times New Roman"/>
          <w:lang w:eastAsia="zh-CN"/>
        </w:rPr>
        <w:t>细胞因子</w:t>
      </w:r>
      <w:r w:rsidR="00274196" w:rsidRPr="0083505F">
        <w:rPr>
          <w:rFonts w:cs="Times New Roman" w:hint="eastAsia"/>
          <w:lang w:eastAsia="zh-CN"/>
        </w:rPr>
        <w:t>相</w:t>
      </w:r>
      <w:r w:rsidR="00274196" w:rsidRPr="0083505F">
        <w:rPr>
          <w:rFonts w:cs="Times New Roman"/>
          <w:lang w:eastAsia="zh-CN"/>
        </w:rPr>
        <w:t>关机制</w:t>
      </w:r>
      <w:r w:rsidR="00274196" w:rsidRPr="0083505F">
        <w:rPr>
          <w:rFonts w:cs="Times New Roman" w:hint="eastAsia"/>
          <w:lang w:eastAsia="zh-CN"/>
        </w:rPr>
        <w:t>:</w:t>
      </w:r>
      <w:r w:rsidR="00274196" w:rsidRPr="0083505F">
        <w:rPr>
          <w:rFonts w:hint="eastAsia"/>
          <w:lang w:eastAsia="zh-CN"/>
        </w:rPr>
        <w:t xml:space="preserve"> </w:t>
      </w:r>
      <w:r w:rsidR="00274196" w:rsidRPr="0083505F">
        <w:rPr>
          <w:rFonts w:hint="eastAsia"/>
          <w:lang w:eastAsia="zh-CN"/>
        </w:rPr>
        <w:t>通常是</w:t>
      </w:r>
      <w:r w:rsidR="00274196" w:rsidRPr="0083505F">
        <w:rPr>
          <w:rFonts w:cs="Times New Roman" w:hint="eastAsia"/>
          <w:lang w:eastAsia="zh-CN"/>
        </w:rPr>
        <w:t>已观察到或可预期的蛋白药物对其他药物有影响的情况，根据可能的作用</w:t>
      </w:r>
      <w:r w:rsidR="00274196" w:rsidRPr="0083505F">
        <w:rPr>
          <w:rFonts w:cs="Times New Roman"/>
          <w:lang w:eastAsia="zh-CN"/>
        </w:rPr>
        <w:t>机制</w:t>
      </w:r>
      <w:r w:rsidR="00274196" w:rsidRPr="0083505F">
        <w:rPr>
          <w:rFonts w:cs="Times New Roman" w:hint="eastAsia"/>
          <w:lang w:eastAsia="zh-CN"/>
        </w:rPr>
        <w:t>来评估</w:t>
      </w:r>
      <w:r w:rsidR="00274196" w:rsidRPr="0083505F">
        <w:rPr>
          <w:rFonts w:cs="Times New Roman" w:hint="eastAsia"/>
          <w:lang w:eastAsia="zh-CN"/>
        </w:rPr>
        <w:t>TP</w:t>
      </w:r>
      <w:r w:rsidR="00274196" w:rsidRPr="0083505F">
        <w:rPr>
          <w:rFonts w:cs="Times New Roman" w:hint="eastAsia"/>
          <w:lang w:eastAsia="zh-CN"/>
        </w:rPr>
        <w:t>作为</w:t>
      </w:r>
      <w:proofErr w:type="gramStart"/>
      <w:r w:rsidR="00274196" w:rsidRPr="0083505F">
        <w:rPr>
          <w:rFonts w:cs="Times New Roman"/>
          <w:lang w:eastAsia="zh-CN"/>
        </w:rPr>
        <w:t>受变药</w:t>
      </w:r>
      <w:proofErr w:type="gramEnd"/>
      <w:r w:rsidR="00274196" w:rsidRPr="0083505F">
        <w:rPr>
          <w:rFonts w:cs="Times New Roman"/>
          <w:lang w:eastAsia="zh-CN"/>
        </w:rPr>
        <w:t>或促变药。</w:t>
      </w:r>
      <w:r w:rsidR="00274196" w:rsidRPr="0083505F">
        <w:rPr>
          <w:rFonts w:cs="Times New Roman" w:hint="eastAsia"/>
          <w:lang w:eastAsia="zh-CN"/>
        </w:rPr>
        <w:t>可能的机制包括但不限于：</w:t>
      </w:r>
      <w:r w:rsidR="00274196" w:rsidRPr="0083505F">
        <w:rPr>
          <w:rFonts w:cs="Times New Roman" w:hint="eastAsia"/>
          <w:lang w:eastAsia="zh-CN"/>
        </w:rPr>
        <w:t>TP</w:t>
      </w:r>
      <w:r w:rsidR="00274196" w:rsidRPr="0083505F">
        <w:rPr>
          <w:rFonts w:cs="Times New Roman" w:hint="eastAsia"/>
          <w:lang w:eastAsia="zh-CN"/>
        </w:rPr>
        <w:t>可改变合并用药物的药动学特性</w:t>
      </w:r>
      <w:r w:rsidR="00274196" w:rsidRPr="0083505F">
        <w:rPr>
          <w:rFonts w:cs="Times New Roman"/>
          <w:lang w:eastAsia="zh-CN"/>
        </w:rPr>
        <w:t>；影响</w:t>
      </w:r>
      <w:r w:rsidR="00274196" w:rsidRPr="0083505F">
        <w:rPr>
          <w:rFonts w:cs="Times New Roman"/>
          <w:lang w:eastAsia="zh-CN"/>
        </w:rPr>
        <w:t>TP</w:t>
      </w:r>
      <w:r w:rsidR="00274196" w:rsidRPr="0083505F">
        <w:rPr>
          <w:rFonts w:cs="Times New Roman" w:hint="eastAsia"/>
          <w:lang w:eastAsia="zh-CN"/>
        </w:rPr>
        <w:t>靶标</w:t>
      </w:r>
      <w:r w:rsidR="00274196" w:rsidRPr="0083505F">
        <w:rPr>
          <w:rFonts w:cs="Times New Roman"/>
          <w:lang w:eastAsia="zh-CN"/>
        </w:rPr>
        <w:t>或靶点</w:t>
      </w:r>
      <w:proofErr w:type="gramStart"/>
      <w:r w:rsidR="00274196" w:rsidRPr="0083505F">
        <w:rPr>
          <w:rFonts w:cs="Times New Roman"/>
          <w:lang w:eastAsia="zh-CN"/>
        </w:rPr>
        <w:t>介</w:t>
      </w:r>
      <w:proofErr w:type="gramEnd"/>
      <w:r w:rsidR="00274196" w:rsidRPr="0083505F">
        <w:rPr>
          <w:rFonts w:cs="Times New Roman"/>
          <w:lang w:eastAsia="zh-CN"/>
        </w:rPr>
        <w:t>导的</w:t>
      </w:r>
      <w:r w:rsidR="00274196" w:rsidRPr="0083505F">
        <w:rPr>
          <w:rFonts w:cs="Times New Roman" w:hint="eastAsia"/>
          <w:lang w:eastAsia="zh-CN"/>
        </w:rPr>
        <w:t>药物处置；</w:t>
      </w:r>
      <w:r w:rsidR="00274196" w:rsidRPr="0083505F">
        <w:rPr>
          <w:rFonts w:cs="Times New Roman"/>
          <w:lang w:eastAsia="zh-CN"/>
        </w:rPr>
        <w:t>影响</w:t>
      </w:r>
      <w:proofErr w:type="spellStart"/>
      <w:r w:rsidR="00274196" w:rsidRPr="0083505F">
        <w:rPr>
          <w:rFonts w:cs="Times New Roman"/>
          <w:lang w:eastAsia="zh-CN"/>
        </w:rPr>
        <w:t>FcRn</w:t>
      </w:r>
      <w:proofErr w:type="spellEnd"/>
      <w:r w:rsidR="00274196" w:rsidRPr="0083505F">
        <w:rPr>
          <w:rFonts w:cs="Times New Roman"/>
          <w:lang w:eastAsia="zh-CN"/>
        </w:rPr>
        <w:t>功能</w:t>
      </w:r>
      <w:r w:rsidR="00274196" w:rsidRPr="0083505F">
        <w:rPr>
          <w:rFonts w:cs="Times New Roman" w:hint="eastAsia"/>
          <w:lang w:eastAsia="zh-CN"/>
        </w:rPr>
        <w:t>；</w:t>
      </w:r>
      <w:r w:rsidR="00274196" w:rsidRPr="0083505F">
        <w:rPr>
          <w:rFonts w:cs="Times New Roman"/>
          <w:lang w:eastAsia="zh-CN"/>
        </w:rPr>
        <w:t>TP</w:t>
      </w:r>
      <w:r w:rsidR="00274196" w:rsidRPr="0083505F">
        <w:rPr>
          <w:rFonts w:cs="Times New Roman" w:hint="eastAsia"/>
          <w:lang w:eastAsia="zh-CN"/>
        </w:rPr>
        <w:t>与</w:t>
      </w:r>
      <w:r w:rsidR="00274196" w:rsidRPr="0083505F">
        <w:rPr>
          <w:rFonts w:cs="Times New Roman"/>
          <w:lang w:eastAsia="zh-CN"/>
        </w:rPr>
        <w:t>免疫抑制剂</w:t>
      </w:r>
      <w:r w:rsidR="00274196" w:rsidRPr="0083505F">
        <w:rPr>
          <w:rFonts w:cs="Times New Roman" w:hint="eastAsia"/>
          <w:lang w:eastAsia="zh-CN"/>
        </w:rPr>
        <w:t>合并用药时</w:t>
      </w:r>
      <w:r w:rsidR="00274196" w:rsidRPr="0083505F">
        <w:rPr>
          <w:rFonts w:cs="Times New Roman"/>
          <w:lang w:eastAsia="zh-CN"/>
        </w:rPr>
        <w:t>受免疫原性影响</w:t>
      </w:r>
      <w:r w:rsidR="00274196" w:rsidRPr="0083505F">
        <w:rPr>
          <w:rFonts w:cs="Times New Roman" w:hint="eastAsia"/>
          <w:lang w:eastAsia="zh-CN"/>
        </w:rPr>
        <w:t>的</w:t>
      </w:r>
      <w:r w:rsidR="00274196" w:rsidRPr="0083505F">
        <w:rPr>
          <w:rFonts w:cs="Times New Roman"/>
          <w:lang w:eastAsia="zh-CN"/>
        </w:rPr>
        <w:t>药代动力学</w:t>
      </w:r>
      <w:r w:rsidR="00274196" w:rsidRPr="0083505F">
        <w:rPr>
          <w:rFonts w:cs="Times New Roman" w:hint="eastAsia"/>
          <w:lang w:eastAsia="zh-CN"/>
        </w:rPr>
        <w:t>改变</w:t>
      </w:r>
      <w:r w:rsidR="00274196" w:rsidRPr="0083505F">
        <w:rPr>
          <w:rFonts w:cs="Times New Roman"/>
          <w:lang w:eastAsia="zh-CN"/>
        </w:rPr>
        <w:t>。</w:t>
      </w:r>
    </w:p>
    <w:p w14:paraId="434ADE94" w14:textId="66DAD316" w:rsidR="00897793" w:rsidRPr="0083505F" w:rsidRDefault="00850539" w:rsidP="00593FAB">
      <w:pPr>
        <w:spacing w:after="0"/>
        <w:ind w:firstLine="640"/>
        <w:rPr>
          <w:rFonts w:cs="Times New Roman"/>
          <w:lang w:eastAsia="zh-CN"/>
        </w:rPr>
      </w:pPr>
      <w:r>
        <w:rPr>
          <w:rFonts w:cs="Times New Roman" w:hint="eastAsia"/>
          <w:lang w:eastAsia="zh-CN"/>
        </w:rPr>
        <w:t>（</w:t>
      </w:r>
      <w:r>
        <w:rPr>
          <w:rFonts w:cs="Times New Roman" w:hint="eastAsia"/>
          <w:lang w:eastAsia="zh-CN"/>
        </w:rPr>
        <w:t>3</w:t>
      </w:r>
      <w:r>
        <w:rPr>
          <w:rFonts w:cs="Times New Roman" w:hint="eastAsia"/>
          <w:lang w:eastAsia="zh-CN"/>
        </w:rPr>
        <w:t>）</w:t>
      </w:r>
      <w:r w:rsidR="00274196" w:rsidRPr="0083505F">
        <w:rPr>
          <w:rFonts w:cs="Times New Roman"/>
          <w:lang w:eastAsia="zh-CN"/>
        </w:rPr>
        <w:t>抗体</w:t>
      </w:r>
      <w:r w:rsidR="00274196" w:rsidRPr="0083505F">
        <w:rPr>
          <w:rFonts w:cs="Times New Roman"/>
          <w:lang w:eastAsia="zh-CN"/>
        </w:rPr>
        <w:t>-</w:t>
      </w:r>
      <w:r w:rsidR="00274196" w:rsidRPr="0083505F">
        <w:rPr>
          <w:rFonts w:cs="Times New Roman"/>
          <w:lang w:eastAsia="zh-CN"/>
        </w:rPr>
        <w:t>药物结合物</w:t>
      </w:r>
      <w:r w:rsidR="00274196" w:rsidRPr="00AB6FCD">
        <w:rPr>
          <w:rFonts w:cs="Times New Roman" w:hint="eastAsia"/>
          <w:szCs w:val="32"/>
          <w:lang w:eastAsia="zh-CN"/>
        </w:rPr>
        <w:t>（</w:t>
      </w:r>
      <w:r w:rsidR="00274196" w:rsidRPr="00AB6FCD">
        <w:rPr>
          <w:szCs w:val="32"/>
          <w:lang w:eastAsia="zh-CN"/>
        </w:rPr>
        <w:t>antibody-drug conjugate</w:t>
      </w:r>
      <w:r w:rsidR="00274196" w:rsidRPr="00AB6FCD">
        <w:rPr>
          <w:rFonts w:hint="eastAsia"/>
          <w:szCs w:val="32"/>
          <w:lang w:eastAsia="zh-CN"/>
        </w:rPr>
        <w:t>，</w:t>
      </w:r>
      <w:r w:rsidR="00274196" w:rsidRPr="00AB6FCD">
        <w:rPr>
          <w:szCs w:val="32"/>
          <w:lang w:eastAsia="zh-CN"/>
        </w:rPr>
        <w:t>ADC</w:t>
      </w:r>
      <w:r w:rsidR="00274196" w:rsidRPr="00AB6FCD">
        <w:rPr>
          <w:rFonts w:hint="eastAsia"/>
          <w:szCs w:val="32"/>
          <w:lang w:eastAsia="zh-CN"/>
        </w:rPr>
        <w:t>)</w:t>
      </w:r>
      <w:r w:rsidR="00274196" w:rsidRPr="0083505F">
        <w:rPr>
          <w:rFonts w:cs="Times New Roman" w:hint="eastAsia"/>
          <w:lang w:eastAsia="zh-CN"/>
        </w:rPr>
        <w:t>：此时重要的是要了解</w:t>
      </w:r>
      <w:r w:rsidR="00274196" w:rsidRPr="0083505F">
        <w:rPr>
          <w:rFonts w:cs="Times New Roman"/>
          <w:lang w:eastAsia="zh-CN"/>
        </w:rPr>
        <w:t>ADC</w:t>
      </w:r>
      <w:r w:rsidR="00274196" w:rsidRPr="0083505F">
        <w:rPr>
          <w:rFonts w:cs="Times New Roman"/>
          <w:lang w:eastAsia="zh-CN"/>
        </w:rPr>
        <w:t>的小分子药物成分</w:t>
      </w:r>
      <w:bookmarkStart w:id="57" w:name="_GoBack"/>
      <w:bookmarkEnd w:id="57"/>
      <w:r w:rsidR="00274196" w:rsidRPr="0083505F">
        <w:rPr>
          <w:rFonts w:cs="Times New Roman"/>
          <w:lang w:eastAsia="zh-CN"/>
        </w:rPr>
        <w:t>的全身暴露</w:t>
      </w:r>
      <w:r w:rsidR="00274196" w:rsidRPr="0083505F">
        <w:rPr>
          <w:rFonts w:cs="Times New Roman" w:hint="eastAsia"/>
          <w:lang w:eastAsia="zh-CN"/>
        </w:rPr>
        <w:t>量</w:t>
      </w:r>
      <w:r w:rsidR="00274196" w:rsidRPr="0083505F">
        <w:rPr>
          <w:rFonts w:cs="Times New Roman"/>
          <w:lang w:eastAsia="zh-CN"/>
        </w:rPr>
        <w:t>。</w:t>
      </w:r>
    </w:p>
    <w:p w14:paraId="2A49B82C" w14:textId="298D2F80" w:rsidR="00897793" w:rsidRPr="009E464F" w:rsidRDefault="00850539" w:rsidP="00593FAB">
      <w:pPr>
        <w:spacing w:after="0"/>
        <w:ind w:firstLine="640"/>
        <w:rPr>
          <w:rFonts w:cs="Times New Roman"/>
          <w:lang w:eastAsia="zh-CN"/>
        </w:rPr>
      </w:pPr>
      <w:r>
        <w:rPr>
          <w:rFonts w:cs="Times New Roman"/>
          <w:lang w:eastAsia="zh-CN"/>
        </w:rPr>
        <w:t>4.</w:t>
      </w:r>
      <w:r w:rsidR="00897793" w:rsidRPr="009E464F">
        <w:rPr>
          <w:rFonts w:cs="Times New Roman"/>
          <w:lang w:eastAsia="zh-CN"/>
        </w:rPr>
        <w:t>天然药物的药物相互作用评价</w:t>
      </w:r>
    </w:p>
    <w:p w14:paraId="692B32BE" w14:textId="77777777" w:rsidR="00897793" w:rsidRPr="009E464F" w:rsidRDefault="00897793" w:rsidP="00593FAB">
      <w:pPr>
        <w:spacing w:after="0"/>
        <w:ind w:firstLine="640"/>
        <w:rPr>
          <w:rFonts w:cs="Times New Roman"/>
          <w:lang w:eastAsia="zh-CN"/>
        </w:rPr>
      </w:pPr>
      <w:r w:rsidRPr="009E464F">
        <w:rPr>
          <w:rFonts w:cs="Times New Roman"/>
          <w:lang w:eastAsia="zh-CN"/>
        </w:rPr>
        <w:t>中草药或者传统中药有时候成分复杂或者不明，所以在</w:t>
      </w:r>
      <w:r w:rsidRPr="009E464F">
        <w:rPr>
          <w:rFonts w:cs="Times New Roman"/>
          <w:lang w:eastAsia="zh-CN"/>
        </w:rPr>
        <w:t>DDI</w:t>
      </w:r>
      <w:r w:rsidRPr="009E464F">
        <w:rPr>
          <w:rFonts w:cs="Times New Roman"/>
          <w:lang w:eastAsia="zh-CN"/>
        </w:rPr>
        <w:t>临床试验中，为了避免不明成分对临床药物相互作用的影响，建议招募受试者时确定近期没有使用中草药或者传统中药。如果中草药或者传统中药中的某些已知成分可能在临床合用时引起</w:t>
      </w:r>
      <w:r w:rsidRPr="009E464F">
        <w:rPr>
          <w:rFonts w:cs="Times New Roman"/>
          <w:lang w:eastAsia="zh-CN"/>
        </w:rPr>
        <w:t>DDI</w:t>
      </w:r>
      <w:r w:rsidRPr="009E464F">
        <w:rPr>
          <w:rFonts w:cs="Times New Roman"/>
          <w:lang w:eastAsia="zh-CN"/>
        </w:rPr>
        <w:t>，应当首先在体外试验中评价药物相互作用的可能性，然后依据评价结果设计</w:t>
      </w:r>
      <w:r w:rsidRPr="009E464F">
        <w:rPr>
          <w:rFonts w:cs="Times New Roman"/>
          <w:lang w:eastAsia="zh-CN"/>
        </w:rPr>
        <w:t>DDI</w:t>
      </w:r>
      <w:r w:rsidRPr="009E464F">
        <w:rPr>
          <w:rFonts w:cs="Times New Roman"/>
          <w:lang w:eastAsia="zh-CN"/>
        </w:rPr>
        <w:t>临床试验。另外由于中草药制备</w:t>
      </w:r>
      <w:r w:rsidRPr="009E464F">
        <w:rPr>
          <w:rFonts w:cs="Times New Roman"/>
          <w:lang w:eastAsia="zh-CN"/>
        </w:rPr>
        <w:lastRenderedPageBreak/>
        <w:t>过程中的差异或者不同产地的草药可能导致这些成分含量的区别，所以可以在体外试验中考察多批次的中草药来研究产地，制备方法带来的对代谢酶或转运体的影响。鼓励申请人与</w:t>
      </w:r>
      <w:r>
        <w:rPr>
          <w:rFonts w:cs="Times New Roman" w:hint="eastAsia"/>
          <w:lang w:eastAsia="zh-CN"/>
        </w:rPr>
        <w:t>监管</w:t>
      </w:r>
      <w:r>
        <w:rPr>
          <w:rFonts w:cs="Times New Roman"/>
          <w:lang w:eastAsia="zh-CN"/>
        </w:rPr>
        <w:t>部门</w:t>
      </w:r>
      <w:r w:rsidRPr="009E464F">
        <w:rPr>
          <w:rFonts w:cs="Times New Roman"/>
          <w:lang w:eastAsia="zh-CN"/>
        </w:rPr>
        <w:t>就中草药或传统中药的药物相互作用的开展进行讨论。</w:t>
      </w:r>
    </w:p>
    <w:p w14:paraId="39469D28" w14:textId="56830BBC" w:rsidR="00897793" w:rsidRPr="009E464F" w:rsidRDefault="00850539" w:rsidP="00593FAB">
      <w:pPr>
        <w:spacing w:after="0"/>
        <w:ind w:firstLine="640"/>
        <w:rPr>
          <w:rFonts w:cs="Times New Roman"/>
          <w:lang w:eastAsia="zh-CN"/>
        </w:rPr>
      </w:pPr>
      <w:r>
        <w:rPr>
          <w:rFonts w:cs="Times New Roman"/>
          <w:lang w:eastAsia="zh-CN"/>
        </w:rPr>
        <w:t>5.</w:t>
      </w:r>
      <w:r w:rsidR="00897793" w:rsidRPr="009E464F">
        <w:rPr>
          <w:rFonts w:cs="Times New Roman"/>
          <w:lang w:eastAsia="zh-CN"/>
        </w:rPr>
        <w:t>复杂情况下的相互作用评价</w:t>
      </w:r>
      <w:bookmarkEnd w:id="55"/>
      <w:bookmarkEnd w:id="56"/>
    </w:p>
    <w:p w14:paraId="6507E437" w14:textId="77777777" w:rsidR="00897793" w:rsidRPr="009E464F" w:rsidRDefault="00897793" w:rsidP="00593FAB">
      <w:pPr>
        <w:spacing w:after="0"/>
        <w:ind w:firstLine="640"/>
        <w:rPr>
          <w:rFonts w:cs="Times New Roman"/>
          <w:lang w:eastAsia="zh-CN"/>
        </w:rPr>
      </w:pPr>
      <w:r w:rsidRPr="009E464F">
        <w:rPr>
          <w:rFonts w:cs="Times New Roman"/>
          <w:lang w:eastAsia="zh-CN"/>
        </w:rPr>
        <w:t>如果有不同的因素可能会对某</w:t>
      </w:r>
      <w:proofErr w:type="gramStart"/>
      <w:r w:rsidRPr="009E464F">
        <w:rPr>
          <w:rFonts w:cs="Times New Roman"/>
          <w:lang w:eastAsia="zh-CN"/>
        </w:rPr>
        <w:t>一试验</w:t>
      </w:r>
      <w:proofErr w:type="gramEnd"/>
      <w:r w:rsidRPr="009E464F">
        <w:rPr>
          <w:rFonts w:cs="Times New Roman"/>
          <w:lang w:eastAsia="zh-CN"/>
        </w:rPr>
        <w:t>用药物的吸收和分布产生影响或者存在多重</w:t>
      </w:r>
      <w:r w:rsidRPr="009E464F">
        <w:rPr>
          <w:rFonts w:cs="Times New Roman"/>
          <w:lang w:eastAsia="zh-CN"/>
        </w:rPr>
        <w:t>DDI</w:t>
      </w:r>
      <w:r w:rsidRPr="009E464F">
        <w:rPr>
          <w:rFonts w:cs="Times New Roman"/>
          <w:lang w:eastAsia="zh-CN"/>
        </w:rPr>
        <w:t>机制，申请人应当在体外研究及临床研究认识的基础上对</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药物的</w:t>
      </w:r>
      <w:r w:rsidRPr="009E464F">
        <w:rPr>
          <w:rFonts w:cs="Times New Roman"/>
          <w:lang w:eastAsia="zh-CN"/>
        </w:rPr>
        <w:t>DDI</w:t>
      </w:r>
      <w:r w:rsidRPr="009E464F">
        <w:rPr>
          <w:rFonts w:cs="Times New Roman"/>
          <w:lang w:eastAsia="zh-CN"/>
        </w:rPr>
        <w:t>潜力进行</w:t>
      </w:r>
      <w:r>
        <w:rPr>
          <w:rFonts w:cs="Times New Roman" w:hint="eastAsia"/>
          <w:lang w:eastAsia="zh-CN"/>
        </w:rPr>
        <w:t>综合</w:t>
      </w:r>
      <w:r w:rsidRPr="009E464F">
        <w:rPr>
          <w:rFonts w:cs="Times New Roman"/>
          <w:lang w:eastAsia="zh-CN"/>
        </w:rPr>
        <w:t>评价。此时</w:t>
      </w:r>
      <w:r w:rsidRPr="009E464F">
        <w:rPr>
          <w:rFonts w:cs="Times New Roman"/>
          <w:lang w:eastAsia="zh-CN"/>
        </w:rPr>
        <w:t>PBPK</w:t>
      </w:r>
      <w:r w:rsidRPr="009E464F">
        <w:rPr>
          <w:rFonts w:cs="Times New Roman"/>
          <w:lang w:eastAsia="zh-CN"/>
        </w:rPr>
        <w:t>模型可能在下列情况下有用：（</w:t>
      </w:r>
      <w:r w:rsidRPr="009E464F">
        <w:rPr>
          <w:rFonts w:cs="Times New Roman"/>
          <w:lang w:eastAsia="zh-CN"/>
        </w:rPr>
        <w:t>1</w:t>
      </w:r>
      <w:r w:rsidRPr="009E464F">
        <w:rPr>
          <w:rFonts w:cs="Times New Roman"/>
          <w:lang w:eastAsia="zh-CN"/>
        </w:rPr>
        <w:t>）整合多项研究的信息；（</w:t>
      </w:r>
      <w:r w:rsidRPr="009E464F">
        <w:rPr>
          <w:rFonts w:cs="Times New Roman"/>
          <w:lang w:eastAsia="zh-CN"/>
        </w:rPr>
        <w:t>2</w:t>
      </w:r>
      <w:r w:rsidRPr="009E464F">
        <w:rPr>
          <w:rFonts w:cs="Times New Roman"/>
          <w:lang w:eastAsia="zh-CN"/>
        </w:rPr>
        <w:t>）确定某一项临床试验是否适当；（</w:t>
      </w:r>
      <w:r w:rsidRPr="009E464F">
        <w:rPr>
          <w:rFonts w:cs="Times New Roman"/>
          <w:lang w:eastAsia="zh-CN"/>
        </w:rPr>
        <w:t>3</w:t>
      </w:r>
      <w:r w:rsidRPr="009E464F">
        <w:rPr>
          <w:rFonts w:cs="Times New Roman"/>
          <w:lang w:eastAsia="zh-CN"/>
        </w:rPr>
        <w:t>）为临床研究的设计提供信息参考。</w:t>
      </w:r>
    </w:p>
    <w:p w14:paraId="7ACB0644" w14:textId="77777777" w:rsidR="00897793" w:rsidRPr="00850539" w:rsidRDefault="00897793" w:rsidP="00850539">
      <w:pPr>
        <w:widowControl w:val="0"/>
        <w:autoSpaceDE w:val="0"/>
        <w:autoSpaceDN w:val="0"/>
        <w:adjustRightInd w:val="0"/>
        <w:spacing w:after="0"/>
        <w:ind w:firstLine="640"/>
        <w:rPr>
          <w:rFonts w:eastAsia="楷体" w:cs="Times New Roman"/>
          <w:color w:val="000000"/>
          <w:szCs w:val="32"/>
          <w:lang w:eastAsia="zh-CN"/>
        </w:rPr>
      </w:pPr>
      <w:bookmarkStart w:id="58" w:name="_Toc48747234"/>
      <w:bookmarkStart w:id="59" w:name="_Toc48799379"/>
      <w:bookmarkStart w:id="60" w:name="_Toc50395976"/>
      <w:r w:rsidRPr="00850539">
        <w:rPr>
          <w:rFonts w:eastAsia="楷体" w:cs="Times New Roman"/>
          <w:color w:val="000000"/>
          <w:szCs w:val="32"/>
          <w:lang w:eastAsia="zh-CN"/>
        </w:rPr>
        <w:t>（六）</w:t>
      </w:r>
      <w:r w:rsidRPr="00850539">
        <w:rPr>
          <w:rFonts w:eastAsia="楷体" w:cs="Times New Roman"/>
          <w:color w:val="000000"/>
          <w:szCs w:val="32"/>
          <w:lang w:eastAsia="zh-CN"/>
        </w:rPr>
        <w:t>DDI</w:t>
      </w:r>
      <w:r w:rsidRPr="00850539">
        <w:rPr>
          <w:rFonts w:eastAsia="楷体" w:cs="Times New Roman"/>
          <w:color w:val="000000"/>
          <w:szCs w:val="32"/>
          <w:lang w:eastAsia="zh-CN"/>
        </w:rPr>
        <w:t>临床研究结果的报告和解释</w:t>
      </w:r>
      <w:bookmarkEnd w:id="58"/>
      <w:bookmarkEnd w:id="59"/>
      <w:bookmarkEnd w:id="60"/>
    </w:p>
    <w:p w14:paraId="59BC5B4F" w14:textId="35F9F08D" w:rsidR="00897793" w:rsidRPr="009E464F" w:rsidRDefault="00897793" w:rsidP="00593FAB">
      <w:pPr>
        <w:spacing w:after="0"/>
        <w:ind w:firstLine="640"/>
        <w:rPr>
          <w:rFonts w:cs="Times New Roman"/>
          <w:lang w:eastAsia="zh-CN"/>
        </w:rPr>
      </w:pPr>
      <w:bookmarkStart w:id="61" w:name="_Toc5726349"/>
      <w:bookmarkStart w:id="62" w:name="_TOC_250004"/>
      <w:bookmarkStart w:id="63" w:name="_Toc48747236"/>
      <w:bookmarkStart w:id="64" w:name="_Toc48799381"/>
      <w:r w:rsidRPr="009E464F">
        <w:rPr>
          <w:rFonts w:cs="Times New Roman"/>
          <w:lang w:eastAsia="zh-CN"/>
        </w:rPr>
        <w:t>1</w:t>
      </w:r>
      <w:r w:rsidR="00850539">
        <w:rPr>
          <w:rFonts w:cs="Times New Roman"/>
          <w:lang w:eastAsia="zh-CN"/>
        </w:rPr>
        <w:t>.</w:t>
      </w:r>
      <w:r w:rsidRPr="009E464F">
        <w:rPr>
          <w:rFonts w:cs="Times New Roman"/>
          <w:lang w:eastAsia="zh-CN"/>
        </w:rPr>
        <w:t>研究结果的报告</w:t>
      </w:r>
      <w:bookmarkEnd w:id="61"/>
      <w:bookmarkEnd w:id="62"/>
      <w:bookmarkEnd w:id="63"/>
      <w:bookmarkEnd w:id="64"/>
    </w:p>
    <w:p w14:paraId="2A07C23D" w14:textId="77777777" w:rsidR="00897793" w:rsidRPr="009E464F" w:rsidRDefault="00897793" w:rsidP="00593FAB">
      <w:pPr>
        <w:spacing w:after="0"/>
        <w:ind w:firstLine="640"/>
        <w:rPr>
          <w:rFonts w:cs="Times New Roman"/>
          <w:lang w:eastAsia="zh-CN"/>
        </w:rPr>
      </w:pPr>
      <w:r w:rsidRPr="009E464F">
        <w:rPr>
          <w:rFonts w:cs="Times New Roman"/>
          <w:lang w:eastAsia="zh-CN"/>
        </w:rPr>
        <w:t>DDI</w:t>
      </w:r>
      <w:r w:rsidRPr="009E464F">
        <w:rPr>
          <w:rFonts w:cs="Times New Roman"/>
          <w:lang w:eastAsia="zh-CN"/>
        </w:rPr>
        <w:t>研究通常选择</w:t>
      </w:r>
      <w:r w:rsidRPr="009E464F">
        <w:rPr>
          <w:rFonts w:cs="Times New Roman"/>
          <w:lang w:eastAsia="zh-CN"/>
        </w:rPr>
        <w:t>AUC</w:t>
      </w:r>
      <w:r w:rsidRPr="009E464F">
        <w:rPr>
          <w:rFonts w:cs="Times New Roman"/>
          <w:vertAlign w:val="subscript"/>
          <w:lang w:eastAsia="zh-CN"/>
        </w:rPr>
        <w:t>0-inf</w:t>
      </w:r>
      <w:r w:rsidRPr="009E464F">
        <w:rPr>
          <w:rFonts w:cs="Times New Roman"/>
          <w:lang w:eastAsia="zh-CN"/>
        </w:rPr>
        <w:t>及</w:t>
      </w:r>
      <w:proofErr w:type="spellStart"/>
      <w:r w:rsidRPr="009E464F">
        <w:rPr>
          <w:rFonts w:cs="Times New Roman"/>
          <w:lang w:eastAsia="zh-CN"/>
        </w:rPr>
        <w:t>C</w:t>
      </w:r>
      <w:r w:rsidRPr="009E464F">
        <w:rPr>
          <w:rFonts w:cs="Times New Roman"/>
          <w:vertAlign w:val="subscript"/>
          <w:lang w:eastAsia="zh-CN"/>
        </w:rPr>
        <w:t>max</w:t>
      </w:r>
      <w:proofErr w:type="spellEnd"/>
      <w:r w:rsidRPr="009E464F">
        <w:rPr>
          <w:rFonts w:cs="Times New Roman"/>
          <w:lang w:eastAsia="zh-CN"/>
        </w:rPr>
        <w:t>等药物暴露参数作为药代动力学终点。申请人所报告的</w:t>
      </w:r>
      <w:r w:rsidRPr="009E464F">
        <w:rPr>
          <w:rFonts w:cs="Times New Roman"/>
          <w:lang w:eastAsia="zh-CN"/>
        </w:rPr>
        <w:t>DDI</w:t>
      </w:r>
      <w:r w:rsidRPr="009E464F">
        <w:rPr>
          <w:rFonts w:cs="Times New Roman"/>
          <w:lang w:eastAsia="zh-CN"/>
        </w:rPr>
        <w:t>研究的药代动力学研究结果应当包括在合并及不合并促变药时</w:t>
      </w:r>
      <w:r>
        <w:rPr>
          <w:rFonts w:cs="Times New Roman" w:hint="eastAsia"/>
          <w:lang w:eastAsia="zh-CN"/>
        </w:rPr>
        <w:t>，</w:t>
      </w:r>
      <w:r w:rsidRPr="009E464F">
        <w:rPr>
          <w:rFonts w:cs="Times New Roman"/>
          <w:lang w:eastAsia="zh-CN"/>
        </w:rPr>
        <w:t>药代动力学观测值的几何均值比及其</w:t>
      </w:r>
      <w:r w:rsidRPr="009E464F">
        <w:rPr>
          <w:rFonts w:cs="Times New Roman"/>
          <w:lang w:eastAsia="zh-CN"/>
        </w:rPr>
        <w:t>90%</w:t>
      </w:r>
      <w:r w:rsidRPr="009E464F">
        <w:rPr>
          <w:rFonts w:cs="Times New Roman"/>
          <w:lang w:eastAsia="zh-CN"/>
        </w:rPr>
        <w:t>置信区间。申请人同时还应报</w:t>
      </w:r>
      <w:r>
        <w:rPr>
          <w:rFonts w:cs="Times New Roman" w:hint="eastAsia"/>
          <w:lang w:eastAsia="zh-CN"/>
        </w:rPr>
        <w:t>告</w:t>
      </w:r>
      <w:r w:rsidRPr="009E464F">
        <w:rPr>
          <w:rFonts w:cs="Times New Roman"/>
          <w:lang w:eastAsia="zh-CN"/>
        </w:rPr>
        <w:t>相互作用的变异。</w:t>
      </w:r>
    </w:p>
    <w:p w14:paraId="06B35E27" w14:textId="77777777" w:rsidR="00897793" w:rsidRPr="009E464F" w:rsidRDefault="00897793" w:rsidP="00593FAB">
      <w:pPr>
        <w:spacing w:after="0"/>
        <w:ind w:firstLine="640"/>
        <w:rPr>
          <w:rFonts w:cs="Times New Roman"/>
          <w:lang w:eastAsia="zh-CN"/>
        </w:rPr>
      </w:pPr>
      <w:r w:rsidRPr="009E464F">
        <w:rPr>
          <w:rFonts w:cs="Times New Roman"/>
          <w:lang w:eastAsia="zh-CN"/>
        </w:rPr>
        <w:t>申请人应当对药效动力学终点的全部信息进行总结。如果药效动力学终点为连续性变量，则申请人可应以药</w:t>
      </w:r>
      <w:r>
        <w:rPr>
          <w:rFonts w:cs="Times New Roman" w:hint="eastAsia"/>
          <w:lang w:eastAsia="zh-CN"/>
        </w:rPr>
        <w:t>代</w:t>
      </w:r>
      <w:r w:rsidRPr="009E464F">
        <w:rPr>
          <w:rFonts w:cs="Times New Roman"/>
          <w:lang w:eastAsia="zh-CN"/>
        </w:rPr>
        <w:t>动力学数据相同的方式分析和报告药效动力学变量。如果药效动力学终</w:t>
      </w:r>
      <w:r w:rsidRPr="009E464F">
        <w:rPr>
          <w:rFonts w:cs="Times New Roman"/>
          <w:lang w:eastAsia="zh-CN"/>
        </w:rPr>
        <w:lastRenderedPageBreak/>
        <w:t>点并非连续变量，则申请人应当在征求</w:t>
      </w:r>
      <w:r w:rsidRPr="009E464F">
        <w:rPr>
          <w:rFonts w:cs="Times New Roman"/>
          <w:lang w:eastAsia="zh-CN"/>
        </w:rPr>
        <w:t>CDE</w:t>
      </w:r>
      <w:r w:rsidRPr="009E464F">
        <w:rPr>
          <w:rFonts w:cs="Times New Roman"/>
          <w:lang w:eastAsia="zh-CN"/>
        </w:rPr>
        <w:t>意见的基础上确定适宜的数据分析方法。</w:t>
      </w:r>
    </w:p>
    <w:p w14:paraId="2A2FB64A" w14:textId="77777777" w:rsidR="00897793" w:rsidRPr="009E464F" w:rsidRDefault="00897793" w:rsidP="00593FAB">
      <w:pPr>
        <w:spacing w:after="0"/>
        <w:ind w:firstLine="640"/>
        <w:rPr>
          <w:rFonts w:cs="Times New Roman"/>
          <w:lang w:eastAsia="zh-CN"/>
        </w:rPr>
      </w:pPr>
      <w:r w:rsidRPr="009E464F">
        <w:rPr>
          <w:rFonts w:cs="Times New Roman"/>
          <w:lang w:eastAsia="zh-CN"/>
        </w:rPr>
        <w:t>申请人应当在研究方案中说明异常值的定义标准，并且区分异常个体与异常数据点。申请人通常应当报告包含或不包含异常值时的分析结果。申请人应报告所有个体</w:t>
      </w:r>
      <w:bookmarkStart w:id="65" w:name="OLE_LINK9"/>
      <w:bookmarkStart w:id="66" w:name="OLE_LINK8"/>
      <w:r w:rsidRPr="009E464F">
        <w:rPr>
          <w:rFonts w:cs="Times New Roman"/>
          <w:lang w:eastAsia="zh-CN"/>
        </w:rPr>
        <w:t>的</w:t>
      </w:r>
      <w:bookmarkEnd w:id="65"/>
      <w:bookmarkEnd w:id="66"/>
      <w:r w:rsidRPr="009E464F">
        <w:rPr>
          <w:rFonts w:cs="Times New Roman"/>
          <w:lang w:eastAsia="zh-CN"/>
        </w:rPr>
        <w:t>AUC</w:t>
      </w:r>
      <w:r w:rsidRPr="009E464F">
        <w:rPr>
          <w:rFonts w:cs="Times New Roman"/>
          <w:vertAlign w:val="subscript"/>
          <w:lang w:eastAsia="zh-CN"/>
        </w:rPr>
        <w:t>0-inf</w:t>
      </w:r>
      <w:r w:rsidRPr="009E464F">
        <w:rPr>
          <w:rFonts w:cs="Times New Roman"/>
          <w:lang w:eastAsia="zh-CN"/>
        </w:rPr>
        <w:t>值和外推百分数。申请人应当对</w:t>
      </w:r>
      <w:r w:rsidRPr="009E464F">
        <w:rPr>
          <w:rFonts w:cs="Times New Roman"/>
          <w:lang w:eastAsia="zh-CN"/>
        </w:rPr>
        <w:t>AUC</w:t>
      </w:r>
      <w:r w:rsidRPr="009E464F">
        <w:rPr>
          <w:rFonts w:cs="Times New Roman"/>
          <w:vertAlign w:val="subscript"/>
          <w:lang w:eastAsia="zh-CN"/>
        </w:rPr>
        <w:t>0-</w:t>
      </w:r>
      <w:bookmarkStart w:id="67" w:name="OLE_LINK11"/>
      <w:bookmarkStart w:id="68" w:name="OLE_LINK10"/>
      <w:r w:rsidRPr="009E464F">
        <w:rPr>
          <w:rFonts w:cs="Times New Roman"/>
          <w:vertAlign w:val="subscript"/>
          <w:lang w:eastAsia="zh-CN"/>
        </w:rPr>
        <w:t>inf</w:t>
      </w:r>
      <w:r w:rsidRPr="009E464F">
        <w:rPr>
          <w:rFonts w:cs="Times New Roman"/>
          <w:lang w:eastAsia="zh-CN"/>
        </w:rPr>
        <w:t>外</w:t>
      </w:r>
      <w:bookmarkEnd w:id="67"/>
      <w:bookmarkEnd w:id="68"/>
      <w:r w:rsidRPr="009E464F">
        <w:rPr>
          <w:rFonts w:cs="Times New Roman"/>
          <w:lang w:eastAsia="zh-CN"/>
        </w:rPr>
        <w:t>推值达到</w:t>
      </w:r>
      <w:r w:rsidRPr="009E464F">
        <w:rPr>
          <w:rFonts w:cs="Times New Roman"/>
          <w:lang w:eastAsia="zh-CN"/>
        </w:rPr>
        <w:t>20%</w:t>
      </w:r>
      <w:r w:rsidRPr="009E464F">
        <w:rPr>
          <w:rFonts w:cs="Times New Roman"/>
          <w:lang w:eastAsia="zh-CN"/>
        </w:rPr>
        <w:t>以上的个体进行</w:t>
      </w:r>
      <w:r>
        <w:rPr>
          <w:rFonts w:cs="Times New Roman" w:hint="eastAsia"/>
          <w:lang w:eastAsia="zh-CN"/>
        </w:rPr>
        <w:t>重点</w:t>
      </w:r>
      <w:r w:rsidRPr="009E464F">
        <w:rPr>
          <w:rFonts w:cs="Times New Roman"/>
          <w:lang w:eastAsia="zh-CN"/>
        </w:rPr>
        <w:t>说明，并讨论其对</w:t>
      </w:r>
      <w:r w:rsidRPr="009E464F">
        <w:rPr>
          <w:rFonts w:cs="Times New Roman"/>
          <w:lang w:eastAsia="zh-CN"/>
        </w:rPr>
        <w:t>DDI</w:t>
      </w:r>
      <w:r w:rsidRPr="009E464F">
        <w:rPr>
          <w:rFonts w:cs="Times New Roman"/>
          <w:lang w:eastAsia="zh-CN"/>
        </w:rPr>
        <w:t>评价的潜在影响。</w:t>
      </w:r>
    </w:p>
    <w:p w14:paraId="03711099" w14:textId="77777777" w:rsidR="00897793" w:rsidRPr="009E464F" w:rsidRDefault="00897793" w:rsidP="00850539">
      <w:pPr>
        <w:spacing w:after="0"/>
        <w:ind w:firstLine="640"/>
        <w:rPr>
          <w:rFonts w:cs="Times New Roman"/>
          <w:lang w:eastAsia="zh-CN"/>
        </w:rPr>
      </w:pPr>
      <w:r w:rsidRPr="009E464F">
        <w:rPr>
          <w:rFonts w:cs="Times New Roman"/>
          <w:lang w:eastAsia="zh-CN"/>
        </w:rPr>
        <w:t>（</w:t>
      </w:r>
      <w:r w:rsidRPr="009E464F">
        <w:rPr>
          <w:rFonts w:cs="Times New Roman"/>
          <w:lang w:eastAsia="zh-CN"/>
        </w:rPr>
        <w:t>1</w:t>
      </w:r>
      <w:r w:rsidRPr="009E464F">
        <w:rPr>
          <w:rFonts w:cs="Times New Roman"/>
          <w:lang w:eastAsia="zh-CN"/>
        </w:rPr>
        <w:t>）非房室分析结果报告</w:t>
      </w:r>
    </w:p>
    <w:p w14:paraId="23967DA6" w14:textId="77777777" w:rsidR="00897793" w:rsidRPr="009E464F" w:rsidRDefault="00897793" w:rsidP="00593FAB">
      <w:pPr>
        <w:spacing w:after="0"/>
        <w:ind w:firstLine="640"/>
        <w:rPr>
          <w:rFonts w:cs="Times New Roman"/>
          <w:lang w:eastAsia="zh-CN"/>
        </w:rPr>
      </w:pPr>
      <w:r w:rsidRPr="009E464F">
        <w:rPr>
          <w:rFonts w:cs="Times New Roman"/>
          <w:lang w:eastAsia="zh-CN"/>
        </w:rPr>
        <w:t>申请人应当报</w:t>
      </w:r>
      <w:r>
        <w:rPr>
          <w:rFonts w:cs="Times New Roman" w:hint="eastAsia"/>
          <w:lang w:eastAsia="zh-CN"/>
        </w:rPr>
        <w:t>告</w:t>
      </w:r>
      <w:r w:rsidRPr="009E464F">
        <w:rPr>
          <w:rFonts w:cs="Times New Roman"/>
          <w:lang w:eastAsia="zh-CN"/>
        </w:rPr>
        <w:t>所有受试者底物暴露量测定结果，例如</w:t>
      </w:r>
      <w:r w:rsidRPr="009E464F">
        <w:rPr>
          <w:rFonts w:cs="Times New Roman"/>
          <w:lang w:eastAsia="zh-CN"/>
        </w:rPr>
        <w:t>AUC</w:t>
      </w:r>
      <w:r w:rsidRPr="009E464F">
        <w:rPr>
          <w:rFonts w:cs="Times New Roman"/>
          <w:vertAlign w:val="subscript"/>
          <w:lang w:eastAsia="zh-CN"/>
        </w:rPr>
        <w:t>0-inf</w:t>
      </w:r>
      <w:r w:rsidRPr="009E464F">
        <w:rPr>
          <w:rFonts w:cs="Times New Roman"/>
          <w:lang w:eastAsia="zh-CN"/>
        </w:rPr>
        <w:t>、</w:t>
      </w:r>
      <w:r w:rsidRPr="009E464F">
        <w:rPr>
          <w:rFonts w:cs="Times New Roman"/>
          <w:lang w:eastAsia="zh-CN"/>
        </w:rPr>
        <w:t>AUC</w:t>
      </w:r>
      <w:r w:rsidRPr="009E464F">
        <w:rPr>
          <w:rFonts w:cs="Times New Roman"/>
          <w:vertAlign w:val="subscript"/>
          <w:lang w:eastAsia="zh-CN"/>
        </w:rPr>
        <w:t>0-t</w:t>
      </w:r>
      <w:r w:rsidRPr="009E464F">
        <w:rPr>
          <w:rFonts w:cs="Times New Roman"/>
          <w:lang w:eastAsia="zh-CN"/>
        </w:rPr>
        <w:t>、</w:t>
      </w:r>
      <w:r w:rsidRPr="009E464F">
        <w:rPr>
          <w:rFonts w:cs="Times New Roman"/>
          <w:lang w:eastAsia="zh-CN"/>
        </w:rPr>
        <w:t>AUC</w:t>
      </w:r>
      <w:r w:rsidRPr="009E464F">
        <w:rPr>
          <w:rFonts w:cs="Times New Roman"/>
          <w:vertAlign w:val="subscript"/>
          <w:lang w:eastAsia="zh-CN"/>
        </w:rPr>
        <w:t>0-inf</w:t>
      </w:r>
      <w:r w:rsidRPr="009E464F">
        <w:rPr>
          <w:rFonts w:cs="Times New Roman"/>
          <w:lang w:eastAsia="zh-CN"/>
        </w:rPr>
        <w:t>外推百分数、</w:t>
      </w:r>
      <w:proofErr w:type="spellStart"/>
      <w:r w:rsidRPr="009E464F">
        <w:rPr>
          <w:rFonts w:cs="Times New Roman"/>
          <w:lang w:eastAsia="zh-CN"/>
        </w:rPr>
        <w:t>C</w:t>
      </w:r>
      <w:r w:rsidRPr="009E464F">
        <w:rPr>
          <w:rFonts w:cs="Times New Roman"/>
          <w:vertAlign w:val="subscript"/>
          <w:lang w:eastAsia="zh-CN"/>
        </w:rPr>
        <w:t>max</w:t>
      </w:r>
      <w:proofErr w:type="spellEnd"/>
      <w:r w:rsidRPr="009E464F">
        <w:rPr>
          <w:rFonts w:cs="Times New Roman"/>
          <w:lang w:eastAsia="zh-CN"/>
        </w:rPr>
        <w:t>以及达峰时间（</w:t>
      </w:r>
      <w:proofErr w:type="spellStart"/>
      <w:r w:rsidRPr="009E464F">
        <w:rPr>
          <w:rFonts w:cs="Times New Roman"/>
          <w:lang w:eastAsia="zh-CN"/>
        </w:rPr>
        <w:t>T</w:t>
      </w:r>
      <w:r w:rsidRPr="009E464F">
        <w:rPr>
          <w:rFonts w:cs="Times New Roman"/>
          <w:vertAlign w:val="subscript"/>
          <w:lang w:eastAsia="zh-CN"/>
        </w:rPr>
        <w:t>max</w:t>
      </w:r>
      <w:proofErr w:type="spellEnd"/>
      <w:r w:rsidRPr="009E464F">
        <w:rPr>
          <w:rFonts w:cs="Times New Roman"/>
          <w:lang w:eastAsia="zh-CN"/>
        </w:rPr>
        <w:t>）。对于多剂量研究，申请人还应当报告达稳态时的</w:t>
      </w:r>
      <w:proofErr w:type="spellStart"/>
      <w:r w:rsidRPr="009E464F">
        <w:rPr>
          <w:rFonts w:cs="Times New Roman"/>
          <w:lang w:eastAsia="zh-CN"/>
        </w:rPr>
        <w:t>C</w:t>
      </w:r>
      <w:r w:rsidRPr="009E464F">
        <w:rPr>
          <w:rFonts w:cs="Times New Roman"/>
          <w:vertAlign w:val="subscript"/>
          <w:lang w:eastAsia="zh-CN"/>
        </w:rPr>
        <w:t>min</w:t>
      </w:r>
      <w:proofErr w:type="spellEnd"/>
      <w:r w:rsidRPr="009E464F">
        <w:rPr>
          <w:rFonts w:cs="Times New Roman"/>
          <w:lang w:eastAsia="zh-CN"/>
        </w:rPr>
        <w:t>以及</w:t>
      </w:r>
      <w:r w:rsidRPr="009E464F">
        <w:rPr>
          <w:rFonts w:cs="Times New Roman"/>
          <w:lang w:eastAsia="zh-CN"/>
        </w:rPr>
        <w:t>AUC</w:t>
      </w:r>
      <w:r w:rsidRPr="009E464F">
        <w:rPr>
          <w:rFonts w:cs="Times New Roman"/>
          <w:vertAlign w:val="subscript"/>
          <w:lang w:eastAsia="zh-CN"/>
        </w:rPr>
        <w:t>0-t</w:t>
      </w:r>
      <w:r w:rsidRPr="009E464F">
        <w:rPr>
          <w:rFonts w:cs="Times New Roman"/>
          <w:lang w:eastAsia="zh-CN"/>
        </w:rPr>
        <w:t>。在有助于药代动力学结果解释的情况下，申请人应当收集清除率、分布容积及半衰期等其他药代动力学参数数据。申请人还应当考虑和报告对与相互作用临床意义相关的药代动力学参数。测定被</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药物（可能是促变药或</w:t>
      </w:r>
      <w:proofErr w:type="gramStart"/>
      <w:r w:rsidRPr="009E464F">
        <w:rPr>
          <w:rFonts w:cs="Times New Roman"/>
          <w:lang w:eastAsia="zh-CN"/>
        </w:rPr>
        <w:t>受变药</w:t>
      </w:r>
      <w:proofErr w:type="gramEnd"/>
      <w:r w:rsidRPr="009E464F">
        <w:rPr>
          <w:rFonts w:cs="Times New Roman"/>
          <w:lang w:eastAsia="zh-CN"/>
        </w:rPr>
        <w:t>）代谢产物水平可能有助于确认相互作用的机制或者区分抑制剂或诱导剂对于不同</w:t>
      </w:r>
      <w:r w:rsidRPr="009E464F">
        <w:rPr>
          <w:rFonts w:cs="Times New Roman"/>
          <w:lang w:eastAsia="zh-CN"/>
        </w:rPr>
        <w:t>CYP</w:t>
      </w:r>
      <w:r w:rsidRPr="009E464F">
        <w:rPr>
          <w:rFonts w:cs="Times New Roman"/>
          <w:lang w:eastAsia="zh-CN"/>
        </w:rPr>
        <w:t>酶所</w:t>
      </w:r>
      <w:proofErr w:type="gramStart"/>
      <w:r w:rsidRPr="009E464F">
        <w:rPr>
          <w:rFonts w:cs="Times New Roman"/>
          <w:lang w:eastAsia="zh-CN"/>
        </w:rPr>
        <w:t>介</w:t>
      </w:r>
      <w:proofErr w:type="gramEnd"/>
      <w:r w:rsidRPr="009E464F">
        <w:rPr>
          <w:rFonts w:cs="Times New Roman"/>
          <w:lang w:eastAsia="zh-CN"/>
        </w:rPr>
        <w:t>导途径的影响。</w:t>
      </w:r>
    </w:p>
    <w:p w14:paraId="5F5F0865" w14:textId="77777777" w:rsidR="00897793" w:rsidRPr="009E464F" w:rsidRDefault="00897793" w:rsidP="00850539">
      <w:pPr>
        <w:spacing w:after="0"/>
        <w:ind w:firstLine="640"/>
        <w:rPr>
          <w:rFonts w:cs="Times New Roman"/>
          <w:lang w:eastAsia="zh-CN"/>
        </w:rPr>
      </w:pPr>
      <w:r w:rsidRPr="009E464F">
        <w:rPr>
          <w:rFonts w:cs="Times New Roman"/>
          <w:lang w:eastAsia="zh-CN"/>
        </w:rPr>
        <w:t>（</w:t>
      </w:r>
      <w:r w:rsidRPr="009E464F">
        <w:rPr>
          <w:rFonts w:cs="Times New Roman"/>
          <w:lang w:eastAsia="zh-CN"/>
        </w:rPr>
        <w:t>2</w:t>
      </w:r>
      <w:r w:rsidRPr="009E464F">
        <w:rPr>
          <w:rFonts w:cs="Times New Roman"/>
          <w:lang w:eastAsia="zh-CN"/>
        </w:rPr>
        <w:t>）群体药代动力学模型分析结果报告</w:t>
      </w:r>
    </w:p>
    <w:p w14:paraId="5BD1E248" w14:textId="77777777" w:rsidR="00897793" w:rsidRPr="009E464F" w:rsidRDefault="00897793" w:rsidP="00593FAB">
      <w:pPr>
        <w:spacing w:after="0"/>
        <w:ind w:firstLine="640"/>
        <w:rPr>
          <w:rFonts w:cs="Times New Roman"/>
          <w:lang w:eastAsia="zh-CN"/>
        </w:rPr>
      </w:pPr>
      <w:r w:rsidRPr="009E464F">
        <w:rPr>
          <w:rFonts w:cs="Times New Roman"/>
          <w:lang w:eastAsia="zh-CN"/>
        </w:rPr>
        <w:t>一般情况下，申请人</w:t>
      </w:r>
      <w:proofErr w:type="gramStart"/>
      <w:r w:rsidRPr="009E464F">
        <w:rPr>
          <w:rFonts w:cs="Times New Roman"/>
          <w:lang w:eastAsia="zh-CN"/>
        </w:rPr>
        <w:t>需报告</w:t>
      </w:r>
      <w:proofErr w:type="gramEnd"/>
      <w:r w:rsidRPr="009E464F">
        <w:rPr>
          <w:rFonts w:cs="Times New Roman"/>
          <w:lang w:eastAsia="zh-CN"/>
        </w:rPr>
        <w:t>通过群体药代动力学分析计算</w:t>
      </w:r>
      <w:r w:rsidRPr="009E464F">
        <w:rPr>
          <w:rFonts w:cs="Times New Roman"/>
          <w:lang w:eastAsia="zh-CN"/>
        </w:rPr>
        <w:t>AUC</w:t>
      </w:r>
      <w:r w:rsidRPr="009E464F">
        <w:rPr>
          <w:rFonts w:cs="Times New Roman"/>
          <w:vertAlign w:val="subscript"/>
          <w:lang w:eastAsia="zh-CN"/>
        </w:rPr>
        <w:t>0-inf</w:t>
      </w:r>
      <w:r w:rsidRPr="009E464F">
        <w:rPr>
          <w:rFonts w:cs="Times New Roman"/>
          <w:lang w:eastAsia="zh-CN"/>
        </w:rPr>
        <w:t>、</w:t>
      </w:r>
      <w:r w:rsidRPr="009E464F">
        <w:rPr>
          <w:rFonts w:cs="Times New Roman"/>
          <w:lang w:eastAsia="zh-CN"/>
        </w:rPr>
        <w:t>AUC</w:t>
      </w:r>
      <w:r w:rsidRPr="009E464F">
        <w:rPr>
          <w:rFonts w:cs="Times New Roman"/>
          <w:vertAlign w:val="subscript"/>
          <w:lang w:eastAsia="zh-CN"/>
        </w:rPr>
        <w:t>0-t</w:t>
      </w:r>
      <w:r w:rsidRPr="009E464F">
        <w:rPr>
          <w:rFonts w:cs="Times New Roman"/>
          <w:lang w:eastAsia="zh-CN"/>
        </w:rPr>
        <w:t>、</w:t>
      </w:r>
      <w:proofErr w:type="spellStart"/>
      <w:r w:rsidRPr="009E464F">
        <w:rPr>
          <w:rFonts w:cs="Times New Roman"/>
          <w:lang w:eastAsia="zh-CN"/>
        </w:rPr>
        <w:t>C</w:t>
      </w:r>
      <w:r w:rsidRPr="009E464F">
        <w:rPr>
          <w:rFonts w:cs="Times New Roman"/>
          <w:vertAlign w:val="subscript"/>
          <w:lang w:eastAsia="zh-CN"/>
        </w:rPr>
        <w:t>max</w:t>
      </w:r>
      <w:proofErr w:type="spellEnd"/>
      <w:r w:rsidRPr="009E464F">
        <w:rPr>
          <w:rFonts w:cs="Times New Roman"/>
          <w:lang w:eastAsia="zh-CN"/>
        </w:rPr>
        <w:t>以及</w:t>
      </w:r>
      <w:proofErr w:type="spellStart"/>
      <w:r w:rsidRPr="009E464F">
        <w:rPr>
          <w:rFonts w:cs="Times New Roman"/>
          <w:lang w:eastAsia="zh-CN"/>
        </w:rPr>
        <w:t>T</w:t>
      </w:r>
      <w:r w:rsidRPr="009E464F">
        <w:rPr>
          <w:rFonts w:cs="Times New Roman"/>
          <w:vertAlign w:val="subscript"/>
          <w:lang w:eastAsia="zh-CN"/>
        </w:rPr>
        <w:t>max</w:t>
      </w:r>
      <w:proofErr w:type="spellEnd"/>
      <w:r w:rsidRPr="009E464F">
        <w:rPr>
          <w:rFonts w:cs="Times New Roman"/>
          <w:lang w:eastAsia="zh-CN"/>
        </w:rPr>
        <w:t>等药代动力学参数。对于多剂量研究，申请人还应当报告达稳态时的</w:t>
      </w:r>
      <w:proofErr w:type="spellStart"/>
      <w:r w:rsidRPr="009E464F">
        <w:rPr>
          <w:rFonts w:cs="Times New Roman"/>
          <w:lang w:eastAsia="zh-CN"/>
        </w:rPr>
        <w:t>C</w:t>
      </w:r>
      <w:r w:rsidRPr="009E464F">
        <w:rPr>
          <w:rFonts w:cs="Times New Roman"/>
          <w:vertAlign w:val="subscript"/>
          <w:lang w:eastAsia="zh-CN"/>
        </w:rPr>
        <w:t>min</w:t>
      </w:r>
      <w:proofErr w:type="spellEnd"/>
      <w:r w:rsidRPr="009E464F">
        <w:rPr>
          <w:rFonts w:cs="Times New Roman"/>
          <w:lang w:eastAsia="zh-CN"/>
        </w:rPr>
        <w:t>以及</w:t>
      </w:r>
      <w:r w:rsidRPr="009E464F">
        <w:rPr>
          <w:rFonts w:cs="Times New Roman"/>
          <w:lang w:eastAsia="zh-CN"/>
        </w:rPr>
        <w:t>AUC</w:t>
      </w:r>
      <w:r w:rsidRPr="009E464F">
        <w:rPr>
          <w:rFonts w:cs="Times New Roman"/>
          <w:vertAlign w:val="subscript"/>
          <w:lang w:eastAsia="zh-CN"/>
        </w:rPr>
        <w:t>0-t</w:t>
      </w:r>
      <w:r w:rsidRPr="009E464F">
        <w:rPr>
          <w:rFonts w:cs="Times New Roman"/>
          <w:lang w:eastAsia="zh-CN"/>
        </w:rPr>
        <w:t>。申</w:t>
      </w:r>
      <w:r w:rsidRPr="009E464F">
        <w:rPr>
          <w:rFonts w:cs="Times New Roman"/>
          <w:lang w:eastAsia="zh-CN"/>
        </w:rPr>
        <w:lastRenderedPageBreak/>
        <w:t>请人应当通过</w:t>
      </w:r>
      <w:r>
        <w:rPr>
          <w:rFonts w:cs="Times New Roman" w:hint="eastAsia"/>
          <w:lang w:eastAsia="zh-CN"/>
        </w:rPr>
        <w:t>群体</w:t>
      </w:r>
      <w:r w:rsidRPr="009E464F">
        <w:rPr>
          <w:rFonts w:cs="Times New Roman"/>
          <w:lang w:eastAsia="zh-CN"/>
        </w:rPr>
        <w:t>药代动力学模型中所有合理的结构</w:t>
      </w:r>
      <w:r>
        <w:rPr>
          <w:rFonts w:cs="Times New Roman" w:hint="eastAsia"/>
          <w:lang w:eastAsia="zh-CN"/>
        </w:rPr>
        <w:t>参数</w:t>
      </w:r>
      <w:r w:rsidRPr="009E464F">
        <w:rPr>
          <w:rFonts w:cs="Times New Roman"/>
          <w:lang w:eastAsia="zh-CN"/>
        </w:rPr>
        <w:t>（如清除率（</w:t>
      </w:r>
      <w:r w:rsidRPr="009E464F">
        <w:rPr>
          <w:rFonts w:cs="Times New Roman"/>
          <w:lang w:eastAsia="zh-CN"/>
        </w:rPr>
        <w:t>CL/F</w:t>
      </w:r>
      <w:r w:rsidRPr="009E464F">
        <w:rPr>
          <w:rFonts w:cs="Times New Roman"/>
          <w:lang w:eastAsia="zh-CN"/>
        </w:rPr>
        <w:t>）、相对生物利用度、吸收率）对</w:t>
      </w:r>
      <w:r w:rsidRPr="009E464F">
        <w:rPr>
          <w:rFonts w:cs="Times New Roman"/>
          <w:lang w:eastAsia="zh-CN"/>
        </w:rPr>
        <w:t>DDI</w:t>
      </w:r>
      <w:r w:rsidRPr="009E464F">
        <w:rPr>
          <w:rFonts w:cs="Times New Roman"/>
          <w:lang w:eastAsia="zh-CN"/>
        </w:rPr>
        <w:t>进行研究。在某些情况下</w:t>
      </w:r>
      <w:r w:rsidRPr="009E464F">
        <w:rPr>
          <w:rFonts w:cs="Times New Roman"/>
          <w:lang w:eastAsia="zh-CN"/>
        </w:rPr>
        <w:t xml:space="preserve"> </w:t>
      </w:r>
      <w:r w:rsidRPr="009E464F">
        <w:rPr>
          <w:rFonts w:cs="Times New Roman"/>
          <w:lang w:eastAsia="zh-CN"/>
        </w:rPr>
        <w:t>（例如长半衰期药物），可以在非房室分析的基础上进行群体药动学分析以准确报告</w:t>
      </w:r>
      <w:r w:rsidRPr="009E464F">
        <w:rPr>
          <w:rFonts w:cs="Times New Roman"/>
          <w:lang w:eastAsia="zh-CN"/>
        </w:rPr>
        <w:t>AUC</w:t>
      </w:r>
      <w:r w:rsidRPr="009E464F">
        <w:rPr>
          <w:rFonts w:cs="Times New Roman"/>
          <w:vertAlign w:val="subscript"/>
          <w:lang w:eastAsia="zh-CN"/>
        </w:rPr>
        <w:t>0-inf</w:t>
      </w:r>
      <w:r w:rsidRPr="009E464F">
        <w:rPr>
          <w:rFonts w:cs="Times New Roman"/>
          <w:lang w:eastAsia="zh-CN"/>
        </w:rPr>
        <w:t>。</w:t>
      </w:r>
    </w:p>
    <w:p w14:paraId="1DE2CAF6" w14:textId="7D9AAC56" w:rsidR="00897793" w:rsidRPr="009E464F" w:rsidRDefault="00850539" w:rsidP="00593FAB">
      <w:pPr>
        <w:spacing w:after="0"/>
        <w:ind w:firstLine="640"/>
        <w:rPr>
          <w:rFonts w:cs="Times New Roman"/>
          <w:lang w:eastAsia="zh-CN"/>
        </w:rPr>
      </w:pPr>
      <w:bookmarkStart w:id="69" w:name="_Toc5726350"/>
      <w:bookmarkStart w:id="70" w:name="_Toc48747237"/>
      <w:bookmarkStart w:id="71" w:name="_Toc48799382"/>
      <w:r>
        <w:rPr>
          <w:rFonts w:cs="Times New Roman"/>
          <w:lang w:eastAsia="zh-CN"/>
        </w:rPr>
        <w:t>2.</w:t>
      </w:r>
      <w:r w:rsidR="00897793" w:rsidRPr="009E464F">
        <w:rPr>
          <w:rFonts w:cs="Times New Roman"/>
          <w:lang w:eastAsia="zh-CN"/>
        </w:rPr>
        <w:t>DDI</w:t>
      </w:r>
      <w:r w:rsidR="00897793" w:rsidRPr="009E464F">
        <w:rPr>
          <w:rFonts w:cs="Times New Roman"/>
          <w:lang w:eastAsia="zh-CN"/>
        </w:rPr>
        <w:t>研究的结果</w:t>
      </w:r>
      <w:bookmarkEnd w:id="69"/>
      <w:r w:rsidR="00897793" w:rsidRPr="009E464F">
        <w:rPr>
          <w:rFonts w:cs="Times New Roman"/>
          <w:lang w:eastAsia="zh-CN"/>
        </w:rPr>
        <w:t>解读</w:t>
      </w:r>
      <w:bookmarkEnd w:id="70"/>
      <w:bookmarkEnd w:id="71"/>
    </w:p>
    <w:p w14:paraId="2090FAF0" w14:textId="77777777" w:rsidR="00897793" w:rsidRPr="009E464F" w:rsidRDefault="00897793" w:rsidP="00593FAB">
      <w:pPr>
        <w:spacing w:after="0"/>
        <w:ind w:firstLine="640"/>
        <w:rPr>
          <w:rFonts w:cs="Times New Roman"/>
          <w:lang w:eastAsia="zh-CN"/>
        </w:rPr>
      </w:pPr>
      <w:r w:rsidRPr="009E464F">
        <w:rPr>
          <w:rFonts w:cs="Times New Roman"/>
          <w:lang w:eastAsia="zh-CN"/>
        </w:rPr>
        <w:t>以药代动力学终点的</w:t>
      </w:r>
      <w:r w:rsidRPr="009E464F">
        <w:rPr>
          <w:rFonts w:cs="Times New Roman"/>
          <w:lang w:eastAsia="zh-CN"/>
        </w:rPr>
        <w:t>DDI</w:t>
      </w:r>
      <w:r w:rsidRPr="009E464F">
        <w:rPr>
          <w:rFonts w:cs="Times New Roman"/>
          <w:lang w:eastAsia="zh-CN"/>
        </w:rPr>
        <w:t>研究旨在确定</w:t>
      </w:r>
      <w:proofErr w:type="gramStart"/>
      <w:r w:rsidRPr="009E464F">
        <w:rPr>
          <w:rFonts w:cs="Times New Roman"/>
          <w:lang w:eastAsia="zh-CN"/>
        </w:rPr>
        <w:t>受变药物</w:t>
      </w:r>
      <w:proofErr w:type="gramEnd"/>
      <w:r w:rsidRPr="009E464F">
        <w:rPr>
          <w:rFonts w:cs="Times New Roman"/>
          <w:lang w:eastAsia="zh-CN"/>
        </w:rPr>
        <w:t>暴露量变化是否具有临床显著性，并为临床</w:t>
      </w:r>
      <w:r w:rsidRPr="009E464F">
        <w:rPr>
          <w:rFonts w:cs="Times New Roman"/>
          <w:lang w:eastAsia="zh-CN"/>
        </w:rPr>
        <w:t>DDI</w:t>
      </w:r>
      <w:r w:rsidRPr="009E464F">
        <w:rPr>
          <w:rFonts w:cs="Times New Roman"/>
          <w:lang w:eastAsia="zh-CN"/>
        </w:rPr>
        <w:t>管理策略提供参考信息。申请人应根据</w:t>
      </w:r>
      <w:proofErr w:type="gramStart"/>
      <w:r w:rsidRPr="009E464F">
        <w:rPr>
          <w:rFonts w:cs="Times New Roman"/>
          <w:lang w:eastAsia="zh-CN"/>
        </w:rPr>
        <w:t>受变药</w:t>
      </w:r>
      <w:proofErr w:type="gramEnd"/>
      <w:r w:rsidRPr="009E464F">
        <w:rPr>
          <w:rFonts w:cs="Times New Roman"/>
          <w:lang w:eastAsia="zh-CN"/>
        </w:rPr>
        <w:t>DDI</w:t>
      </w:r>
      <w:r w:rsidRPr="009E464F">
        <w:rPr>
          <w:rFonts w:cs="Times New Roman"/>
          <w:lang w:eastAsia="zh-CN"/>
        </w:rPr>
        <w:t>无效应边界为依据对研究结果进行解释。无效应边界表示系统暴露量变化的意义不足以支持采取临床措施（如禁用，慎用，用药剂量或方案调整或者其他治疗监测）的边界范围。</w:t>
      </w:r>
    </w:p>
    <w:p w14:paraId="74F78C2C" w14:textId="77777777" w:rsidR="00897793" w:rsidRPr="009E464F" w:rsidRDefault="00897793" w:rsidP="00850539">
      <w:pPr>
        <w:spacing w:after="0"/>
        <w:ind w:firstLine="640"/>
        <w:rPr>
          <w:rFonts w:cs="Times New Roman"/>
          <w:lang w:eastAsia="zh-CN"/>
        </w:rPr>
      </w:pPr>
      <w:r w:rsidRPr="009E464F">
        <w:rPr>
          <w:rFonts w:cs="Times New Roman"/>
          <w:lang w:eastAsia="zh-CN"/>
        </w:rPr>
        <w:t>（</w:t>
      </w:r>
      <w:r w:rsidRPr="009E464F">
        <w:rPr>
          <w:rFonts w:cs="Times New Roman"/>
          <w:lang w:eastAsia="zh-CN"/>
        </w:rPr>
        <w:t>1</w:t>
      </w:r>
      <w:r w:rsidRPr="009E464F">
        <w:rPr>
          <w:rFonts w:cs="Times New Roman"/>
          <w:lang w:eastAsia="zh-CN"/>
        </w:rPr>
        <w:t>）确定无效应边界的方法</w:t>
      </w:r>
    </w:p>
    <w:p w14:paraId="57C95CA8" w14:textId="77777777" w:rsidR="00897793" w:rsidRPr="009E464F" w:rsidRDefault="00897793" w:rsidP="00593FAB">
      <w:pPr>
        <w:spacing w:after="0"/>
        <w:ind w:firstLine="640"/>
        <w:rPr>
          <w:rFonts w:cs="Times New Roman"/>
          <w:lang w:eastAsia="zh-CN"/>
        </w:rPr>
      </w:pPr>
      <w:r w:rsidRPr="009E464F">
        <w:rPr>
          <w:rFonts w:cs="Times New Roman"/>
          <w:lang w:eastAsia="zh-CN"/>
        </w:rPr>
        <w:t>目前可通过两种方法可确定无效应边界：</w:t>
      </w:r>
    </w:p>
    <w:p w14:paraId="62F48FCA" w14:textId="55475C3B" w:rsidR="00897793" w:rsidRPr="009E464F" w:rsidRDefault="00AD6D50" w:rsidP="00AD6D50">
      <w:pPr>
        <w:widowControl w:val="0"/>
        <w:spacing w:after="0"/>
        <w:ind w:firstLine="420"/>
        <w:rPr>
          <w:rFonts w:cs="Times New Roman"/>
          <w:kern w:val="2"/>
          <w:szCs w:val="24"/>
          <w:lang w:eastAsia="zh-CN"/>
        </w:rPr>
      </w:pPr>
      <w:r w:rsidRPr="00AD6D50">
        <w:rPr>
          <w:rFonts w:ascii="微软雅黑" w:eastAsia="微软雅黑" w:hAnsi="微软雅黑" w:cs="Times New Roman" w:hint="eastAsia"/>
          <w:kern w:val="2"/>
          <w:sz w:val="21"/>
          <w:szCs w:val="21"/>
          <w:lang w:eastAsia="zh-CN"/>
        </w:rPr>
        <w:t>●</w:t>
      </w:r>
      <w:r>
        <w:rPr>
          <w:rFonts w:ascii="微软雅黑" w:eastAsia="微软雅黑" w:hAnsi="微软雅黑" w:cs="Times New Roman" w:hint="eastAsia"/>
          <w:kern w:val="2"/>
          <w:sz w:val="21"/>
          <w:szCs w:val="21"/>
          <w:lang w:eastAsia="zh-CN"/>
        </w:rPr>
        <w:t xml:space="preserve"> </w:t>
      </w:r>
      <w:r w:rsidR="00897793" w:rsidRPr="009E464F">
        <w:rPr>
          <w:rFonts w:cs="Times New Roman"/>
          <w:kern w:val="2"/>
          <w:szCs w:val="24"/>
          <w:lang w:eastAsia="zh-CN"/>
        </w:rPr>
        <w:t>方法</w:t>
      </w:r>
      <w:r w:rsidR="00897793" w:rsidRPr="009E464F">
        <w:rPr>
          <w:rFonts w:cs="Times New Roman"/>
          <w:kern w:val="2"/>
          <w:szCs w:val="24"/>
          <w:lang w:eastAsia="zh-CN"/>
        </w:rPr>
        <w:t>1</w:t>
      </w:r>
      <w:r w:rsidR="00897793" w:rsidRPr="009E464F">
        <w:rPr>
          <w:rFonts w:cs="Times New Roman"/>
          <w:kern w:val="2"/>
          <w:szCs w:val="24"/>
          <w:lang w:eastAsia="zh-CN"/>
        </w:rPr>
        <w:t>（首选）</w:t>
      </w:r>
      <w:r w:rsidR="00897793" w:rsidRPr="009E464F">
        <w:rPr>
          <w:rFonts w:cs="Times New Roman"/>
          <w:kern w:val="2"/>
          <w:szCs w:val="24"/>
          <w:lang w:eastAsia="zh-CN"/>
        </w:rPr>
        <w:t xml:space="preserve">— </w:t>
      </w:r>
      <w:r w:rsidR="00897793" w:rsidRPr="009E464F">
        <w:rPr>
          <w:rFonts w:cs="Times New Roman"/>
          <w:kern w:val="2"/>
          <w:szCs w:val="24"/>
          <w:lang w:eastAsia="zh-CN"/>
        </w:rPr>
        <w:t>以来源于药代动力学及药效学分析、其他关于</w:t>
      </w:r>
      <w:proofErr w:type="gramStart"/>
      <w:r w:rsidR="00897793" w:rsidRPr="009E464F">
        <w:rPr>
          <w:rFonts w:cs="Times New Roman"/>
          <w:kern w:val="2"/>
          <w:szCs w:val="24"/>
          <w:lang w:eastAsia="zh-CN"/>
        </w:rPr>
        <w:t>受变药物</w:t>
      </w:r>
      <w:proofErr w:type="gramEnd"/>
      <w:r w:rsidR="00897793" w:rsidRPr="009E464F">
        <w:rPr>
          <w:rFonts w:cs="Times New Roman"/>
          <w:kern w:val="2"/>
          <w:szCs w:val="24"/>
          <w:lang w:eastAsia="zh-CN"/>
        </w:rPr>
        <w:t>的可用信息（如最大耐受剂量）的浓度</w:t>
      </w:r>
      <w:r w:rsidR="00897793" w:rsidRPr="009E464F">
        <w:rPr>
          <w:rFonts w:cs="Times New Roman"/>
          <w:kern w:val="2"/>
          <w:szCs w:val="24"/>
          <w:lang w:eastAsia="zh-CN"/>
        </w:rPr>
        <w:t>-</w:t>
      </w:r>
      <w:r w:rsidR="00897793" w:rsidRPr="009E464F">
        <w:rPr>
          <w:rFonts w:cs="Times New Roman"/>
          <w:kern w:val="2"/>
          <w:szCs w:val="24"/>
          <w:lang w:eastAsia="zh-CN"/>
        </w:rPr>
        <w:t>效应关系确定无效应边界。充分认识预期及非预期药物效应的剂量</w:t>
      </w:r>
      <w:r w:rsidR="00897793" w:rsidRPr="009E464F">
        <w:rPr>
          <w:rFonts w:cs="Times New Roman"/>
          <w:kern w:val="2"/>
          <w:szCs w:val="24"/>
          <w:lang w:eastAsia="zh-CN"/>
        </w:rPr>
        <w:t>-</w:t>
      </w:r>
      <w:r w:rsidR="00897793" w:rsidRPr="009E464F">
        <w:rPr>
          <w:rFonts w:cs="Times New Roman"/>
          <w:kern w:val="2"/>
          <w:szCs w:val="24"/>
          <w:lang w:eastAsia="zh-CN"/>
        </w:rPr>
        <w:t>浓度和</w:t>
      </w:r>
      <w:r w:rsidR="00897793" w:rsidRPr="009E464F">
        <w:rPr>
          <w:rFonts w:cs="Times New Roman"/>
          <w:kern w:val="2"/>
          <w:szCs w:val="24"/>
          <w:lang w:eastAsia="zh-CN"/>
        </w:rPr>
        <w:t>/</w:t>
      </w:r>
      <w:r w:rsidR="00897793" w:rsidRPr="009E464F">
        <w:rPr>
          <w:rFonts w:cs="Times New Roman"/>
          <w:kern w:val="2"/>
          <w:szCs w:val="24"/>
          <w:lang w:eastAsia="zh-CN"/>
        </w:rPr>
        <w:t>或浓度</w:t>
      </w:r>
      <w:r w:rsidR="00897793" w:rsidRPr="009E464F">
        <w:rPr>
          <w:rFonts w:cs="Times New Roman"/>
          <w:kern w:val="2"/>
          <w:szCs w:val="24"/>
          <w:lang w:eastAsia="zh-CN"/>
        </w:rPr>
        <w:t>-</w:t>
      </w:r>
      <w:r w:rsidR="00897793" w:rsidRPr="009E464F">
        <w:rPr>
          <w:rFonts w:cs="Times New Roman"/>
          <w:kern w:val="2"/>
          <w:szCs w:val="24"/>
          <w:lang w:eastAsia="zh-CN"/>
        </w:rPr>
        <w:t>效应关系、</w:t>
      </w:r>
      <w:r w:rsidR="00897793">
        <w:rPr>
          <w:rFonts w:cs="Times New Roman" w:hint="eastAsia"/>
          <w:kern w:val="2"/>
          <w:szCs w:val="24"/>
          <w:lang w:eastAsia="zh-CN"/>
        </w:rPr>
        <w:t>了解</w:t>
      </w:r>
      <w:r w:rsidR="00897793" w:rsidRPr="009E464F">
        <w:rPr>
          <w:rFonts w:cs="Times New Roman"/>
          <w:kern w:val="2"/>
          <w:szCs w:val="24"/>
          <w:lang w:eastAsia="zh-CN"/>
        </w:rPr>
        <w:t>适应症人群在暴露量方面的变异性可能有助于数据的解释。</w:t>
      </w:r>
    </w:p>
    <w:p w14:paraId="5B3D34C3" w14:textId="2C3F62CF" w:rsidR="00897793" w:rsidRPr="009E464F" w:rsidRDefault="00897793" w:rsidP="00593FAB">
      <w:pPr>
        <w:spacing w:after="0"/>
        <w:ind w:firstLine="640"/>
        <w:rPr>
          <w:rFonts w:cs="Times New Roman"/>
          <w:lang w:eastAsia="zh-CN"/>
        </w:rPr>
      </w:pPr>
      <w:r w:rsidRPr="009E464F">
        <w:rPr>
          <w:rFonts w:cs="Times New Roman"/>
          <w:lang w:eastAsia="zh-CN"/>
        </w:rPr>
        <w:t>如果</w:t>
      </w:r>
      <w:r w:rsidRPr="009E464F">
        <w:rPr>
          <w:rFonts w:cs="Times New Roman"/>
          <w:lang w:eastAsia="zh-CN"/>
        </w:rPr>
        <w:t>DDI</w:t>
      </w:r>
      <w:r w:rsidRPr="009E464F">
        <w:rPr>
          <w:rFonts w:cs="Times New Roman"/>
          <w:lang w:eastAsia="zh-CN"/>
        </w:rPr>
        <w:t>研究在系统暴露量方面所测得变化的</w:t>
      </w:r>
      <w:r w:rsidRPr="009E464F">
        <w:rPr>
          <w:rFonts w:cs="Times New Roman"/>
          <w:lang w:eastAsia="zh-CN"/>
        </w:rPr>
        <w:t>90%</w:t>
      </w:r>
      <w:r w:rsidRPr="009E464F">
        <w:rPr>
          <w:rFonts w:cs="Times New Roman"/>
          <w:lang w:eastAsia="zh-CN"/>
        </w:rPr>
        <w:t>置信区间完全都落在上述无效应边界范围之内，则</w:t>
      </w:r>
      <w:r>
        <w:rPr>
          <w:rFonts w:cs="Times New Roman" w:hint="eastAsia"/>
          <w:lang w:eastAsia="zh-CN"/>
        </w:rPr>
        <w:t>可认为</w:t>
      </w:r>
      <w:r w:rsidRPr="009E464F">
        <w:rPr>
          <w:rFonts w:cs="Times New Roman"/>
          <w:lang w:eastAsia="zh-CN"/>
        </w:rPr>
        <w:t>不会出现具有临床显著性的</w:t>
      </w:r>
      <w:r w:rsidRPr="009E464F">
        <w:rPr>
          <w:rFonts w:cs="Times New Roman"/>
          <w:lang w:eastAsia="zh-CN"/>
        </w:rPr>
        <w:t>DDI</w:t>
      </w:r>
      <w:r w:rsidRPr="009E464F">
        <w:rPr>
          <w:rFonts w:cs="Times New Roman"/>
          <w:lang w:eastAsia="zh-CN"/>
        </w:rPr>
        <w:t>。</w:t>
      </w:r>
    </w:p>
    <w:p w14:paraId="561E0AC2" w14:textId="1E6A473D" w:rsidR="00897793" w:rsidRPr="009E464F" w:rsidRDefault="00AD6D50" w:rsidP="00AD6D50">
      <w:pPr>
        <w:widowControl w:val="0"/>
        <w:spacing w:after="0"/>
        <w:ind w:firstLine="420"/>
        <w:rPr>
          <w:rFonts w:cs="Times New Roman"/>
          <w:kern w:val="2"/>
          <w:szCs w:val="32"/>
          <w:lang w:eastAsia="zh-CN"/>
        </w:rPr>
      </w:pPr>
      <w:r w:rsidRPr="00AD6D50">
        <w:rPr>
          <w:rFonts w:ascii="微软雅黑" w:eastAsia="微软雅黑" w:hAnsi="微软雅黑" w:cs="Times New Roman" w:hint="eastAsia"/>
          <w:kern w:val="2"/>
          <w:sz w:val="21"/>
          <w:szCs w:val="21"/>
          <w:lang w:eastAsia="zh-CN"/>
        </w:rPr>
        <w:lastRenderedPageBreak/>
        <w:t>●</w:t>
      </w:r>
      <w:r>
        <w:rPr>
          <w:rFonts w:ascii="微软雅黑" w:eastAsia="微软雅黑" w:hAnsi="微软雅黑" w:cs="Times New Roman" w:hint="eastAsia"/>
          <w:kern w:val="2"/>
          <w:sz w:val="21"/>
          <w:szCs w:val="21"/>
          <w:lang w:eastAsia="zh-CN"/>
        </w:rPr>
        <w:t xml:space="preserve"> </w:t>
      </w:r>
      <w:r w:rsidR="00897793" w:rsidRPr="009E464F">
        <w:rPr>
          <w:rFonts w:cs="Times New Roman"/>
          <w:kern w:val="2"/>
          <w:szCs w:val="32"/>
          <w:lang w:eastAsia="zh-CN"/>
        </w:rPr>
        <w:t>方法</w:t>
      </w:r>
      <w:r w:rsidR="00897793" w:rsidRPr="009E464F">
        <w:rPr>
          <w:rFonts w:cs="Times New Roman"/>
          <w:kern w:val="2"/>
          <w:szCs w:val="32"/>
          <w:lang w:eastAsia="zh-CN"/>
        </w:rPr>
        <w:t>2</w:t>
      </w:r>
      <w:r w:rsidR="00897793" w:rsidRPr="009E464F">
        <w:rPr>
          <w:rFonts w:cs="Times New Roman"/>
          <w:kern w:val="2"/>
          <w:szCs w:val="32"/>
          <w:lang w:eastAsia="zh-CN"/>
        </w:rPr>
        <w:t>（在无法确定方法</w:t>
      </w:r>
      <w:r w:rsidR="00897793" w:rsidRPr="009E464F">
        <w:rPr>
          <w:rFonts w:cs="Times New Roman"/>
          <w:kern w:val="2"/>
          <w:szCs w:val="32"/>
          <w:lang w:eastAsia="zh-CN"/>
        </w:rPr>
        <w:t>1</w:t>
      </w:r>
      <w:r w:rsidR="00897793" w:rsidRPr="009E464F">
        <w:rPr>
          <w:rFonts w:cs="Times New Roman"/>
          <w:kern w:val="2"/>
          <w:szCs w:val="32"/>
          <w:lang w:eastAsia="zh-CN"/>
        </w:rPr>
        <w:t>所定义的无效应边界情况下或者当研究目的是使用指针底物来确定</w:t>
      </w:r>
      <w:r w:rsidR="00897793" w:rsidRPr="009E464F">
        <w:rPr>
          <w:rFonts w:cs="Times New Roman" w:hint="eastAsia"/>
          <w:kern w:val="2"/>
          <w:szCs w:val="32"/>
          <w:lang w:eastAsia="zh-CN"/>
        </w:rPr>
        <w:t>在</w:t>
      </w:r>
      <w:proofErr w:type="gramStart"/>
      <w:r w:rsidR="00897793" w:rsidRPr="009E464F">
        <w:rPr>
          <w:rFonts w:cs="Times New Roman" w:hint="eastAsia"/>
          <w:kern w:val="2"/>
          <w:szCs w:val="32"/>
          <w:lang w:eastAsia="zh-CN"/>
        </w:rPr>
        <w:t>研</w:t>
      </w:r>
      <w:proofErr w:type="gramEnd"/>
      <w:r w:rsidR="00897793" w:rsidRPr="009E464F">
        <w:rPr>
          <w:rFonts w:cs="Times New Roman"/>
          <w:kern w:val="2"/>
          <w:szCs w:val="32"/>
          <w:lang w:eastAsia="zh-CN"/>
        </w:rPr>
        <w:t>药物是否为促变药物时）</w:t>
      </w:r>
      <w:r w:rsidR="00897793" w:rsidRPr="009E464F">
        <w:rPr>
          <w:rFonts w:cs="Times New Roman"/>
          <w:kern w:val="2"/>
          <w:szCs w:val="32"/>
          <w:lang w:eastAsia="zh-CN"/>
        </w:rPr>
        <w:t xml:space="preserve"> — </w:t>
      </w:r>
      <w:r w:rsidR="00897793" w:rsidRPr="009E464F">
        <w:rPr>
          <w:rFonts w:cs="Times New Roman"/>
          <w:kern w:val="2"/>
          <w:szCs w:val="32"/>
          <w:lang w:eastAsia="zh-CN"/>
        </w:rPr>
        <w:t>申请人针对此类情况可采用默认</w:t>
      </w:r>
      <w:r w:rsidR="00897793" w:rsidRPr="009E464F">
        <w:rPr>
          <w:rFonts w:cs="Times New Roman"/>
          <w:kern w:val="2"/>
          <w:szCs w:val="32"/>
          <w:lang w:eastAsia="zh-CN"/>
        </w:rPr>
        <w:t>80</w:t>
      </w:r>
      <w:r w:rsidR="00897793">
        <w:rPr>
          <w:rFonts w:cs="Times New Roman"/>
          <w:kern w:val="2"/>
          <w:szCs w:val="32"/>
          <w:lang w:eastAsia="zh-CN"/>
        </w:rPr>
        <w:t>~</w:t>
      </w:r>
      <w:r w:rsidR="00897793" w:rsidRPr="009E464F">
        <w:rPr>
          <w:rFonts w:cs="Times New Roman"/>
          <w:kern w:val="2"/>
          <w:szCs w:val="32"/>
          <w:lang w:eastAsia="zh-CN"/>
        </w:rPr>
        <w:t>125%</w:t>
      </w:r>
      <w:r w:rsidR="00897793" w:rsidRPr="009E464F">
        <w:rPr>
          <w:rFonts w:cs="Times New Roman"/>
          <w:kern w:val="2"/>
          <w:szCs w:val="32"/>
          <w:lang w:eastAsia="zh-CN"/>
        </w:rPr>
        <w:t>的无效应边界。如果系统性暴露比的</w:t>
      </w:r>
      <w:r w:rsidR="00897793" w:rsidRPr="009E464F">
        <w:rPr>
          <w:rFonts w:cs="Times New Roman"/>
          <w:kern w:val="2"/>
          <w:szCs w:val="32"/>
          <w:lang w:eastAsia="zh-CN"/>
        </w:rPr>
        <w:t>90%</w:t>
      </w:r>
      <w:r w:rsidR="00897793" w:rsidRPr="009E464F">
        <w:rPr>
          <w:rFonts w:cs="Times New Roman"/>
          <w:kern w:val="2"/>
          <w:szCs w:val="32"/>
          <w:lang w:eastAsia="zh-CN"/>
        </w:rPr>
        <w:t>置信区间完全都落在</w:t>
      </w:r>
      <w:r w:rsidR="00897793" w:rsidRPr="009E464F">
        <w:rPr>
          <w:rFonts w:cs="Times New Roman"/>
          <w:kern w:val="2"/>
          <w:szCs w:val="32"/>
          <w:lang w:eastAsia="zh-CN"/>
        </w:rPr>
        <w:t>80</w:t>
      </w:r>
      <w:r w:rsidR="00897793">
        <w:rPr>
          <w:rFonts w:cs="Times New Roman"/>
          <w:kern w:val="2"/>
          <w:szCs w:val="32"/>
          <w:lang w:eastAsia="zh-CN"/>
        </w:rPr>
        <w:t>~</w:t>
      </w:r>
      <w:r w:rsidR="00897793" w:rsidRPr="009E464F">
        <w:rPr>
          <w:rFonts w:cs="Times New Roman"/>
          <w:kern w:val="2"/>
          <w:szCs w:val="32"/>
          <w:lang w:eastAsia="zh-CN"/>
        </w:rPr>
        <w:t>125%</w:t>
      </w:r>
      <w:r w:rsidR="00897793" w:rsidRPr="009E464F">
        <w:rPr>
          <w:rFonts w:cs="Times New Roman"/>
          <w:kern w:val="2"/>
          <w:szCs w:val="32"/>
          <w:lang w:eastAsia="zh-CN"/>
        </w:rPr>
        <w:t>的等效性范围之内，则认定不会出现具临床显著性的</w:t>
      </w:r>
      <w:r w:rsidR="00897793" w:rsidRPr="009E464F">
        <w:rPr>
          <w:rFonts w:cs="Times New Roman"/>
          <w:kern w:val="2"/>
          <w:szCs w:val="32"/>
          <w:lang w:eastAsia="zh-CN"/>
        </w:rPr>
        <w:t>DDI</w:t>
      </w:r>
      <w:r w:rsidR="00897793" w:rsidRPr="009E464F">
        <w:rPr>
          <w:rFonts w:cs="Times New Roman"/>
          <w:kern w:val="2"/>
          <w:szCs w:val="32"/>
          <w:lang w:eastAsia="zh-CN"/>
        </w:rPr>
        <w:t>。</w:t>
      </w:r>
    </w:p>
    <w:p w14:paraId="598FA039" w14:textId="77777777" w:rsidR="00897793" w:rsidRPr="009E464F" w:rsidRDefault="00897793" w:rsidP="00AD6D50">
      <w:pPr>
        <w:spacing w:after="0"/>
        <w:ind w:firstLine="640"/>
        <w:rPr>
          <w:rFonts w:cs="Times New Roman"/>
          <w:lang w:eastAsia="zh-CN"/>
        </w:rPr>
      </w:pPr>
      <w:r w:rsidRPr="009E464F">
        <w:rPr>
          <w:rFonts w:cs="Times New Roman"/>
          <w:lang w:eastAsia="zh-CN"/>
        </w:rPr>
        <w:t>80</w:t>
      </w:r>
      <w:r>
        <w:rPr>
          <w:rFonts w:cs="Times New Roman"/>
          <w:kern w:val="2"/>
          <w:szCs w:val="32"/>
          <w:lang w:eastAsia="zh-CN"/>
        </w:rPr>
        <w:t>~</w:t>
      </w:r>
      <w:r w:rsidRPr="009E464F">
        <w:rPr>
          <w:rFonts w:cs="Times New Roman"/>
          <w:lang w:eastAsia="zh-CN"/>
        </w:rPr>
        <w:t>125%</w:t>
      </w:r>
      <w:r w:rsidRPr="009E464F">
        <w:rPr>
          <w:rFonts w:cs="Times New Roman"/>
          <w:lang w:eastAsia="zh-CN"/>
        </w:rPr>
        <w:t>的边界代表的是衡量药物等效性中一项最保守的标准，因此方法</w:t>
      </w:r>
      <w:r w:rsidRPr="009E464F">
        <w:rPr>
          <w:rFonts w:cs="Times New Roman"/>
          <w:lang w:eastAsia="zh-CN"/>
        </w:rPr>
        <w:t>1</w:t>
      </w:r>
      <w:r w:rsidRPr="009E464F">
        <w:rPr>
          <w:rFonts w:cs="Times New Roman"/>
          <w:lang w:eastAsia="zh-CN"/>
        </w:rPr>
        <w:t>为评价</w:t>
      </w:r>
      <w:r w:rsidRPr="009E464F">
        <w:rPr>
          <w:rFonts w:cs="Times New Roman"/>
          <w:lang w:eastAsia="zh-CN"/>
        </w:rPr>
        <w:t>DDI</w:t>
      </w:r>
      <w:r w:rsidRPr="009E464F">
        <w:rPr>
          <w:rFonts w:cs="Times New Roman"/>
          <w:lang w:eastAsia="zh-CN"/>
        </w:rPr>
        <w:t>对于底物药物用药安全有效的影响的首选方法。</w:t>
      </w:r>
    </w:p>
    <w:p w14:paraId="76028C30" w14:textId="77777777" w:rsidR="00897793" w:rsidRPr="009E464F" w:rsidRDefault="00897793" w:rsidP="00AD6D50">
      <w:pPr>
        <w:spacing w:after="0"/>
        <w:ind w:firstLine="640"/>
        <w:rPr>
          <w:rFonts w:cs="Times New Roman"/>
          <w:lang w:eastAsia="zh-CN"/>
        </w:rPr>
      </w:pPr>
      <w:r w:rsidRPr="009E464F">
        <w:rPr>
          <w:rFonts w:cs="Times New Roman"/>
          <w:lang w:eastAsia="zh-CN"/>
        </w:rPr>
        <w:t>（</w:t>
      </w:r>
      <w:r w:rsidRPr="009E464F">
        <w:rPr>
          <w:rFonts w:cs="Times New Roman"/>
          <w:lang w:eastAsia="zh-CN"/>
        </w:rPr>
        <w:t>2</w:t>
      </w:r>
      <w:r w:rsidRPr="009E464F">
        <w:rPr>
          <w:rFonts w:cs="Times New Roman"/>
          <w:lang w:eastAsia="zh-CN"/>
        </w:rPr>
        <w:t>）回顾性</w:t>
      </w:r>
      <w:r w:rsidRPr="009E464F">
        <w:rPr>
          <w:rFonts w:cs="Times New Roman"/>
          <w:lang w:eastAsia="zh-CN"/>
        </w:rPr>
        <w:t>DDI</w:t>
      </w:r>
      <w:r w:rsidRPr="009E464F">
        <w:rPr>
          <w:rFonts w:cs="Times New Roman"/>
          <w:lang w:eastAsia="zh-CN"/>
        </w:rPr>
        <w:t>评价的结果解释</w:t>
      </w:r>
    </w:p>
    <w:p w14:paraId="5AC8F357" w14:textId="77777777" w:rsidR="00897793" w:rsidRPr="009E464F" w:rsidRDefault="00897793" w:rsidP="00AD6D50">
      <w:pPr>
        <w:spacing w:after="0"/>
        <w:ind w:firstLine="640"/>
        <w:rPr>
          <w:rFonts w:cs="Times New Roman"/>
          <w:lang w:eastAsia="zh-CN"/>
        </w:rPr>
      </w:pPr>
      <w:r w:rsidRPr="009E464F">
        <w:rPr>
          <w:rFonts w:cs="Times New Roman"/>
          <w:lang w:eastAsia="zh-CN"/>
        </w:rPr>
        <w:t>回顾性</w:t>
      </w:r>
      <w:r w:rsidRPr="009E464F">
        <w:rPr>
          <w:rFonts w:cs="Times New Roman"/>
          <w:lang w:eastAsia="zh-CN"/>
        </w:rPr>
        <w:t>DDI</w:t>
      </w:r>
      <w:r w:rsidRPr="009E464F">
        <w:rPr>
          <w:rFonts w:cs="Times New Roman"/>
          <w:lang w:eastAsia="zh-CN"/>
        </w:rPr>
        <w:t>评价对于确定临床开发</w:t>
      </w:r>
      <w:r>
        <w:rPr>
          <w:rFonts w:cs="Times New Roman" w:hint="eastAsia"/>
          <w:lang w:eastAsia="zh-CN"/>
        </w:rPr>
        <w:t>初期</w:t>
      </w:r>
      <w:r w:rsidRPr="009E464F">
        <w:rPr>
          <w:rFonts w:cs="Times New Roman"/>
          <w:lang w:eastAsia="zh-CN"/>
        </w:rPr>
        <w:t>无法预期的</w:t>
      </w:r>
      <w:r w:rsidRPr="009E464F">
        <w:rPr>
          <w:rFonts w:cs="Times New Roman"/>
          <w:lang w:eastAsia="zh-CN"/>
        </w:rPr>
        <w:t>DDI</w:t>
      </w:r>
      <w:r w:rsidRPr="009E464F">
        <w:rPr>
          <w:rFonts w:cs="Times New Roman"/>
          <w:lang w:eastAsia="zh-CN"/>
        </w:rPr>
        <w:t>具有价值。当回顾性</w:t>
      </w:r>
      <w:r w:rsidRPr="009E464F">
        <w:rPr>
          <w:rFonts w:cs="Times New Roman"/>
          <w:lang w:eastAsia="zh-CN"/>
        </w:rPr>
        <w:t>DDI</w:t>
      </w:r>
      <w:r w:rsidRPr="009E464F">
        <w:rPr>
          <w:rFonts w:cs="Times New Roman"/>
          <w:lang w:eastAsia="zh-CN"/>
        </w:rPr>
        <w:t>研究结果为阳性，申请人需要讨论是否开展前瞻性试验对潜在</w:t>
      </w:r>
      <w:r w:rsidRPr="009E464F">
        <w:rPr>
          <w:rFonts w:cs="Times New Roman"/>
          <w:lang w:eastAsia="zh-CN"/>
        </w:rPr>
        <w:t>DDI</w:t>
      </w:r>
      <w:r w:rsidRPr="009E464F">
        <w:rPr>
          <w:rFonts w:cs="Times New Roman"/>
          <w:lang w:eastAsia="zh-CN"/>
        </w:rPr>
        <w:t>进行确认。</w:t>
      </w:r>
    </w:p>
    <w:p w14:paraId="6A2C2BA4" w14:textId="77777777" w:rsidR="00897793" w:rsidRPr="009E464F" w:rsidRDefault="00897793" w:rsidP="00AD6D50">
      <w:pPr>
        <w:spacing w:after="0"/>
        <w:ind w:firstLine="640"/>
        <w:rPr>
          <w:rFonts w:cs="Times New Roman"/>
          <w:lang w:eastAsia="zh-CN"/>
        </w:rPr>
      </w:pPr>
      <w:r w:rsidRPr="009E464F">
        <w:rPr>
          <w:rFonts w:cs="Times New Roman"/>
          <w:lang w:eastAsia="zh-CN"/>
        </w:rPr>
        <w:t>（</w:t>
      </w:r>
      <w:r w:rsidRPr="009E464F">
        <w:rPr>
          <w:rFonts w:cs="Times New Roman"/>
          <w:lang w:eastAsia="zh-CN"/>
        </w:rPr>
        <w:t>3</w:t>
      </w:r>
      <w:r w:rsidRPr="009E464F">
        <w:rPr>
          <w:rFonts w:cs="Times New Roman"/>
          <w:lang w:eastAsia="zh-CN"/>
        </w:rPr>
        <w:t>）将作为抑制剂或诱导剂的在</w:t>
      </w:r>
      <w:proofErr w:type="gramStart"/>
      <w:r w:rsidRPr="009E464F">
        <w:rPr>
          <w:rFonts w:cs="Times New Roman"/>
          <w:lang w:eastAsia="zh-CN"/>
        </w:rPr>
        <w:t>研</w:t>
      </w:r>
      <w:proofErr w:type="gramEnd"/>
      <w:r w:rsidRPr="009E464F">
        <w:rPr>
          <w:rFonts w:cs="Times New Roman"/>
          <w:lang w:eastAsia="zh-CN"/>
        </w:rPr>
        <w:t>药物分类</w:t>
      </w:r>
    </w:p>
    <w:p w14:paraId="3B932704" w14:textId="77777777" w:rsidR="00897793" w:rsidRPr="009E464F" w:rsidRDefault="00897793" w:rsidP="00AD6D50">
      <w:pPr>
        <w:spacing w:after="0"/>
        <w:ind w:firstLine="640"/>
        <w:rPr>
          <w:rFonts w:cs="Times New Roman"/>
          <w:lang w:eastAsia="zh-CN"/>
        </w:rPr>
      </w:pPr>
      <w:r w:rsidRPr="009E464F">
        <w:rPr>
          <w:rFonts w:cs="Times New Roman"/>
          <w:lang w:eastAsia="zh-CN"/>
        </w:rPr>
        <w:t>如果</w:t>
      </w:r>
      <w:r w:rsidRPr="009E464F">
        <w:rPr>
          <w:rFonts w:cs="Times New Roman" w:hint="eastAsia"/>
          <w:lang w:eastAsia="zh-CN"/>
        </w:rPr>
        <w:t>在</w:t>
      </w:r>
      <w:proofErr w:type="gramStart"/>
      <w:r w:rsidRPr="009E464F">
        <w:rPr>
          <w:rFonts w:cs="Times New Roman" w:hint="eastAsia"/>
          <w:lang w:eastAsia="zh-CN"/>
        </w:rPr>
        <w:t>研</w:t>
      </w:r>
      <w:proofErr w:type="gramEnd"/>
      <w:r w:rsidRPr="009E464F">
        <w:rPr>
          <w:rFonts w:cs="Times New Roman"/>
          <w:lang w:eastAsia="zh-CN"/>
        </w:rPr>
        <w:t>药物为</w:t>
      </w:r>
      <w:r w:rsidRPr="009E464F">
        <w:rPr>
          <w:rFonts w:cs="Times New Roman"/>
          <w:lang w:eastAsia="zh-CN"/>
        </w:rPr>
        <w:t>CYP</w:t>
      </w:r>
      <w:r>
        <w:rPr>
          <w:rFonts w:cs="Times New Roman" w:hint="eastAsia"/>
          <w:lang w:eastAsia="zh-CN"/>
        </w:rPr>
        <w:t>酶</w:t>
      </w:r>
      <w:r w:rsidRPr="009E464F">
        <w:rPr>
          <w:rFonts w:cs="Times New Roman"/>
          <w:lang w:eastAsia="zh-CN"/>
        </w:rPr>
        <w:t>抑制剂，可根据其对于</w:t>
      </w:r>
      <w:r w:rsidRPr="009E464F">
        <w:rPr>
          <w:rFonts w:cs="Times New Roman"/>
          <w:lang w:eastAsia="zh-CN"/>
        </w:rPr>
        <w:t>CYP</w:t>
      </w:r>
      <w:r w:rsidRPr="009E464F">
        <w:rPr>
          <w:rFonts w:cs="Times New Roman"/>
          <w:szCs w:val="32"/>
          <w:lang w:eastAsia="zh-CN"/>
        </w:rPr>
        <w:t>指针</w:t>
      </w:r>
      <w:r w:rsidRPr="009E464F">
        <w:rPr>
          <w:rFonts w:cs="Times New Roman"/>
          <w:lang w:eastAsia="zh-CN"/>
        </w:rPr>
        <w:t>底物的效应将其分为强效、中效</w:t>
      </w:r>
      <w:proofErr w:type="gramStart"/>
      <w:r w:rsidRPr="009E464F">
        <w:rPr>
          <w:rFonts w:cs="Times New Roman"/>
          <w:lang w:eastAsia="zh-CN"/>
        </w:rPr>
        <w:t>或者弱效的</w:t>
      </w:r>
      <w:proofErr w:type="gramEnd"/>
      <w:r w:rsidRPr="009E464F">
        <w:rPr>
          <w:rFonts w:cs="Times New Roman"/>
          <w:lang w:eastAsia="zh-CN"/>
        </w:rPr>
        <w:t>抑制剂。按照以下方法对</w:t>
      </w:r>
      <w:r w:rsidRPr="009E464F">
        <w:rPr>
          <w:rFonts w:cs="Times New Roman"/>
          <w:lang w:eastAsia="zh-CN"/>
        </w:rPr>
        <w:t>CYP</w:t>
      </w:r>
      <w:r w:rsidRPr="009E464F">
        <w:rPr>
          <w:rFonts w:cs="Times New Roman"/>
          <w:lang w:eastAsia="zh-CN"/>
        </w:rPr>
        <w:t>抑制进行分类：</w:t>
      </w:r>
    </w:p>
    <w:p w14:paraId="174CA8A3" w14:textId="77777777" w:rsidR="00897793" w:rsidRPr="009E464F" w:rsidRDefault="00897793" w:rsidP="00AD6D50">
      <w:pPr>
        <w:spacing w:after="0"/>
        <w:ind w:firstLine="640"/>
        <w:rPr>
          <w:rFonts w:cs="Times New Roman"/>
          <w:lang w:eastAsia="zh-CN"/>
        </w:rPr>
      </w:pPr>
      <w:r w:rsidRPr="009E464F">
        <w:rPr>
          <w:rFonts w:cs="Times New Roman"/>
          <w:lang w:eastAsia="zh-CN"/>
        </w:rPr>
        <w:t>1</w:t>
      </w:r>
      <w:r w:rsidRPr="009E464F">
        <w:rPr>
          <w:rFonts w:cs="Times New Roman"/>
          <w:lang w:eastAsia="zh-CN"/>
        </w:rPr>
        <w:t>）强效抑制剂可导致某一敏感性</w:t>
      </w:r>
      <w:r w:rsidRPr="009E464F">
        <w:rPr>
          <w:rFonts w:cs="Times New Roman"/>
          <w:lang w:eastAsia="zh-CN"/>
        </w:rPr>
        <w:t>CYP</w:t>
      </w:r>
      <w:r w:rsidRPr="009E464F">
        <w:rPr>
          <w:rFonts w:cs="Times New Roman"/>
          <w:lang w:eastAsia="zh-CN"/>
        </w:rPr>
        <w:t>指针底物的曲线下面积（</w:t>
      </w:r>
      <w:r w:rsidRPr="009E464F">
        <w:rPr>
          <w:rFonts w:cs="Times New Roman"/>
          <w:lang w:eastAsia="zh-CN"/>
        </w:rPr>
        <w:t>AUC</w:t>
      </w:r>
      <w:r w:rsidRPr="009E464F">
        <w:rPr>
          <w:rFonts w:cs="Times New Roman"/>
          <w:lang w:eastAsia="zh-CN"/>
        </w:rPr>
        <w:t>）升高不低于</w:t>
      </w:r>
      <w:r w:rsidRPr="009E464F">
        <w:rPr>
          <w:rFonts w:cs="Times New Roman"/>
          <w:lang w:eastAsia="zh-CN"/>
        </w:rPr>
        <w:t>5</w:t>
      </w:r>
      <w:r w:rsidRPr="009E464F">
        <w:rPr>
          <w:rFonts w:cs="Times New Roman"/>
          <w:lang w:eastAsia="zh-CN"/>
        </w:rPr>
        <w:t>倍。</w:t>
      </w:r>
    </w:p>
    <w:p w14:paraId="72EE2311" w14:textId="77777777" w:rsidR="00897793" w:rsidRPr="009E464F" w:rsidRDefault="00897793" w:rsidP="00AD6D50">
      <w:pPr>
        <w:spacing w:after="0"/>
        <w:ind w:firstLine="640"/>
        <w:rPr>
          <w:rFonts w:cs="Times New Roman"/>
          <w:lang w:eastAsia="zh-CN"/>
        </w:rPr>
      </w:pPr>
      <w:r w:rsidRPr="009E464F">
        <w:rPr>
          <w:rFonts w:cs="Times New Roman"/>
          <w:lang w:eastAsia="zh-CN"/>
        </w:rPr>
        <w:t>2</w:t>
      </w:r>
      <w:r w:rsidRPr="009E464F">
        <w:rPr>
          <w:rFonts w:cs="Times New Roman"/>
          <w:lang w:eastAsia="zh-CN"/>
        </w:rPr>
        <w:t>）中效抑制剂可导致某一敏感性</w:t>
      </w:r>
      <w:r w:rsidRPr="009E464F">
        <w:rPr>
          <w:rFonts w:cs="Times New Roman"/>
          <w:lang w:eastAsia="zh-CN"/>
        </w:rPr>
        <w:t>CYP</w:t>
      </w:r>
      <w:r w:rsidRPr="009E464F">
        <w:rPr>
          <w:rFonts w:cs="Times New Roman"/>
          <w:lang w:eastAsia="zh-CN"/>
        </w:rPr>
        <w:t>指针底物的曲线下面积（</w:t>
      </w:r>
      <w:r w:rsidRPr="009E464F">
        <w:rPr>
          <w:rFonts w:cs="Times New Roman"/>
          <w:lang w:eastAsia="zh-CN"/>
        </w:rPr>
        <w:t>AUC</w:t>
      </w:r>
      <w:r w:rsidRPr="009E464F">
        <w:rPr>
          <w:rFonts w:cs="Times New Roman"/>
          <w:lang w:eastAsia="zh-CN"/>
        </w:rPr>
        <w:t>）升高不低于</w:t>
      </w:r>
      <w:r w:rsidRPr="009E464F">
        <w:rPr>
          <w:rFonts w:cs="Times New Roman"/>
          <w:lang w:eastAsia="zh-CN"/>
        </w:rPr>
        <w:t>2</w:t>
      </w:r>
      <w:r w:rsidRPr="009E464F">
        <w:rPr>
          <w:rFonts w:cs="Times New Roman"/>
          <w:lang w:eastAsia="zh-CN"/>
        </w:rPr>
        <w:t>倍但小于</w:t>
      </w:r>
      <w:r w:rsidRPr="009E464F">
        <w:rPr>
          <w:rFonts w:cs="Times New Roman"/>
          <w:lang w:eastAsia="zh-CN"/>
        </w:rPr>
        <w:t>5</w:t>
      </w:r>
      <w:r w:rsidRPr="009E464F">
        <w:rPr>
          <w:rFonts w:cs="Times New Roman"/>
          <w:lang w:eastAsia="zh-CN"/>
        </w:rPr>
        <w:t>倍。</w:t>
      </w:r>
    </w:p>
    <w:p w14:paraId="34C449AC" w14:textId="77777777" w:rsidR="00897793" w:rsidRPr="009E464F" w:rsidRDefault="00897793" w:rsidP="00AD6D50">
      <w:pPr>
        <w:spacing w:after="0"/>
        <w:ind w:firstLine="640"/>
        <w:rPr>
          <w:rFonts w:cs="Times New Roman"/>
          <w:lang w:eastAsia="zh-CN"/>
        </w:rPr>
      </w:pPr>
      <w:r w:rsidRPr="009E464F">
        <w:rPr>
          <w:rFonts w:cs="Times New Roman"/>
          <w:lang w:eastAsia="zh-CN"/>
        </w:rPr>
        <w:lastRenderedPageBreak/>
        <w:t>3</w:t>
      </w:r>
      <w:r w:rsidRPr="009E464F">
        <w:rPr>
          <w:rFonts w:cs="Times New Roman"/>
          <w:lang w:eastAsia="zh-CN"/>
        </w:rPr>
        <w:t>）</w:t>
      </w:r>
      <w:proofErr w:type="gramStart"/>
      <w:r w:rsidRPr="009E464F">
        <w:rPr>
          <w:rFonts w:cs="Times New Roman"/>
          <w:lang w:eastAsia="zh-CN"/>
        </w:rPr>
        <w:t>弱效抑制剂</w:t>
      </w:r>
      <w:proofErr w:type="gramEnd"/>
      <w:r w:rsidRPr="009E464F">
        <w:rPr>
          <w:rFonts w:cs="Times New Roman"/>
          <w:lang w:eastAsia="zh-CN"/>
        </w:rPr>
        <w:t>可导致某一敏感性</w:t>
      </w:r>
      <w:r w:rsidRPr="009E464F">
        <w:rPr>
          <w:rFonts w:cs="Times New Roman"/>
          <w:lang w:eastAsia="zh-CN"/>
        </w:rPr>
        <w:t>CYP</w:t>
      </w:r>
      <w:r w:rsidRPr="009E464F">
        <w:rPr>
          <w:rFonts w:cs="Times New Roman"/>
          <w:lang w:eastAsia="zh-CN"/>
        </w:rPr>
        <w:t>指针底物的曲线下面积（</w:t>
      </w:r>
      <w:r w:rsidRPr="009E464F">
        <w:rPr>
          <w:rFonts w:cs="Times New Roman"/>
          <w:lang w:eastAsia="zh-CN"/>
        </w:rPr>
        <w:t>AUC</w:t>
      </w:r>
      <w:r w:rsidRPr="009E464F">
        <w:rPr>
          <w:rFonts w:cs="Times New Roman"/>
          <w:lang w:eastAsia="zh-CN"/>
        </w:rPr>
        <w:t>）升高不低于</w:t>
      </w:r>
      <w:r w:rsidRPr="009E464F">
        <w:rPr>
          <w:rFonts w:cs="Times New Roman"/>
          <w:lang w:eastAsia="zh-CN"/>
        </w:rPr>
        <w:t>1.25</w:t>
      </w:r>
      <w:r w:rsidRPr="009E464F">
        <w:rPr>
          <w:rFonts w:cs="Times New Roman"/>
          <w:lang w:eastAsia="zh-CN"/>
        </w:rPr>
        <w:t>倍但小于</w:t>
      </w:r>
      <w:r w:rsidRPr="009E464F">
        <w:rPr>
          <w:rFonts w:cs="Times New Roman"/>
          <w:lang w:eastAsia="zh-CN"/>
        </w:rPr>
        <w:t>2</w:t>
      </w:r>
      <w:r w:rsidRPr="009E464F">
        <w:rPr>
          <w:rFonts w:cs="Times New Roman"/>
          <w:lang w:eastAsia="zh-CN"/>
        </w:rPr>
        <w:t>倍。</w:t>
      </w:r>
    </w:p>
    <w:p w14:paraId="694B271F" w14:textId="77777777" w:rsidR="00897793" w:rsidRPr="009E464F" w:rsidRDefault="00897793" w:rsidP="00AD6D50">
      <w:pPr>
        <w:spacing w:after="0"/>
        <w:ind w:firstLine="640"/>
        <w:rPr>
          <w:rFonts w:cs="Times New Roman"/>
          <w:lang w:eastAsia="zh-CN"/>
        </w:rPr>
      </w:pPr>
      <w:r w:rsidRPr="009E464F">
        <w:rPr>
          <w:rFonts w:cs="Times New Roman"/>
          <w:lang w:eastAsia="zh-CN"/>
        </w:rPr>
        <w:t>上述分类所描述的通常是</w:t>
      </w:r>
      <w:r w:rsidRPr="009E464F">
        <w:rPr>
          <w:rFonts w:cs="Times New Roman" w:hint="eastAsia"/>
          <w:lang w:eastAsia="zh-CN"/>
        </w:rPr>
        <w:t>试验用</w:t>
      </w:r>
      <w:r w:rsidRPr="009E464F">
        <w:rPr>
          <w:rFonts w:cs="Times New Roman"/>
          <w:lang w:eastAsia="zh-CN"/>
        </w:rPr>
        <w:t>药物在按最大剂量、最短给药间隔时间情况下所产生的效应。</w:t>
      </w:r>
    </w:p>
    <w:p w14:paraId="0328AFB9" w14:textId="77777777" w:rsidR="00897793" w:rsidRPr="009E464F" w:rsidRDefault="00897793" w:rsidP="00AD6D50">
      <w:pPr>
        <w:spacing w:after="0"/>
        <w:ind w:firstLineChars="177" w:firstLine="566"/>
        <w:rPr>
          <w:rFonts w:cs="Times New Roman"/>
          <w:lang w:eastAsia="zh-CN"/>
        </w:rPr>
      </w:pPr>
      <w:r w:rsidRPr="009E464F">
        <w:rPr>
          <w:rFonts w:cs="Times New Roman"/>
          <w:lang w:eastAsia="zh-CN"/>
        </w:rPr>
        <w:t>如果在</w:t>
      </w:r>
      <w:proofErr w:type="gramStart"/>
      <w:r w:rsidRPr="009E464F">
        <w:rPr>
          <w:rFonts w:cs="Times New Roman"/>
          <w:lang w:eastAsia="zh-CN"/>
        </w:rPr>
        <w:t>研</w:t>
      </w:r>
      <w:proofErr w:type="gramEnd"/>
      <w:r w:rsidRPr="009E464F">
        <w:rPr>
          <w:rFonts w:cs="Times New Roman"/>
          <w:lang w:eastAsia="zh-CN"/>
        </w:rPr>
        <w:t>药物为</w:t>
      </w:r>
      <w:r w:rsidRPr="009E464F">
        <w:rPr>
          <w:rFonts w:cs="Times New Roman"/>
          <w:lang w:eastAsia="zh-CN"/>
        </w:rPr>
        <w:t>CYP</w:t>
      </w:r>
      <w:r w:rsidRPr="009E464F">
        <w:rPr>
          <w:rFonts w:cs="Times New Roman"/>
          <w:lang w:eastAsia="zh-CN"/>
        </w:rPr>
        <w:t>的诱导剂，可根据其对于</w:t>
      </w:r>
      <w:r w:rsidRPr="009E464F">
        <w:rPr>
          <w:rFonts w:cs="Times New Roman"/>
          <w:lang w:eastAsia="zh-CN"/>
        </w:rPr>
        <w:t>CYP</w:t>
      </w:r>
      <w:r w:rsidRPr="009E464F">
        <w:rPr>
          <w:rFonts w:cs="Times New Roman"/>
          <w:szCs w:val="32"/>
          <w:lang w:eastAsia="zh-CN"/>
        </w:rPr>
        <w:t>指针</w:t>
      </w:r>
      <w:r w:rsidRPr="009E464F">
        <w:rPr>
          <w:rFonts w:cs="Times New Roman"/>
          <w:lang w:eastAsia="zh-CN"/>
        </w:rPr>
        <w:t>底物的效应将其分为强效、中效</w:t>
      </w:r>
      <w:proofErr w:type="gramStart"/>
      <w:r w:rsidRPr="009E464F">
        <w:rPr>
          <w:rFonts w:cs="Times New Roman"/>
          <w:lang w:eastAsia="zh-CN"/>
        </w:rPr>
        <w:t>或者弱效的</w:t>
      </w:r>
      <w:proofErr w:type="gramEnd"/>
      <w:r w:rsidRPr="009E464F">
        <w:rPr>
          <w:rFonts w:cs="Times New Roman"/>
          <w:lang w:eastAsia="zh-CN"/>
        </w:rPr>
        <w:t>诱导剂。按照以下方法对细胞色素诱导进行分类：</w:t>
      </w:r>
    </w:p>
    <w:p w14:paraId="4AEA0F6B" w14:textId="77777777" w:rsidR="00897793" w:rsidRPr="009E464F" w:rsidRDefault="00897793" w:rsidP="00AD6D50">
      <w:pPr>
        <w:spacing w:after="0"/>
        <w:ind w:firstLineChars="177" w:firstLine="566"/>
        <w:rPr>
          <w:rFonts w:cs="Times New Roman"/>
          <w:lang w:eastAsia="zh-CN"/>
        </w:rPr>
      </w:pPr>
      <w:r w:rsidRPr="009E464F">
        <w:rPr>
          <w:rFonts w:cs="Times New Roman"/>
          <w:lang w:eastAsia="zh-CN"/>
        </w:rPr>
        <w:t>1</w:t>
      </w:r>
      <w:r w:rsidRPr="009E464F">
        <w:rPr>
          <w:rFonts w:cs="Times New Roman"/>
          <w:lang w:eastAsia="zh-CN"/>
        </w:rPr>
        <w:t>）强效</w:t>
      </w:r>
      <w:bookmarkStart w:id="72" w:name="OLE_LINK14"/>
      <w:bookmarkStart w:id="73" w:name="OLE_LINK13"/>
      <w:bookmarkStart w:id="74" w:name="OLE_LINK12"/>
      <w:r w:rsidRPr="009E464F">
        <w:rPr>
          <w:rFonts w:cs="Times New Roman"/>
          <w:lang w:eastAsia="zh-CN"/>
        </w:rPr>
        <w:t>诱导</w:t>
      </w:r>
      <w:bookmarkEnd w:id="72"/>
      <w:bookmarkEnd w:id="73"/>
      <w:bookmarkEnd w:id="74"/>
      <w:r w:rsidRPr="009E464F">
        <w:rPr>
          <w:rFonts w:cs="Times New Roman"/>
          <w:lang w:eastAsia="zh-CN"/>
        </w:rPr>
        <w:t>剂可导致某一敏感性</w:t>
      </w:r>
      <w:r w:rsidRPr="009E464F">
        <w:rPr>
          <w:rFonts w:cs="Times New Roman"/>
          <w:lang w:eastAsia="zh-CN"/>
        </w:rPr>
        <w:t>CYP</w:t>
      </w:r>
      <w:r w:rsidRPr="009E464F">
        <w:rPr>
          <w:rFonts w:cs="Times New Roman"/>
          <w:lang w:eastAsia="zh-CN"/>
        </w:rPr>
        <w:t>指针底物的曲线下面积下降不低于</w:t>
      </w:r>
      <w:r w:rsidRPr="009E464F">
        <w:rPr>
          <w:rFonts w:cs="Times New Roman"/>
          <w:lang w:eastAsia="zh-CN"/>
        </w:rPr>
        <w:t>80%</w:t>
      </w:r>
      <w:r w:rsidRPr="009E464F">
        <w:rPr>
          <w:rFonts w:cs="Times New Roman"/>
          <w:lang w:eastAsia="zh-CN"/>
        </w:rPr>
        <w:t>。</w:t>
      </w:r>
    </w:p>
    <w:p w14:paraId="105E5318" w14:textId="77777777" w:rsidR="00897793" w:rsidRPr="009E464F" w:rsidRDefault="00897793" w:rsidP="00AD6D50">
      <w:pPr>
        <w:spacing w:after="0"/>
        <w:ind w:firstLineChars="177" w:firstLine="566"/>
        <w:rPr>
          <w:rFonts w:cs="Times New Roman"/>
          <w:lang w:eastAsia="zh-CN"/>
        </w:rPr>
      </w:pPr>
      <w:r w:rsidRPr="009E464F">
        <w:rPr>
          <w:rFonts w:cs="Times New Roman"/>
          <w:lang w:eastAsia="zh-CN"/>
        </w:rPr>
        <w:t>2</w:t>
      </w:r>
      <w:r w:rsidRPr="009E464F">
        <w:rPr>
          <w:rFonts w:cs="Times New Roman"/>
          <w:lang w:eastAsia="zh-CN"/>
        </w:rPr>
        <w:t>）中效诱导剂可导致某一敏感性</w:t>
      </w:r>
      <w:r w:rsidRPr="009E464F">
        <w:rPr>
          <w:rFonts w:cs="Times New Roman"/>
          <w:lang w:eastAsia="zh-CN"/>
        </w:rPr>
        <w:t>CYP</w:t>
      </w:r>
      <w:r w:rsidRPr="009E464F">
        <w:rPr>
          <w:rFonts w:cs="Times New Roman"/>
          <w:lang w:eastAsia="zh-CN"/>
        </w:rPr>
        <w:t>指针底物的曲线下面积（</w:t>
      </w:r>
      <w:r w:rsidRPr="009E464F">
        <w:rPr>
          <w:rFonts w:cs="Times New Roman"/>
          <w:lang w:eastAsia="zh-CN"/>
        </w:rPr>
        <w:t>AUC</w:t>
      </w:r>
      <w:r w:rsidRPr="009E464F">
        <w:rPr>
          <w:rFonts w:cs="Times New Roman"/>
          <w:lang w:eastAsia="zh-CN"/>
        </w:rPr>
        <w:t>）下降不低于</w:t>
      </w:r>
      <w:r w:rsidRPr="009E464F">
        <w:rPr>
          <w:rFonts w:cs="Times New Roman"/>
          <w:lang w:eastAsia="zh-CN"/>
        </w:rPr>
        <w:t>50%</w:t>
      </w:r>
      <w:r w:rsidRPr="009E464F">
        <w:rPr>
          <w:rFonts w:cs="Times New Roman"/>
          <w:lang w:eastAsia="zh-CN"/>
        </w:rPr>
        <w:t>但小于</w:t>
      </w:r>
      <w:r w:rsidRPr="009E464F">
        <w:rPr>
          <w:rFonts w:cs="Times New Roman"/>
          <w:lang w:eastAsia="zh-CN"/>
        </w:rPr>
        <w:t>80%</w:t>
      </w:r>
      <w:r w:rsidRPr="009E464F">
        <w:rPr>
          <w:rFonts w:cs="Times New Roman"/>
          <w:lang w:eastAsia="zh-CN"/>
        </w:rPr>
        <w:t>。</w:t>
      </w:r>
    </w:p>
    <w:p w14:paraId="0DA67452" w14:textId="77777777" w:rsidR="00897793" w:rsidRPr="009E464F" w:rsidRDefault="00897793" w:rsidP="00AD6D50">
      <w:pPr>
        <w:spacing w:after="0"/>
        <w:ind w:firstLineChars="177" w:firstLine="566"/>
        <w:rPr>
          <w:rFonts w:cs="Times New Roman"/>
          <w:lang w:eastAsia="zh-CN"/>
        </w:rPr>
      </w:pPr>
      <w:r w:rsidRPr="009E464F">
        <w:rPr>
          <w:rFonts w:cs="Times New Roman"/>
          <w:lang w:eastAsia="zh-CN"/>
        </w:rPr>
        <w:t>3</w:t>
      </w:r>
      <w:r w:rsidRPr="009E464F">
        <w:rPr>
          <w:rFonts w:cs="Times New Roman"/>
          <w:lang w:eastAsia="zh-CN"/>
        </w:rPr>
        <w:t>）</w:t>
      </w:r>
      <w:proofErr w:type="gramStart"/>
      <w:r w:rsidRPr="009E464F">
        <w:rPr>
          <w:rFonts w:cs="Times New Roman"/>
          <w:lang w:eastAsia="zh-CN"/>
        </w:rPr>
        <w:t>弱效诱导</w:t>
      </w:r>
      <w:proofErr w:type="gramEnd"/>
      <w:r w:rsidRPr="009E464F">
        <w:rPr>
          <w:rFonts w:cs="Times New Roman"/>
          <w:lang w:eastAsia="zh-CN"/>
        </w:rPr>
        <w:t>剂可导致某一敏感性</w:t>
      </w:r>
      <w:r w:rsidRPr="009E464F">
        <w:rPr>
          <w:rFonts w:cs="Times New Roman"/>
          <w:lang w:eastAsia="zh-CN"/>
        </w:rPr>
        <w:t>CYP</w:t>
      </w:r>
      <w:r w:rsidRPr="009E464F">
        <w:rPr>
          <w:rFonts w:cs="Times New Roman"/>
          <w:lang w:eastAsia="zh-CN"/>
        </w:rPr>
        <w:t>指针底物的曲线下面积（</w:t>
      </w:r>
      <w:r w:rsidRPr="009E464F">
        <w:rPr>
          <w:rFonts w:cs="Times New Roman"/>
          <w:lang w:eastAsia="zh-CN"/>
        </w:rPr>
        <w:t>AUC</w:t>
      </w:r>
      <w:r w:rsidRPr="009E464F">
        <w:rPr>
          <w:rFonts w:cs="Times New Roman"/>
          <w:lang w:eastAsia="zh-CN"/>
        </w:rPr>
        <w:t>）下降不低于</w:t>
      </w:r>
      <w:r w:rsidRPr="009E464F">
        <w:rPr>
          <w:rFonts w:cs="Times New Roman"/>
          <w:lang w:eastAsia="zh-CN"/>
        </w:rPr>
        <w:t>20%</w:t>
      </w:r>
      <w:r w:rsidRPr="009E464F">
        <w:rPr>
          <w:rFonts w:cs="Times New Roman"/>
          <w:lang w:eastAsia="zh-CN"/>
        </w:rPr>
        <w:t>但小于</w:t>
      </w:r>
      <w:r w:rsidRPr="009E464F">
        <w:rPr>
          <w:rFonts w:cs="Times New Roman"/>
          <w:lang w:eastAsia="zh-CN"/>
        </w:rPr>
        <w:t>50%</w:t>
      </w:r>
      <w:r w:rsidRPr="009E464F">
        <w:rPr>
          <w:rFonts w:cs="Times New Roman"/>
          <w:lang w:eastAsia="zh-CN"/>
        </w:rPr>
        <w:t>。</w:t>
      </w:r>
    </w:p>
    <w:p w14:paraId="45C934E5" w14:textId="77777777" w:rsidR="00897793" w:rsidRPr="009E464F" w:rsidRDefault="00897793" w:rsidP="00AD6D50">
      <w:pPr>
        <w:spacing w:after="0"/>
        <w:ind w:firstLine="640"/>
        <w:rPr>
          <w:rFonts w:cs="Times New Roman"/>
          <w:lang w:eastAsia="zh-CN"/>
        </w:rPr>
      </w:pPr>
      <w:r w:rsidRPr="009E464F">
        <w:rPr>
          <w:rFonts w:cs="Times New Roman"/>
          <w:lang w:eastAsia="zh-CN"/>
        </w:rPr>
        <w:t>上述分类信息有助于在说明书中对尚未在</w:t>
      </w:r>
      <w:r w:rsidRPr="009E464F">
        <w:rPr>
          <w:rFonts w:cs="Times New Roman"/>
          <w:lang w:eastAsia="zh-CN"/>
        </w:rPr>
        <w:t>DDI</w:t>
      </w:r>
      <w:r w:rsidRPr="009E464F">
        <w:rPr>
          <w:rFonts w:cs="Times New Roman"/>
          <w:lang w:eastAsia="zh-CN"/>
        </w:rPr>
        <w:t>研究中考察过的其他</w:t>
      </w:r>
      <w:proofErr w:type="gramStart"/>
      <w:r w:rsidRPr="009E464F">
        <w:rPr>
          <w:rFonts w:cs="Times New Roman"/>
          <w:lang w:eastAsia="zh-CN"/>
        </w:rPr>
        <w:t>受变药物</w:t>
      </w:r>
      <w:proofErr w:type="gramEnd"/>
      <w:r w:rsidRPr="009E464F">
        <w:rPr>
          <w:rFonts w:cs="Times New Roman"/>
          <w:lang w:eastAsia="zh-CN"/>
        </w:rPr>
        <w:t>与在</w:t>
      </w:r>
      <w:proofErr w:type="gramStart"/>
      <w:r w:rsidRPr="009E464F">
        <w:rPr>
          <w:rFonts w:cs="Times New Roman"/>
          <w:lang w:eastAsia="zh-CN"/>
        </w:rPr>
        <w:t>研</w:t>
      </w:r>
      <w:proofErr w:type="gramEnd"/>
      <w:r w:rsidRPr="009E464F">
        <w:rPr>
          <w:rFonts w:cs="Times New Roman"/>
          <w:lang w:eastAsia="zh-CN"/>
        </w:rPr>
        <w:t>药物合用是否具有临床显著性的</w:t>
      </w:r>
      <w:r w:rsidRPr="009E464F">
        <w:rPr>
          <w:rFonts w:cs="Times New Roman"/>
          <w:lang w:eastAsia="zh-CN"/>
        </w:rPr>
        <w:t>DDI</w:t>
      </w:r>
      <w:r w:rsidRPr="009E464F">
        <w:rPr>
          <w:rFonts w:cs="Times New Roman"/>
          <w:lang w:eastAsia="zh-CN"/>
        </w:rPr>
        <w:t>进行说明。例如，如果在</w:t>
      </w:r>
      <w:proofErr w:type="gramStart"/>
      <w:r w:rsidRPr="009E464F">
        <w:rPr>
          <w:rFonts w:cs="Times New Roman"/>
          <w:lang w:eastAsia="zh-CN"/>
        </w:rPr>
        <w:t>研</w:t>
      </w:r>
      <w:proofErr w:type="gramEnd"/>
      <w:r w:rsidRPr="009E464F">
        <w:rPr>
          <w:rFonts w:cs="Times New Roman"/>
          <w:lang w:eastAsia="zh-CN"/>
        </w:rPr>
        <w:t>药物属于一种强效</w:t>
      </w:r>
      <w:r w:rsidRPr="009E464F">
        <w:rPr>
          <w:rFonts w:cs="Times New Roman"/>
          <w:lang w:eastAsia="zh-CN"/>
        </w:rPr>
        <w:t>CYP3A</w:t>
      </w:r>
      <w:r w:rsidRPr="009E464F">
        <w:rPr>
          <w:rFonts w:cs="Times New Roman"/>
          <w:lang w:eastAsia="zh-CN"/>
        </w:rPr>
        <w:t>抑制剂，应考虑其与其他</w:t>
      </w:r>
      <w:r w:rsidRPr="009E464F">
        <w:rPr>
          <w:rFonts w:cs="Times New Roman"/>
          <w:lang w:eastAsia="zh-CN"/>
        </w:rPr>
        <w:t>CYP3A</w:t>
      </w:r>
      <w:r w:rsidRPr="009E464F">
        <w:rPr>
          <w:rFonts w:cs="Times New Roman"/>
          <w:lang w:eastAsia="zh-CN"/>
        </w:rPr>
        <w:t>底物药物发生临床显著性相互作用的潜力，并且申请人也应当考虑在</w:t>
      </w:r>
      <w:proofErr w:type="gramStart"/>
      <w:r w:rsidRPr="009E464F">
        <w:rPr>
          <w:rFonts w:cs="Times New Roman"/>
          <w:lang w:eastAsia="zh-CN"/>
        </w:rPr>
        <w:t>研</w:t>
      </w:r>
      <w:proofErr w:type="gramEnd"/>
      <w:r w:rsidRPr="009E464F">
        <w:rPr>
          <w:rFonts w:cs="Times New Roman"/>
          <w:lang w:eastAsia="zh-CN"/>
        </w:rPr>
        <w:t>药物说明书中对此进行表述。</w:t>
      </w:r>
    </w:p>
    <w:p w14:paraId="52FF1D7E" w14:textId="77777777" w:rsidR="00897793" w:rsidRPr="009E464F" w:rsidRDefault="00897793" w:rsidP="00AD6D50">
      <w:pPr>
        <w:spacing w:after="0"/>
        <w:ind w:firstLine="640"/>
        <w:rPr>
          <w:rFonts w:cs="Times New Roman"/>
          <w:lang w:eastAsia="zh-CN"/>
        </w:rPr>
      </w:pPr>
      <w:r w:rsidRPr="009E464F">
        <w:rPr>
          <w:rFonts w:cs="Times New Roman"/>
          <w:lang w:eastAsia="zh-CN"/>
        </w:rPr>
        <w:t>目前，对于转运体以及</w:t>
      </w:r>
      <w:r w:rsidRPr="009E464F">
        <w:rPr>
          <w:rFonts w:cs="Times New Roman"/>
          <w:lang w:eastAsia="zh-CN"/>
        </w:rPr>
        <w:t>II</w:t>
      </w:r>
      <w:r w:rsidRPr="009E464F">
        <w:rPr>
          <w:rFonts w:cs="Times New Roman"/>
          <w:lang w:eastAsia="zh-CN"/>
        </w:rPr>
        <w:t>相代谢酶的诱导</w:t>
      </w:r>
      <w:proofErr w:type="gramStart"/>
      <w:r w:rsidRPr="009E464F">
        <w:rPr>
          <w:rFonts w:cs="Times New Roman"/>
          <w:lang w:eastAsia="zh-CN"/>
        </w:rPr>
        <w:t>剂或者</w:t>
      </w:r>
      <w:proofErr w:type="gramEnd"/>
      <w:r w:rsidRPr="009E464F">
        <w:rPr>
          <w:rFonts w:cs="Times New Roman"/>
          <w:lang w:eastAsia="zh-CN"/>
        </w:rPr>
        <w:t>抑制剂还没有标准化的分类系统。</w:t>
      </w:r>
    </w:p>
    <w:p w14:paraId="201B3E9F" w14:textId="116657E1" w:rsidR="00897793" w:rsidRPr="009E464F" w:rsidRDefault="00AD6D50" w:rsidP="00AD6D50">
      <w:pPr>
        <w:spacing w:after="0"/>
        <w:ind w:firstLine="640"/>
        <w:rPr>
          <w:rFonts w:cs="Times New Roman"/>
          <w:lang w:eastAsia="zh-CN"/>
        </w:rPr>
      </w:pPr>
      <w:bookmarkStart w:id="75" w:name="_Toc48747238"/>
      <w:bookmarkStart w:id="76" w:name="_Toc48799383"/>
      <w:r>
        <w:rPr>
          <w:rFonts w:cs="Times New Roman"/>
          <w:lang w:eastAsia="zh-CN"/>
        </w:rPr>
        <w:lastRenderedPageBreak/>
        <w:t>3.</w:t>
      </w:r>
      <w:r w:rsidR="00897793" w:rsidRPr="009E464F">
        <w:rPr>
          <w:rFonts w:cs="Times New Roman"/>
          <w:lang w:eastAsia="zh-CN"/>
        </w:rPr>
        <w:t>研究结果的外推</w:t>
      </w:r>
      <w:bookmarkEnd w:id="75"/>
      <w:bookmarkEnd w:id="76"/>
    </w:p>
    <w:p w14:paraId="503E170D" w14:textId="77777777" w:rsidR="00897793" w:rsidRPr="009E464F" w:rsidRDefault="00897793" w:rsidP="00AD6D50">
      <w:pPr>
        <w:spacing w:after="0"/>
        <w:ind w:firstLine="640"/>
        <w:rPr>
          <w:rFonts w:cs="Times New Roman"/>
          <w:lang w:eastAsia="zh-CN"/>
        </w:rPr>
      </w:pPr>
      <w:r w:rsidRPr="009E464F">
        <w:rPr>
          <w:rFonts w:cs="Times New Roman"/>
          <w:lang w:eastAsia="zh-CN"/>
        </w:rPr>
        <w:t>对药物与所有临床可能合用药物都进行临床</w:t>
      </w:r>
      <w:r w:rsidRPr="009E464F">
        <w:rPr>
          <w:rFonts w:cs="Times New Roman"/>
          <w:lang w:eastAsia="zh-CN"/>
        </w:rPr>
        <w:t>DDI</w:t>
      </w:r>
      <w:r w:rsidRPr="009E464F">
        <w:rPr>
          <w:rFonts w:cs="Times New Roman"/>
          <w:lang w:eastAsia="zh-CN"/>
        </w:rPr>
        <w:t>评价并不可行，在可能的情况下应当将</w:t>
      </w:r>
      <w:r w:rsidRPr="009E464F">
        <w:rPr>
          <w:rFonts w:cs="Times New Roman"/>
          <w:lang w:eastAsia="zh-CN"/>
        </w:rPr>
        <w:t>DDI</w:t>
      </w:r>
      <w:r w:rsidRPr="009E464F">
        <w:rPr>
          <w:rFonts w:cs="Times New Roman"/>
          <w:lang w:eastAsia="zh-CN"/>
        </w:rPr>
        <w:t>研究延伸到其他未知</w:t>
      </w:r>
      <w:r w:rsidRPr="009E464F">
        <w:rPr>
          <w:rFonts w:cs="Times New Roman"/>
          <w:lang w:eastAsia="zh-CN"/>
        </w:rPr>
        <w:t>DDI</w:t>
      </w:r>
      <w:r w:rsidRPr="009E464F">
        <w:rPr>
          <w:rFonts w:cs="Times New Roman"/>
          <w:lang w:eastAsia="zh-CN"/>
        </w:rPr>
        <w:t>情景中。</w:t>
      </w:r>
      <w:r w:rsidRPr="009E464F">
        <w:rPr>
          <w:rFonts w:cs="Times New Roman"/>
          <w:szCs w:val="32"/>
          <w:lang w:eastAsia="zh-CN"/>
        </w:rPr>
        <w:t>指针</w:t>
      </w:r>
      <w:r w:rsidRPr="009E464F">
        <w:rPr>
          <w:rFonts w:cs="Times New Roman"/>
          <w:lang w:eastAsia="zh-CN"/>
        </w:rPr>
        <w:t>药物</w:t>
      </w:r>
      <w:r w:rsidRPr="009E464F">
        <w:rPr>
          <w:rFonts w:cs="Times New Roman"/>
          <w:lang w:eastAsia="zh-CN"/>
        </w:rPr>
        <w:t>DDI</w:t>
      </w:r>
      <w:r w:rsidRPr="009E464F">
        <w:rPr>
          <w:rFonts w:cs="Times New Roman"/>
          <w:lang w:eastAsia="zh-CN"/>
        </w:rPr>
        <w:t>研究结果通常与具备相同</w:t>
      </w:r>
      <w:r w:rsidRPr="009E464F">
        <w:rPr>
          <w:rFonts w:cs="Times New Roman"/>
          <w:lang w:eastAsia="zh-CN"/>
        </w:rPr>
        <w:t>DDI</w:t>
      </w:r>
      <w:r w:rsidRPr="009E464F">
        <w:rPr>
          <w:rFonts w:cs="Times New Roman"/>
          <w:lang w:eastAsia="zh-CN"/>
        </w:rPr>
        <w:t>机理的影响相关，并且可能代表了同类合并用药最坏的一种情况。例如，如果在与强效</w:t>
      </w:r>
      <w:r w:rsidRPr="009E464F">
        <w:rPr>
          <w:rFonts w:cs="Times New Roman"/>
          <w:lang w:eastAsia="zh-CN"/>
        </w:rPr>
        <w:t>CYP3A4</w:t>
      </w:r>
      <w:r w:rsidRPr="009E464F">
        <w:rPr>
          <w:rFonts w:cs="Times New Roman"/>
          <w:szCs w:val="32"/>
          <w:lang w:eastAsia="zh-CN"/>
        </w:rPr>
        <w:t>指针</w:t>
      </w:r>
      <w:r w:rsidRPr="009E464F">
        <w:rPr>
          <w:rFonts w:cs="Times New Roman"/>
          <w:lang w:eastAsia="zh-CN"/>
        </w:rPr>
        <w:t>抑制剂合并使用情况下在</w:t>
      </w:r>
      <w:proofErr w:type="gramStart"/>
      <w:r w:rsidRPr="009E464F">
        <w:rPr>
          <w:rFonts w:cs="Times New Roman"/>
          <w:lang w:eastAsia="zh-CN"/>
        </w:rPr>
        <w:t>研</w:t>
      </w:r>
      <w:proofErr w:type="gramEnd"/>
      <w:r w:rsidRPr="009E464F">
        <w:rPr>
          <w:rFonts w:cs="Times New Roman"/>
          <w:lang w:eastAsia="zh-CN"/>
        </w:rPr>
        <w:t>药物的暴露量无明显改变，则通常可以推断其他强效、中效</w:t>
      </w:r>
      <w:proofErr w:type="gramStart"/>
      <w:r w:rsidRPr="009E464F">
        <w:rPr>
          <w:rFonts w:cs="Times New Roman"/>
          <w:lang w:eastAsia="zh-CN"/>
        </w:rPr>
        <w:t>或者弱效</w:t>
      </w:r>
      <w:proofErr w:type="gramEnd"/>
      <w:r w:rsidRPr="009E464F">
        <w:rPr>
          <w:rFonts w:cs="Times New Roman"/>
          <w:lang w:eastAsia="zh-CN"/>
        </w:rPr>
        <w:t>CYP3A4</w:t>
      </w:r>
      <w:r w:rsidRPr="009E464F">
        <w:rPr>
          <w:rFonts w:cs="Times New Roman"/>
          <w:szCs w:val="32"/>
          <w:lang w:eastAsia="zh-CN"/>
        </w:rPr>
        <w:t>指针</w:t>
      </w:r>
      <w:r w:rsidRPr="009E464F">
        <w:rPr>
          <w:rFonts w:cs="Times New Roman"/>
          <w:lang w:eastAsia="zh-CN"/>
        </w:rPr>
        <w:t>抑制剂在与在</w:t>
      </w:r>
      <w:proofErr w:type="gramStart"/>
      <w:r w:rsidRPr="009E464F">
        <w:rPr>
          <w:rFonts w:cs="Times New Roman"/>
          <w:lang w:eastAsia="zh-CN"/>
        </w:rPr>
        <w:t>研</w:t>
      </w:r>
      <w:proofErr w:type="gramEnd"/>
      <w:r w:rsidRPr="009E464F">
        <w:rPr>
          <w:rFonts w:cs="Times New Roman"/>
          <w:lang w:eastAsia="zh-CN"/>
        </w:rPr>
        <w:t>药物合并用药情况下不会产生效应。如果强效</w:t>
      </w:r>
      <w:r w:rsidRPr="009E464F">
        <w:rPr>
          <w:rFonts w:cs="Times New Roman"/>
          <w:lang w:eastAsia="zh-CN"/>
        </w:rPr>
        <w:t>CYP2D6</w:t>
      </w:r>
      <w:r w:rsidRPr="009E464F">
        <w:rPr>
          <w:rFonts w:cs="Times New Roman"/>
          <w:szCs w:val="32"/>
          <w:lang w:eastAsia="zh-CN"/>
        </w:rPr>
        <w:t>指针</w:t>
      </w:r>
      <w:r w:rsidRPr="009E464F">
        <w:rPr>
          <w:rFonts w:cs="Times New Roman"/>
          <w:lang w:eastAsia="zh-CN"/>
        </w:rPr>
        <w:t>抑制剂可显著性提高试验用药物的暴露量，则可将此类结果直接外推到其他强效</w:t>
      </w:r>
      <w:r w:rsidRPr="009E464F">
        <w:rPr>
          <w:rFonts w:cs="Times New Roman"/>
          <w:lang w:eastAsia="zh-CN"/>
        </w:rPr>
        <w:t>CYP2D6</w:t>
      </w:r>
      <w:r w:rsidRPr="009E464F">
        <w:rPr>
          <w:rFonts w:cs="Times New Roman"/>
          <w:lang w:eastAsia="zh-CN"/>
        </w:rPr>
        <w:t>抑制剂。但阳性的研究结果有时不可被用于推测中等或弱抑制剂的影响，此时申请人有必要开展</w:t>
      </w:r>
      <w:r w:rsidRPr="009E464F">
        <w:rPr>
          <w:rFonts w:cs="Times New Roman"/>
          <w:lang w:eastAsia="zh-CN"/>
        </w:rPr>
        <w:t>DDI</w:t>
      </w:r>
      <w:r w:rsidRPr="009E464F">
        <w:rPr>
          <w:rFonts w:cs="Times New Roman"/>
          <w:lang w:eastAsia="zh-CN"/>
        </w:rPr>
        <w:t>临床试验或利用</w:t>
      </w:r>
      <w:r w:rsidRPr="009E464F">
        <w:rPr>
          <w:rFonts w:cs="Times New Roman"/>
          <w:lang w:eastAsia="zh-CN"/>
        </w:rPr>
        <w:t>PBPK</w:t>
      </w:r>
      <w:r w:rsidRPr="009E464F">
        <w:rPr>
          <w:rFonts w:cs="Times New Roman"/>
          <w:lang w:eastAsia="zh-CN"/>
        </w:rPr>
        <w:t>模拟评价</w:t>
      </w:r>
      <w:r w:rsidRPr="009E464F">
        <w:rPr>
          <w:rFonts w:cs="Times New Roman"/>
          <w:lang w:eastAsia="zh-CN"/>
        </w:rPr>
        <w:t>DDI</w:t>
      </w:r>
      <w:r w:rsidRPr="009E464F">
        <w:rPr>
          <w:rFonts w:cs="Times New Roman"/>
          <w:lang w:eastAsia="zh-CN"/>
        </w:rPr>
        <w:t>。</w:t>
      </w:r>
    </w:p>
    <w:p w14:paraId="79073DE3" w14:textId="77777777" w:rsidR="00897793" w:rsidRPr="009E464F" w:rsidRDefault="00897793" w:rsidP="00AD6D50">
      <w:pPr>
        <w:spacing w:after="0"/>
        <w:ind w:firstLine="640"/>
        <w:rPr>
          <w:rFonts w:cs="Times New Roman"/>
          <w:lang w:eastAsia="zh-CN"/>
        </w:rPr>
      </w:pPr>
      <w:r w:rsidRPr="009E464F">
        <w:rPr>
          <w:rFonts w:cs="Times New Roman"/>
          <w:lang w:eastAsia="zh-CN"/>
        </w:rPr>
        <w:t>研究结果不能外推且有潜在</w:t>
      </w:r>
      <w:r w:rsidRPr="009E464F">
        <w:rPr>
          <w:rFonts w:cs="Times New Roman"/>
          <w:lang w:eastAsia="zh-CN"/>
        </w:rPr>
        <w:t>DDI</w:t>
      </w:r>
      <w:r w:rsidRPr="009E464F">
        <w:rPr>
          <w:rFonts w:cs="Times New Roman"/>
          <w:lang w:eastAsia="zh-CN"/>
        </w:rPr>
        <w:t>时，应进行临床合并用药</w:t>
      </w:r>
      <w:r w:rsidRPr="009E464F">
        <w:rPr>
          <w:rFonts w:cs="Times New Roman"/>
          <w:lang w:eastAsia="zh-CN"/>
        </w:rPr>
        <w:t>DDI</w:t>
      </w:r>
      <w:r w:rsidRPr="009E464F">
        <w:rPr>
          <w:rFonts w:cs="Times New Roman"/>
          <w:lang w:eastAsia="zh-CN"/>
        </w:rPr>
        <w:t>研究。尽管其研究结果外延至其他药物的能力有限，但对临床医生和患者意义重大。</w:t>
      </w:r>
    </w:p>
    <w:p w14:paraId="25DE2A72" w14:textId="77777777" w:rsidR="00897793" w:rsidRPr="009E464F" w:rsidRDefault="00897793" w:rsidP="00AD6D50">
      <w:pPr>
        <w:spacing w:after="0"/>
        <w:ind w:firstLine="640"/>
        <w:rPr>
          <w:rFonts w:cs="Times New Roman"/>
          <w:lang w:eastAsia="zh-CN"/>
        </w:rPr>
      </w:pPr>
      <w:r w:rsidRPr="009E464F">
        <w:rPr>
          <w:rFonts w:cs="Times New Roman"/>
          <w:lang w:eastAsia="zh-CN"/>
        </w:rPr>
        <w:t>由于缺乏特异性的转运体底物和抑制剂并且可能与代谢行为之间产生相互影响，评价转运体</w:t>
      </w:r>
      <w:proofErr w:type="gramStart"/>
      <w:r w:rsidRPr="009E464F">
        <w:rPr>
          <w:rFonts w:cs="Times New Roman"/>
          <w:lang w:eastAsia="zh-CN"/>
        </w:rPr>
        <w:t>介</w:t>
      </w:r>
      <w:proofErr w:type="gramEnd"/>
      <w:r w:rsidRPr="009E464F">
        <w:rPr>
          <w:rFonts w:cs="Times New Roman"/>
          <w:lang w:eastAsia="zh-CN"/>
        </w:rPr>
        <w:t>导</w:t>
      </w:r>
      <w:r>
        <w:rPr>
          <w:rFonts w:cs="Times New Roman" w:hint="eastAsia"/>
          <w:lang w:eastAsia="zh-CN"/>
        </w:rPr>
        <w:t>的</w:t>
      </w:r>
      <w:r w:rsidRPr="009E464F">
        <w:rPr>
          <w:rFonts w:cs="Times New Roman"/>
          <w:lang w:eastAsia="zh-CN"/>
        </w:rPr>
        <w:t>DDI</w:t>
      </w:r>
      <w:r w:rsidRPr="009E464F">
        <w:rPr>
          <w:rFonts w:cs="Times New Roman"/>
          <w:lang w:eastAsia="zh-CN"/>
        </w:rPr>
        <w:t>或者转运体代谢相互作用的</w:t>
      </w:r>
      <w:r w:rsidRPr="009E464F">
        <w:rPr>
          <w:rFonts w:cs="Times New Roman"/>
          <w:lang w:eastAsia="zh-CN"/>
        </w:rPr>
        <w:t>DDI</w:t>
      </w:r>
      <w:r w:rsidRPr="009E464F">
        <w:rPr>
          <w:rFonts w:cs="Times New Roman"/>
          <w:lang w:eastAsia="zh-CN"/>
        </w:rPr>
        <w:t>研究通常无法外推至其他药物。</w:t>
      </w:r>
    </w:p>
    <w:p w14:paraId="570F305A" w14:textId="108174D5" w:rsidR="00897793" w:rsidRPr="009E464F" w:rsidRDefault="00AD6D50" w:rsidP="00AD6D50">
      <w:pPr>
        <w:spacing w:after="0"/>
        <w:ind w:firstLine="640"/>
        <w:rPr>
          <w:rFonts w:cs="Times New Roman"/>
          <w:lang w:eastAsia="zh-CN"/>
        </w:rPr>
      </w:pPr>
      <w:r>
        <w:rPr>
          <w:rFonts w:cs="Times New Roman"/>
          <w:lang w:eastAsia="zh-CN"/>
        </w:rPr>
        <w:t>4.</w:t>
      </w:r>
      <w:r w:rsidR="00897793" w:rsidRPr="009E464F">
        <w:rPr>
          <w:rFonts w:cs="Times New Roman"/>
          <w:lang w:eastAsia="zh-CN"/>
        </w:rPr>
        <w:t>临床</w:t>
      </w:r>
      <w:r w:rsidR="00897793" w:rsidRPr="009E464F">
        <w:rPr>
          <w:rFonts w:cs="Times New Roman"/>
          <w:lang w:eastAsia="zh-CN"/>
        </w:rPr>
        <w:t>DDI</w:t>
      </w:r>
      <w:r w:rsidR="00897793" w:rsidRPr="009E464F">
        <w:rPr>
          <w:rFonts w:cs="Times New Roman"/>
          <w:lang w:eastAsia="zh-CN"/>
        </w:rPr>
        <w:t>管理及防控策略</w:t>
      </w:r>
    </w:p>
    <w:p w14:paraId="7CBEDDD5" w14:textId="77777777" w:rsidR="00897793" w:rsidRPr="009E464F" w:rsidRDefault="00897793" w:rsidP="00593FAB">
      <w:pPr>
        <w:spacing w:after="0"/>
        <w:ind w:firstLine="640"/>
        <w:rPr>
          <w:rFonts w:cs="Times New Roman"/>
          <w:lang w:eastAsia="zh-CN"/>
        </w:rPr>
      </w:pPr>
      <w:r w:rsidRPr="009E464F">
        <w:rPr>
          <w:rFonts w:cs="Times New Roman"/>
          <w:lang w:eastAsia="zh-CN"/>
        </w:rPr>
        <w:lastRenderedPageBreak/>
        <w:t>应在发现临床显著性</w:t>
      </w:r>
      <w:r w:rsidRPr="009E464F">
        <w:rPr>
          <w:rFonts w:cs="Times New Roman"/>
          <w:lang w:eastAsia="zh-CN"/>
        </w:rPr>
        <w:t>DDI</w:t>
      </w:r>
      <w:r w:rsidRPr="009E464F">
        <w:rPr>
          <w:rFonts w:cs="Times New Roman"/>
          <w:lang w:eastAsia="zh-CN"/>
        </w:rPr>
        <w:t>时制订</w:t>
      </w:r>
      <w:r w:rsidRPr="009E464F">
        <w:rPr>
          <w:rFonts w:cs="Times New Roman"/>
          <w:lang w:eastAsia="zh-CN"/>
        </w:rPr>
        <w:t>DDI</w:t>
      </w:r>
      <w:r w:rsidRPr="009E464F">
        <w:rPr>
          <w:rFonts w:cs="Times New Roman"/>
          <w:lang w:eastAsia="zh-CN"/>
        </w:rPr>
        <w:t>管理及防控策略。如果合并</w:t>
      </w:r>
      <w:r>
        <w:rPr>
          <w:rFonts w:cs="Times New Roman" w:hint="eastAsia"/>
          <w:lang w:eastAsia="zh-CN"/>
        </w:rPr>
        <w:t>用药</w:t>
      </w:r>
      <w:r w:rsidRPr="009E464F">
        <w:rPr>
          <w:rFonts w:cs="Times New Roman"/>
          <w:lang w:eastAsia="zh-CN"/>
        </w:rPr>
        <w:t>所产生的安全性、疗效或者耐受性方面的问题超过了药物单独给药所产生的相关问题，则认为此相互作用达到了临床显著性水平。</w:t>
      </w:r>
    </w:p>
    <w:p w14:paraId="41513F39" w14:textId="77777777" w:rsidR="00897793" w:rsidRPr="009E464F" w:rsidRDefault="00897793" w:rsidP="00593FAB">
      <w:pPr>
        <w:spacing w:after="0"/>
        <w:ind w:firstLine="640"/>
        <w:rPr>
          <w:rFonts w:cs="Times New Roman"/>
          <w:lang w:eastAsia="zh-CN"/>
        </w:rPr>
      </w:pPr>
      <w:r w:rsidRPr="009E464F">
        <w:rPr>
          <w:rFonts w:cs="Times New Roman"/>
          <w:lang w:eastAsia="zh-CN"/>
        </w:rPr>
        <w:t>临床</w:t>
      </w:r>
      <w:r w:rsidRPr="009E464F">
        <w:rPr>
          <w:rFonts w:cs="Times New Roman"/>
          <w:lang w:eastAsia="zh-CN"/>
        </w:rPr>
        <w:t>DDI</w:t>
      </w:r>
      <w:r w:rsidRPr="009E464F">
        <w:rPr>
          <w:rFonts w:cs="Times New Roman"/>
          <w:lang w:eastAsia="zh-CN"/>
        </w:rPr>
        <w:t>管理及防控策略通常应当将</w:t>
      </w:r>
      <w:proofErr w:type="gramStart"/>
      <w:r w:rsidRPr="009E464F">
        <w:rPr>
          <w:rFonts w:cs="Times New Roman"/>
          <w:lang w:eastAsia="zh-CN"/>
        </w:rPr>
        <w:t>受变药</w:t>
      </w:r>
      <w:proofErr w:type="gramEnd"/>
      <w:r w:rsidRPr="009E464F">
        <w:rPr>
          <w:rFonts w:cs="Times New Roman"/>
          <w:lang w:eastAsia="zh-CN"/>
        </w:rPr>
        <w:t>的药物浓度控制在无效应边界范围之内。此外，还应当考虑包括但不限于以下多种因素：安全性及疗效相关的暴露</w:t>
      </w:r>
      <w:r w:rsidRPr="009E464F">
        <w:rPr>
          <w:rFonts w:cs="Times New Roman"/>
          <w:lang w:eastAsia="zh-CN"/>
        </w:rPr>
        <w:t>-</w:t>
      </w:r>
      <w:r w:rsidRPr="009E464F">
        <w:rPr>
          <w:rFonts w:cs="Times New Roman"/>
          <w:lang w:eastAsia="zh-CN"/>
        </w:rPr>
        <w:t>效应关系；</w:t>
      </w:r>
      <w:r w:rsidRPr="009E464F">
        <w:rPr>
          <w:rFonts w:cs="Times New Roman"/>
          <w:lang w:eastAsia="zh-CN"/>
        </w:rPr>
        <w:t>DDI</w:t>
      </w:r>
      <w:r>
        <w:rPr>
          <w:rFonts w:cs="Times New Roman" w:hint="eastAsia"/>
          <w:lang w:eastAsia="zh-CN"/>
        </w:rPr>
        <w:t>的</w:t>
      </w:r>
      <w:r w:rsidRPr="009E464F">
        <w:rPr>
          <w:rFonts w:cs="Times New Roman"/>
          <w:lang w:eastAsia="zh-CN"/>
        </w:rPr>
        <w:t>变异程度；合并用药的预期</w:t>
      </w:r>
      <w:r>
        <w:rPr>
          <w:rFonts w:cs="Times New Roman" w:hint="eastAsia"/>
          <w:lang w:eastAsia="zh-CN"/>
        </w:rPr>
        <w:t>疗程</w:t>
      </w:r>
      <w:r w:rsidRPr="009E464F">
        <w:rPr>
          <w:rFonts w:cs="Times New Roman"/>
          <w:lang w:eastAsia="zh-CN"/>
        </w:rPr>
        <w:t>（如急性期、短期或者长期使用一种或者两种药物）；联合用药的时间（即在基础用药增加在</w:t>
      </w:r>
      <w:proofErr w:type="gramStart"/>
      <w:r w:rsidRPr="009E464F">
        <w:rPr>
          <w:rFonts w:cs="Times New Roman"/>
          <w:lang w:eastAsia="zh-CN"/>
        </w:rPr>
        <w:t>研</w:t>
      </w:r>
      <w:proofErr w:type="gramEnd"/>
      <w:r w:rsidRPr="009E464F">
        <w:rPr>
          <w:rFonts w:cs="Times New Roman"/>
          <w:lang w:eastAsia="zh-CN"/>
        </w:rPr>
        <w:t>药物或服用在</w:t>
      </w:r>
      <w:proofErr w:type="gramStart"/>
      <w:r w:rsidRPr="009E464F">
        <w:rPr>
          <w:rFonts w:cs="Times New Roman"/>
          <w:lang w:eastAsia="zh-CN"/>
        </w:rPr>
        <w:t>研</w:t>
      </w:r>
      <w:proofErr w:type="gramEnd"/>
      <w:r w:rsidRPr="009E464F">
        <w:rPr>
          <w:rFonts w:cs="Times New Roman"/>
          <w:lang w:eastAsia="zh-CN"/>
        </w:rPr>
        <w:t>药物的基础上增加联合用药）；发生</w:t>
      </w:r>
      <w:r w:rsidRPr="009E464F">
        <w:rPr>
          <w:rFonts w:cs="Times New Roman"/>
          <w:lang w:eastAsia="zh-CN"/>
        </w:rPr>
        <w:t>DDI</w:t>
      </w:r>
      <w:r w:rsidRPr="009E464F">
        <w:rPr>
          <w:rFonts w:cs="Times New Roman"/>
          <w:lang w:eastAsia="zh-CN"/>
        </w:rPr>
        <w:t>的机制（即竞争性、非竞争性或时间依赖性抑制作用、诱导作用、合并抑制诱导作用）；监测指标的可行性（即治疗药物监测、实验室检验）；适应症患者对于新药的临床需求、终止对合并相互作用药物的可能性，以及患者在可能发生临床显著相互作用时是否可选择其他治疗方案。</w:t>
      </w:r>
    </w:p>
    <w:p w14:paraId="64F33782" w14:textId="77777777" w:rsidR="00897793" w:rsidRPr="009E464F" w:rsidRDefault="00897793" w:rsidP="00593FAB">
      <w:pPr>
        <w:spacing w:after="0"/>
        <w:ind w:firstLine="640"/>
        <w:rPr>
          <w:rFonts w:cs="Times New Roman"/>
          <w:lang w:eastAsia="zh-CN"/>
        </w:rPr>
      </w:pPr>
      <w:r w:rsidRPr="009E464F">
        <w:rPr>
          <w:rFonts w:cs="Times New Roman"/>
          <w:lang w:eastAsia="zh-CN"/>
        </w:rPr>
        <w:t>基于上述考虑，</w:t>
      </w:r>
      <w:r w:rsidRPr="009E464F">
        <w:rPr>
          <w:rFonts w:cs="Times New Roman"/>
          <w:lang w:eastAsia="zh-CN"/>
        </w:rPr>
        <w:t>DDI</w:t>
      </w:r>
      <w:r w:rsidRPr="009E464F">
        <w:rPr>
          <w:rFonts w:cs="Times New Roman"/>
          <w:lang w:eastAsia="zh-CN"/>
        </w:rPr>
        <w:t>管理及防控策略可包括合并用药禁忌、避免合并用药、暂时停用其中一种相互作用药物、</w:t>
      </w:r>
      <w:r>
        <w:rPr>
          <w:rFonts w:cs="Times New Roman" w:hint="eastAsia"/>
          <w:lang w:eastAsia="zh-CN"/>
        </w:rPr>
        <w:t>药物</w:t>
      </w:r>
      <w:r w:rsidRPr="009E464F">
        <w:rPr>
          <w:rFonts w:cs="Times New Roman"/>
          <w:lang w:eastAsia="zh-CN"/>
        </w:rPr>
        <w:t>剂量调整、错时用药（例如在与抑酸药不同的时间给予新药）以及专门的监测策略（如治疗药物监测、实验室检验）。</w:t>
      </w:r>
    </w:p>
    <w:p w14:paraId="61A57335" w14:textId="77777777" w:rsidR="00897793" w:rsidRPr="00AD6D50" w:rsidRDefault="00897793" w:rsidP="00AD6D50">
      <w:pPr>
        <w:keepNext/>
        <w:keepLines/>
        <w:widowControl w:val="0"/>
        <w:autoSpaceDE w:val="0"/>
        <w:autoSpaceDN w:val="0"/>
        <w:adjustRightInd w:val="0"/>
        <w:spacing w:after="0"/>
        <w:ind w:firstLine="640"/>
        <w:outlineLvl w:val="0"/>
        <w:rPr>
          <w:rFonts w:eastAsia="黑体" w:cs="Times New Roman"/>
          <w:bCs/>
          <w:color w:val="000000"/>
          <w:kern w:val="44"/>
          <w:szCs w:val="32"/>
          <w:lang w:eastAsia="zh-CN"/>
        </w:rPr>
      </w:pPr>
      <w:bookmarkStart w:id="77" w:name="_Toc48747239"/>
      <w:bookmarkStart w:id="78" w:name="_Toc48799384"/>
      <w:bookmarkStart w:id="79" w:name="_Toc50395977"/>
      <w:r w:rsidRPr="00AD6D50">
        <w:rPr>
          <w:rFonts w:eastAsia="黑体" w:cs="Times New Roman"/>
          <w:bCs/>
          <w:color w:val="000000"/>
          <w:kern w:val="44"/>
          <w:szCs w:val="32"/>
          <w:lang w:eastAsia="zh-CN"/>
        </w:rPr>
        <w:lastRenderedPageBreak/>
        <w:t>四、说明书起草建议</w:t>
      </w:r>
      <w:bookmarkEnd w:id="77"/>
      <w:bookmarkEnd w:id="78"/>
      <w:bookmarkEnd w:id="79"/>
    </w:p>
    <w:p w14:paraId="23419132" w14:textId="77777777" w:rsidR="00897793" w:rsidRPr="009E464F" w:rsidRDefault="00897793" w:rsidP="00593FAB">
      <w:pPr>
        <w:spacing w:after="0"/>
        <w:ind w:firstLine="640"/>
        <w:rPr>
          <w:rFonts w:cs="Times New Roman"/>
          <w:lang w:eastAsia="zh-CN"/>
        </w:rPr>
      </w:pPr>
      <w:r w:rsidRPr="009E464F">
        <w:rPr>
          <w:rFonts w:cs="Times New Roman"/>
          <w:lang w:eastAsia="zh-CN"/>
        </w:rPr>
        <w:t>说明书应当总结安全有效用药所需的关键</w:t>
      </w:r>
      <w:r w:rsidRPr="009E464F">
        <w:rPr>
          <w:rFonts w:cs="Times New Roman"/>
          <w:lang w:eastAsia="zh-CN"/>
        </w:rPr>
        <w:t>DDI</w:t>
      </w:r>
      <w:r w:rsidRPr="009E464F">
        <w:rPr>
          <w:rFonts w:cs="Times New Roman"/>
          <w:lang w:eastAsia="zh-CN"/>
        </w:rPr>
        <w:t>信息，包括来源于前瞻性</w:t>
      </w:r>
      <w:r w:rsidRPr="009E464F">
        <w:rPr>
          <w:rFonts w:cs="Times New Roman"/>
          <w:lang w:eastAsia="zh-CN"/>
        </w:rPr>
        <w:t>DDI</w:t>
      </w:r>
      <w:r w:rsidRPr="009E464F">
        <w:rPr>
          <w:rFonts w:cs="Times New Roman"/>
          <w:lang w:eastAsia="zh-CN"/>
        </w:rPr>
        <w:t>临床研究（例如独立的</w:t>
      </w:r>
      <w:r w:rsidRPr="009E464F">
        <w:rPr>
          <w:rFonts w:cs="Times New Roman"/>
          <w:lang w:eastAsia="zh-CN"/>
        </w:rPr>
        <w:t>DDI</w:t>
      </w:r>
      <w:r w:rsidRPr="009E464F">
        <w:rPr>
          <w:rFonts w:cs="Times New Roman"/>
          <w:lang w:eastAsia="zh-CN"/>
        </w:rPr>
        <w:t>研究、嵌套型</w:t>
      </w:r>
      <w:r w:rsidRPr="009E464F">
        <w:rPr>
          <w:rFonts w:cs="Times New Roman"/>
          <w:lang w:eastAsia="zh-CN"/>
        </w:rPr>
        <w:t>DDI</w:t>
      </w:r>
      <w:r w:rsidRPr="009E464F">
        <w:rPr>
          <w:rFonts w:cs="Times New Roman"/>
          <w:lang w:eastAsia="zh-CN"/>
        </w:rPr>
        <w:t>研究）的数据及结果、群体药代动力学分析、</w:t>
      </w:r>
      <w:r>
        <w:rPr>
          <w:rFonts w:cs="Times New Roman" w:hint="eastAsia"/>
          <w:lang w:eastAsia="zh-CN"/>
        </w:rPr>
        <w:t>PBPK</w:t>
      </w:r>
      <w:r w:rsidRPr="009E464F">
        <w:rPr>
          <w:rFonts w:cs="Times New Roman"/>
          <w:lang w:eastAsia="zh-CN"/>
        </w:rPr>
        <w:t>分析、上市后报告或者根据其他信息推断的数据。</w:t>
      </w:r>
      <w:r w:rsidRPr="009E464F">
        <w:rPr>
          <w:rFonts w:cs="Times New Roman"/>
          <w:szCs w:val="32"/>
          <w:lang w:eastAsia="zh-CN"/>
        </w:rPr>
        <w:t>对</w:t>
      </w:r>
      <w:r w:rsidRPr="009E464F">
        <w:rPr>
          <w:rFonts w:cs="Times New Roman"/>
          <w:szCs w:val="32"/>
          <w:lang w:eastAsia="zh-CN"/>
        </w:rPr>
        <w:t>DDI</w:t>
      </w:r>
      <w:r w:rsidRPr="009E464F">
        <w:rPr>
          <w:rFonts w:cs="Times New Roman"/>
          <w:szCs w:val="32"/>
          <w:lang w:eastAsia="zh-CN"/>
        </w:rPr>
        <w:t>的描述也应包括对作用机制（在已知的情况下）进行简要讨论。禁忌症或警告与注意事项部分所描述的</w:t>
      </w:r>
      <w:r w:rsidRPr="009E464F">
        <w:rPr>
          <w:rFonts w:cs="Times New Roman"/>
          <w:szCs w:val="32"/>
          <w:lang w:eastAsia="zh-CN"/>
        </w:rPr>
        <w:t>DDI</w:t>
      </w:r>
      <w:r w:rsidRPr="009E464F">
        <w:rPr>
          <w:rFonts w:cs="Times New Roman"/>
          <w:szCs w:val="32"/>
          <w:lang w:eastAsia="zh-CN"/>
        </w:rPr>
        <w:t>必须在</w:t>
      </w:r>
      <w:r w:rsidRPr="009E464F">
        <w:rPr>
          <w:rFonts w:cs="Times New Roman"/>
          <w:szCs w:val="32"/>
          <w:lang w:eastAsia="zh-CN"/>
        </w:rPr>
        <w:t>DDI</w:t>
      </w:r>
      <w:r w:rsidRPr="009E464F">
        <w:rPr>
          <w:rFonts w:cs="Times New Roman"/>
          <w:szCs w:val="32"/>
          <w:lang w:eastAsia="zh-CN"/>
        </w:rPr>
        <w:t>项下进行更详细的讨论。</w:t>
      </w:r>
    </w:p>
    <w:p w14:paraId="3EC1134D" w14:textId="52C45D9F" w:rsidR="005521A3" w:rsidRPr="009E464F" w:rsidRDefault="00897793" w:rsidP="00593FAB">
      <w:pPr>
        <w:spacing w:after="0"/>
        <w:ind w:firstLineChars="0"/>
        <w:rPr>
          <w:rFonts w:cs="Times New Roman"/>
          <w:szCs w:val="32"/>
          <w:lang w:eastAsia="zh-CN"/>
        </w:rPr>
        <w:sectPr w:rsidR="005521A3" w:rsidRPr="009E464F" w:rsidSect="00F16AB2">
          <w:headerReference w:type="even" r:id="rId15"/>
          <w:headerReference w:type="default" r:id="rId16"/>
          <w:footerReference w:type="default" r:id="rId17"/>
          <w:headerReference w:type="first" r:id="rId18"/>
          <w:type w:val="continuous"/>
          <w:pgSz w:w="12240" w:h="15840"/>
          <w:pgMar w:top="1440" w:right="1800" w:bottom="1440" w:left="1800" w:header="720" w:footer="720" w:gutter="0"/>
          <w:lnNumType w:countBy="1" w:restart="continuous"/>
          <w:pgNumType w:start="1"/>
          <w:cols w:space="720"/>
          <w:docGrid w:linePitch="435"/>
        </w:sectPr>
      </w:pPr>
      <w:r w:rsidRPr="009E464F">
        <w:rPr>
          <w:rFonts w:cs="Times New Roman"/>
          <w:szCs w:val="32"/>
          <w:lang w:eastAsia="zh-CN"/>
        </w:rPr>
        <w:t>如果需要并且有足够的信息支持对给药剂量或方案进行调整的情况下，</w:t>
      </w:r>
      <w:r w:rsidRPr="001F589A">
        <w:rPr>
          <w:rFonts w:cs="Times New Roman"/>
          <w:szCs w:val="32"/>
          <w:lang w:eastAsia="zh-CN"/>
        </w:rPr>
        <w:t>应包括因</w:t>
      </w:r>
      <w:r w:rsidRPr="001F589A">
        <w:rPr>
          <w:rFonts w:cs="Times New Roman"/>
          <w:szCs w:val="32"/>
          <w:lang w:eastAsia="zh-CN"/>
        </w:rPr>
        <w:t>DDI</w:t>
      </w:r>
      <w:r w:rsidRPr="008062FF">
        <w:rPr>
          <w:rFonts w:cs="Times New Roman"/>
          <w:szCs w:val="32"/>
          <w:lang w:eastAsia="zh-CN"/>
        </w:rPr>
        <w:t>而采取的剂量调整方案（例如调整给药剂量、改变给药时间）具有特定意义的相关信息。</w:t>
      </w:r>
      <w:r w:rsidRPr="009E464F">
        <w:rPr>
          <w:rFonts w:cs="Times New Roman"/>
          <w:szCs w:val="32"/>
          <w:lang w:eastAsia="zh-CN"/>
        </w:rPr>
        <w:t>列出因风险明确超出任何可能的治疗效果而不应当与该药合并使用的其他药物。已知的</w:t>
      </w:r>
      <w:r w:rsidRPr="009E464F">
        <w:rPr>
          <w:rFonts w:cs="Times New Roman"/>
          <w:szCs w:val="32"/>
          <w:lang w:eastAsia="zh-CN"/>
        </w:rPr>
        <w:t>DDI</w:t>
      </w:r>
      <w:r w:rsidRPr="009E464F">
        <w:rPr>
          <w:rFonts w:cs="Times New Roman"/>
          <w:szCs w:val="32"/>
          <w:lang w:eastAsia="zh-CN"/>
        </w:rPr>
        <w:t>风险必须予以列出</w:t>
      </w:r>
      <w:r>
        <w:rPr>
          <w:rFonts w:cs="Times New Roman" w:hint="eastAsia"/>
          <w:szCs w:val="32"/>
          <w:lang w:eastAsia="zh-CN"/>
        </w:rPr>
        <w:t>。</w:t>
      </w:r>
    </w:p>
    <w:p w14:paraId="100E5621" w14:textId="305079C9" w:rsidR="005F5CD1" w:rsidRPr="00D30448" w:rsidRDefault="005F5CD1" w:rsidP="00D30448">
      <w:pPr>
        <w:keepNext/>
        <w:keepLines/>
        <w:widowControl w:val="0"/>
        <w:autoSpaceDE w:val="0"/>
        <w:autoSpaceDN w:val="0"/>
        <w:adjustRightInd w:val="0"/>
        <w:spacing w:after="0"/>
        <w:ind w:firstLine="640"/>
        <w:outlineLvl w:val="0"/>
        <w:rPr>
          <w:rFonts w:eastAsia="黑体" w:cs="Times New Roman"/>
          <w:bCs/>
          <w:color w:val="000000"/>
          <w:kern w:val="44"/>
          <w:szCs w:val="32"/>
          <w:lang w:eastAsia="zh-CN"/>
        </w:rPr>
      </w:pPr>
      <w:r w:rsidRPr="00D30448">
        <w:rPr>
          <w:rFonts w:eastAsia="黑体" w:cs="Times New Roman"/>
          <w:bCs/>
          <w:color w:val="000000"/>
          <w:kern w:val="44"/>
          <w:szCs w:val="32"/>
          <w:lang w:eastAsia="zh-CN"/>
        </w:rPr>
        <w:lastRenderedPageBreak/>
        <w:t>附录</w:t>
      </w:r>
    </w:p>
    <w:p w14:paraId="110AEBB6" w14:textId="413BE0F8" w:rsidR="00477824" w:rsidRDefault="00477824" w:rsidP="00CB0133">
      <w:pPr>
        <w:pStyle w:val="2"/>
      </w:pPr>
      <w:bookmarkStart w:id="80" w:name="_Toc50395978"/>
      <w:r w:rsidRPr="009E464F">
        <w:t>附录</w:t>
      </w:r>
      <w:r w:rsidRPr="009E464F">
        <w:t xml:space="preserve">1. </w:t>
      </w:r>
      <w:r w:rsidRPr="009E464F">
        <w:t>代谢酶和转运体</w:t>
      </w:r>
      <w:proofErr w:type="gramStart"/>
      <w:r w:rsidRPr="009E464F">
        <w:t>介</w:t>
      </w:r>
      <w:proofErr w:type="gramEnd"/>
      <w:r w:rsidRPr="009E464F">
        <w:t>导的</w:t>
      </w:r>
      <w:r w:rsidRPr="009E464F">
        <w:t>DDI</w:t>
      </w:r>
      <w:r w:rsidRPr="009E464F">
        <w:t>研究策略图</w:t>
      </w:r>
      <w:bookmarkEnd w:id="80"/>
    </w:p>
    <w:p w14:paraId="1C962B0F" w14:textId="62CD8668" w:rsidR="005E1627" w:rsidRPr="009E464F" w:rsidRDefault="005E1627" w:rsidP="00B24C6F">
      <w:pPr>
        <w:pStyle w:val="ae"/>
        <w:ind w:firstLine="360"/>
      </w:pPr>
    </w:p>
    <w:p w14:paraId="6B014FAD" w14:textId="01AA2DF5" w:rsidR="00477824" w:rsidRDefault="000E2C6D" w:rsidP="0083505F">
      <w:pPr>
        <w:spacing w:line="500" w:lineRule="exact"/>
        <w:ind w:firstLine="640"/>
        <w:rPr>
          <w:rFonts w:cs="Times New Roman"/>
          <w:lang w:eastAsia="zh-CN"/>
        </w:rPr>
      </w:pPr>
      <w:r>
        <w:rPr>
          <w:noProof/>
          <w:lang w:eastAsia="zh-CN"/>
        </w:rPr>
        <w:drawing>
          <wp:anchor distT="0" distB="0" distL="114300" distR="114300" simplePos="0" relativeHeight="251706368" behindDoc="1" locked="0" layoutInCell="1" allowOverlap="1" wp14:anchorId="74862CC3" wp14:editId="481ED0F0">
            <wp:simplePos x="0" y="0"/>
            <wp:positionH relativeFrom="column">
              <wp:posOffset>676617</wp:posOffset>
            </wp:positionH>
            <wp:positionV relativeFrom="paragraph">
              <wp:posOffset>19050</wp:posOffset>
            </wp:positionV>
            <wp:extent cx="6365240" cy="3878580"/>
            <wp:effectExtent l="0" t="0" r="0" b="7620"/>
            <wp:wrapTight wrapText="bothSides">
              <wp:wrapPolygon edited="0">
                <wp:start x="7370" y="0"/>
                <wp:lineTo x="3362" y="955"/>
                <wp:lineTo x="2844" y="1167"/>
                <wp:lineTo x="2844" y="1697"/>
                <wp:lineTo x="840" y="2228"/>
                <wp:lineTo x="582" y="2440"/>
                <wp:lineTo x="453" y="5092"/>
                <wp:lineTo x="0" y="5198"/>
                <wp:lineTo x="0" y="5729"/>
                <wp:lineTo x="2715" y="6790"/>
                <wp:lineTo x="1616" y="7214"/>
                <wp:lineTo x="1487" y="7426"/>
                <wp:lineTo x="1616" y="8487"/>
                <wp:lineTo x="0" y="9124"/>
                <wp:lineTo x="0" y="9654"/>
                <wp:lineTo x="1551" y="10185"/>
                <wp:lineTo x="2263" y="11882"/>
                <wp:lineTo x="840" y="12094"/>
                <wp:lineTo x="582" y="12306"/>
                <wp:lineTo x="582" y="14216"/>
                <wp:lineTo x="5624" y="15277"/>
                <wp:lineTo x="8275" y="15277"/>
                <wp:lineTo x="6594" y="16974"/>
                <wp:lineTo x="6594" y="17081"/>
                <wp:lineTo x="9438" y="18672"/>
                <wp:lineTo x="8727" y="18672"/>
                <wp:lineTo x="7370" y="19733"/>
                <wp:lineTo x="7370" y="21536"/>
                <wp:lineTo x="12089" y="21536"/>
                <wp:lineTo x="12089" y="20369"/>
                <wp:lineTo x="12670" y="20369"/>
                <wp:lineTo x="13381" y="19415"/>
                <wp:lineTo x="13317" y="18672"/>
                <wp:lineTo x="15903" y="18672"/>
                <wp:lineTo x="19717" y="17611"/>
                <wp:lineTo x="19652" y="16974"/>
                <wp:lineTo x="20040" y="16974"/>
                <wp:lineTo x="21010" y="15701"/>
                <wp:lineTo x="21010" y="14534"/>
                <wp:lineTo x="20751" y="14004"/>
                <wp:lineTo x="19781" y="13580"/>
                <wp:lineTo x="21527" y="12943"/>
                <wp:lineTo x="21527" y="10503"/>
                <wp:lineTo x="18812" y="10185"/>
                <wp:lineTo x="20363" y="9654"/>
                <wp:lineTo x="20363" y="9230"/>
                <wp:lineTo x="18618" y="8487"/>
                <wp:lineTo x="20622" y="8487"/>
                <wp:lineTo x="21074" y="8169"/>
                <wp:lineTo x="21010" y="6365"/>
                <wp:lineTo x="20298" y="5305"/>
                <wp:lineTo x="19781" y="5092"/>
                <wp:lineTo x="17389" y="3395"/>
                <wp:lineTo x="19587" y="3395"/>
                <wp:lineTo x="19587" y="2228"/>
                <wp:lineTo x="17454" y="1697"/>
                <wp:lineTo x="17583" y="1167"/>
                <wp:lineTo x="12089" y="0"/>
                <wp:lineTo x="737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65240" cy="3878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47ACEE" w14:textId="6129A107" w:rsidR="00B24C6F" w:rsidRDefault="00B24C6F" w:rsidP="0083505F">
      <w:pPr>
        <w:spacing w:line="500" w:lineRule="exact"/>
        <w:ind w:firstLine="640"/>
        <w:rPr>
          <w:rFonts w:cs="Times New Roman"/>
          <w:lang w:eastAsia="zh-CN"/>
        </w:rPr>
      </w:pPr>
    </w:p>
    <w:p w14:paraId="2AF739A2" w14:textId="2EBA5717" w:rsidR="00B24C6F" w:rsidRDefault="00B24C6F" w:rsidP="0083505F">
      <w:pPr>
        <w:spacing w:line="500" w:lineRule="exact"/>
        <w:ind w:firstLine="640"/>
        <w:rPr>
          <w:rFonts w:cs="Times New Roman"/>
          <w:lang w:eastAsia="zh-CN"/>
        </w:rPr>
      </w:pPr>
    </w:p>
    <w:p w14:paraId="40027697" w14:textId="259DEC9E" w:rsidR="00B24C6F" w:rsidRDefault="00B24C6F" w:rsidP="0083505F">
      <w:pPr>
        <w:spacing w:line="500" w:lineRule="exact"/>
        <w:ind w:firstLine="640"/>
        <w:rPr>
          <w:rFonts w:cs="Times New Roman"/>
          <w:lang w:eastAsia="zh-CN"/>
        </w:rPr>
      </w:pPr>
    </w:p>
    <w:p w14:paraId="55D4F19F" w14:textId="14F2237E" w:rsidR="00B24C6F" w:rsidRDefault="00B24C6F" w:rsidP="0083505F">
      <w:pPr>
        <w:spacing w:line="500" w:lineRule="exact"/>
        <w:ind w:firstLine="640"/>
        <w:rPr>
          <w:rFonts w:cs="Times New Roman"/>
          <w:lang w:eastAsia="zh-CN"/>
        </w:rPr>
      </w:pPr>
    </w:p>
    <w:p w14:paraId="5605EC4B" w14:textId="2E48A4A4" w:rsidR="00B24C6F" w:rsidRDefault="00B24C6F" w:rsidP="0083505F">
      <w:pPr>
        <w:spacing w:line="500" w:lineRule="exact"/>
        <w:ind w:firstLine="640"/>
        <w:rPr>
          <w:rFonts w:cs="Times New Roman"/>
          <w:lang w:eastAsia="zh-CN"/>
        </w:rPr>
      </w:pPr>
    </w:p>
    <w:p w14:paraId="041FA48A" w14:textId="0A4F12A9" w:rsidR="00B24C6F" w:rsidRDefault="00B24C6F" w:rsidP="0083505F">
      <w:pPr>
        <w:spacing w:line="500" w:lineRule="exact"/>
        <w:ind w:firstLine="640"/>
        <w:rPr>
          <w:rFonts w:cs="Times New Roman"/>
          <w:lang w:eastAsia="zh-CN"/>
        </w:rPr>
      </w:pPr>
    </w:p>
    <w:p w14:paraId="5EE6DB3B" w14:textId="12162C98" w:rsidR="00B24C6F" w:rsidRDefault="00B24C6F" w:rsidP="0083505F">
      <w:pPr>
        <w:spacing w:line="500" w:lineRule="exact"/>
        <w:ind w:firstLine="640"/>
        <w:rPr>
          <w:rFonts w:cs="Times New Roman"/>
          <w:lang w:eastAsia="zh-CN"/>
        </w:rPr>
      </w:pPr>
    </w:p>
    <w:p w14:paraId="77B974AB" w14:textId="77777777" w:rsidR="00B24C6F" w:rsidRPr="009E464F" w:rsidRDefault="00B24C6F" w:rsidP="0083505F">
      <w:pPr>
        <w:spacing w:line="500" w:lineRule="exact"/>
        <w:ind w:firstLine="640"/>
        <w:rPr>
          <w:rFonts w:cs="Times New Roman"/>
          <w:lang w:eastAsia="zh-CN"/>
        </w:rPr>
      </w:pPr>
    </w:p>
    <w:p w14:paraId="74AD7FE4" w14:textId="77777777" w:rsidR="000E2C6D" w:rsidRDefault="000E2C6D" w:rsidP="0083505F">
      <w:pPr>
        <w:spacing w:line="500" w:lineRule="exact"/>
        <w:ind w:firstLine="480"/>
        <w:jc w:val="center"/>
        <w:rPr>
          <w:rFonts w:cs="Times New Roman"/>
          <w:sz w:val="24"/>
          <w:szCs w:val="24"/>
          <w:lang w:eastAsia="zh-CN"/>
        </w:rPr>
      </w:pPr>
    </w:p>
    <w:p w14:paraId="2C5A8048" w14:textId="7295B77F" w:rsidR="005521A3" w:rsidRPr="0083505F" w:rsidRDefault="005521A3" w:rsidP="0083505F">
      <w:pPr>
        <w:spacing w:line="500" w:lineRule="exact"/>
        <w:ind w:firstLine="480"/>
        <w:jc w:val="center"/>
        <w:rPr>
          <w:rFonts w:cs="Times New Roman"/>
          <w:sz w:val="24"/>
          <w:szCs w:val="24"/>
          <w:lang w:eastAsia="zh-CN"/>
        </w:rPr>
      </w:pPr>
      <w:r w:rsidRPr="0083505F">
        <w:rPr>
          <w:rFonts w:cs="Times New Roman" w:hint="eastAsia"/>
          <w:sz w:val="24"/>
          <w:szCs w:val="24"/>
          <w:lang w:eastAsia="zh-CN"/>
        </w:rPr>
        <w:t>图</w:t>
      </w:r>
      <w:r w:rsidR="008E2F6D">
        <w:rPr>
          <w:rFonts w:cs="Times New Roman"/>
          <w:sz w:val="24"/>
          <w:szCs w:val="24"/>
          <w:lang w:eastAsia="zh-CN"/>
        </w:rPr>
        <w:t>7</w:t>
      </w:r>
      <w:r w:rsidRPr="0083505F">
        <w:rPr>
          <w:rFonts w:cs="Times New Roman"/>
          <w:sz w:val="24"/>
          <w:szCs w:val="24"/>
          <w:lang w:eastAsia="zh-CN"/>
        </w:rPr>
        <w:t xml:space="preserve">. </w:t>
      </w:r>
      <w:r w:rsidRPr="0083505F">
        <w:rPr>
          <w:rFonts w:cs="Times New Roman" w:hint="eastAsia"/>
          <w:sz w:val="24"/>
          <w:szCs w:val="24"/>
          <w:lang w:eastAsia="zh-CN"/>
        </w:rPr>
        <w:t>代谢酶</w:t>
      </w:r>
      <w:proofErr w:type="gramStart"/>
      <w:r w:rsidRPr="0083505F">
        <w:rPr>
          <w:rFonts w:cs="Times New Roman" w:hint="eastAsia"/>
          <w:sz w:val="24"/>
          <w:szCs w:val="24"/>
          <w:lang w:eastAsia="zh-CN"/>
        </w:rPr>
        <w:t>介</w:t>
      </w:r>
      <w:proofErr w:type="gramEnd"/>
      <w:r w:rsidRPr="0083505F">
        <w:rPr>
          <w:rFonts w:cs="Times New Roman" w:hint="eastAsia"/>
          <w:sz w:val="24"/>
          <w:szCs w:val="24"/>
          <w:lang w:eastAsia="zh-CN"/>
        </w:rPr>
        <w:t>导</w:t>
      </w:r>
      <w:r w:rsidR="005E1627">
        <w:rPr>
          <w:rFonts w:cs="Times New Roman" w:hint="eastAsia"/>
          <w:sz w:val="24"/>
          <w:szCs w:val="24"/>
          <w:lang w:eastAsia="zh-CN"/>
        </w:rPr>
        <w:t>的</w:t>
      </w:r>
      <w:r w:rsidRPr="0083505F">
        <w:rPr>
          <w:rFonts w:cs="Times New Roman" w:hint="eastAsia"/>
          <w:sz w:val="24"/>
          <w:szCs w:val="24"/>
          <w:lang w:eastAsia="zh-CN"/>
        </w:rPr>
        <w:t>药物相互作用研究策略（各个模型的参数计算详见附录</w:t>
      </w:r>
      <w:r w:rsidR="00F91D6F" w:rsidRPr="0083505F">
        <w:rPr>
          <w:rFonts w:cs="Times New Roman"/>
          <w:sz w:val="24"/>
          <w:szCs w:val="24"/>
          <w:lang w:eastAsia="zh-CN"/>
        </w:rPr>
        <w:t>2</w:t>
      </w:r>
      <w:r w:rsidRPr="0083505F">
        <w:rPr>
          <w:rFonts w:cs="Times New Roman" w:hint="eastAsia"/>
          <w:sz w:val="24"/>
          <w:szCs w:val="24"/>
          <w:lang w:eastAsia="zh-CN"/>
        </w:rPr>
        <w:t>）</w:t>
      </w:r>
    </w:p>
    <w:p w14:paraId="13803AEF" w14:textId="04B6BC07" w:rsidR="005521A3" w:rsidRPr="009E464F" w:rsidRDefault="005521A3" w:rsidP="0083505F">
      <w:pPr>
        <w:spacing w:line="500" w:lineRule="exact"/>
        <w:ind w:firstLine="640"/>
        <w:rPr>
          <w:rFonts w:cs="Times New Roman"/>
          <w:lang w:eastAsia="zh-CN"/>
        </w:rPr>
      </w:pPr>
    </w:p>
    <w:p w14:paraId="042AB416" w14:textId="77777777" w:rsidR="00C46ECE" w:rsidRDefault="005E1627">
      <w:pPr>
        <w:spacing w:line="240" w:lineRule="auto"/>
        <w:ind w:firstLineChars="0" w:firstLine="0"/>
        <w:jc w:val="center"/>
        <w:rPr>
          <w:rFonts w:cs="Times New Roman"/>
          <w:sz w:val="24"/>
          <w:szCs w:val="24"/>
          <w:lang w:eastAsia="zh-CN"/>
        </w:rPr>
      </w:pPr>
      <w:r>
        <w:rPr>
          <w:noProof/>
          <w:lang w:eastAsia="zh-CN"/>
        </w:rPr>
        <w:lastRenderedPageBreak/>
        <w:drawing>
          <wp:inline distT="0" distB="0" distL="0" distR="0" wp14:anchorId="3379095E" wp14:editId="04F529E3">
            <wp:extent cx="8229600" cy="37318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29600" cy="3731895"/>
                    </a:xfrm>
                    <a:prstGeom prst="rect">
                      <a:avLst/>
                    </a:prstGeom>
                    <a:noFill/>
                    <a:ln>
                      <a:noFill/>
                    </a:ln>
                  </pic:spPr>
                </pic:pic>
              </a:graphicData>
            </a:graphic>
          </wp:inline>
        </w:drawing>
      </w:r>
    </w:p>
    <w:p w14:paraId="668D3746" w14:textId="77777777" w:rsidR="00C46ECE" w:rsidRDefault="00C46ECE" w:rsidP="0083505F">
      <w:pPr>
        <w:spacing w:line="500" w:lineRule="exact"/>
        <w:ind w:firstLineChars="0" w:firstLine="0"/>
        <w:jc w:val="center"/>
        <w:rPr>
          <w:rFonts w:cs="Times New Roman"/>
          <w:sz w:val="24"/>
          <w:szCs w:val="24"/>
          <w:lang w:eastAsia="zh-CN"/>
        </w:rPr>
      </w:pPr>
    </w:p>
    <w:p w14:paraId="3961AA3B" w14:textId="71581B00" w:rsidR="001D27C8" w:rsidRPr="0083505F" w:rsidRDefault="005521A3" w:rsidP="0083505F">
      <w:pPr>
        <w:spacing w:line="500" w:lineRule="exact"/>
        <w:ind w:firstLineChars="0" w:firstLine="0"/>
        <w:jc w:val="center"/>
        <w:rPr>
          <w:rFonts w:cs="Times New Roman"/>
          <w:sz w:val="24"/>
          <w:szCs w:val="24"/>
          <w:lang w:eastAsia="zh-CN"/>
        </w:rPr>
        <w:sectPr w:rsidR="001D27C8" w:rsidRPr="0083505F" w:rsidSect="00721D10">
          <w:pgSz w:w="15840" w:h="12240" w:orient="landscape"/>
          <w:pgMar w:top="1440" w:right="1440" w:bottom="1440" w:left="1440" w:header="720" w:footer="720" w:gutter="0"/>
          <w:lnNumType w:countBy="1" w:restart="continuous"/>
          <w:cols w:space="720"/>
          <w:docGrid w:linePitch="435"/>
        </w:sectPr>
      </w:pPr>
      <w:r w:rsidRPr="0083505F">
        <w:rPr>
          <w:rFonts w:cs="Times New Roman" w:hint="eastAsia"/>
          <w:sz w:val="24"/>
          <w:szCs w:val="24"/>
          <w:lang w:eastAsia="zh-CN"/>
        </w:rPr>
        <w:t>图</w:t>
      </w:r>
      <w:r w:rsidR="008E2F6D">
        <w:rPr>
          <w:rFonts w:cs="Times New Roman"/>
          <w:sz w:val="24"/>
          <w:szCs w:val="24"/>
          <w:lang w:eastAsia="zh-CN"/>
        </w:rPr>
        <w:t>8</w:t>
      </w:r>
      <w:r w:rsidRPr="0083505F">
        <w:rPr>
          <w:rFonts w:cs="Times New Roman"/>
          <w:sz w:val="24"/>
          <w:szCs w:val="24"/>
          <w:lang w:eastAsia="zh-CN"/>
        </w:rPr>
        <w:t xml:space="preserve">. </w:t>
      </w:r>
      <w:r w:rsidRPr="0083505F">
        <w:rPr>
          <w:rFonts w:cs="Times New Roman" w:hint="eastAsia"/>
          <w:sz w:val="24"/>
          <w:szCs w:val="24"/>
          <w:lang w:eastAsia="zh-CN"/>
        </w:rPr>
        <w:t>转运体底物药物相互作用研究策略</w:t>
      </w:r>
    </w:p>
    <w:p w14:paraId="72CC773E" w14:textId="77777777" w:rsidR="00B46179" w:rsidRPr="009E464F" w:rsidRDefault="006A16BB" w:rsidP="00593FAB">
      <w:pPr>
        <w:pStyle w:val="2"/>
      </w:pPr>
      <w:bookmarkStart w:id="81" w:name="_Toc50395980"/>
      <w:r w:rsidRPr="009E464F">
        <w:lastRenderedPageBreak/>
        <w:t>附录</w:t>
      </w:r>
      <w:r w:rsidR="00477824" w:rsidRPr="009E464F">
        <w:t>2</w:t>
      </w:r>
      <w:r w:rsidR="00BD0B01" w:rsidRPr="009E464F">
        <w:t xml:space="preserve">. </w:t>
      </w:r>
      <w:r w:rsidR="008663F0" w:rsidRPr="009E464F">
        <w:t>基于模型预测药物间的相互作用</w:t>
      </w:r>
      <w:bookmarkEnd w:id="81"/>
    </w:p>
    <w:p w14:paraId="29076F40" w14:textId="05F71221" w:rsidR="00B46179" w:rsidRPr="009E464F" w:rsidRDefault="00B46179" w:rsidP="00593FAB">
      <w:pPr>
        <w:spacing w:after="0"/>
        <w:ind w:firstLine="640"/>
        <w:rPr>
          <w:rFonts w:cs="Times New Roman"/>
          <w:lang w:eastAsia="zh-CN"/>
        </w:rPr>
      </w:pPr>
      <w:r w:rsidRPr="009E464F">
        <w:rPr>
          <w:rFonts w:cs="Times New Roman"/>
          <w:lang w:eastAsia="zh-CN"/>
        </w:rPr>
        <w:t>数学模型可被用于预测不同机制引起的药物间相互作用。其中比较常用的有基础模型</w:t>
      </w:r>
      <w:r w:rsidR="007D0F11" w:rsidRPr="009E464F">
        <w:rPr>
          <w:rFonts w:cs="Times New Roman"/>
          <w:lang w:eastAsia="zh-CN"/>
        </w:rPr>
        <w:t>、</w:t>
      </w:r>
      <w:r w:rsidRPr="009E464F">
        <w:rPr>
          <w:rFonts w:cs="Times New Roman"/>
          <w:lang w:eastAsia="zh-CN"/>
        </w:rPr>
        <w:t>静态机制模型</w:t>
      </w:r>
      <w:r w:rsidR="007D0F11" w:rsidRPr="009E464F">
        <w:rPr>
          <w:rFonts w:cs="Times New Roman"/>
          <w:lang w:eastAsia="zh-CN"/>
        </w:rPr>
        <w:t>和</w:t>
      </w:r>
      <w:r w:rsidRPr="009E464F">
        <w:rPr>
          <w:rFonts w:cs="Times New Roman"/>
          <w:lang w:eastAsia="zh-CN"/>
        </w:rPr>
        <w:t>PBPK</w:t>
      </w:r>
      <w:r w:rsidRPr="009E464F">
        <w:rPr>
          <w:rFonts w:cs="Times New Roman"/>
          <w:lang w:eastAsia="zh-CN"/>
        </w:rPr>
        <w:t>模型。基础模型对于数据的要求最少，也最简单，但只能预测单一</w:t>
      </w:r>
      <w:proofErr w:type="gramStart"/>
      <w:r w:rsidRPr="009E464F">
        <w:rPr>
          <w:rFonts w:cs="Times New Roman"/>
          <w:lang w:eastAsia="zh-CN"/>
        </w:rPr>
        <w:t>机制下酶或者</w:t>
      </w:r>
      <w:proofErr w:type="gramEnd"/>
      <w:r w:rsidRPr="009E464F">
        <w:rPr>
          <w:rFonts w:cs="Times New Roman"/>
          <w:lang w:eastAsia="zh-CN"/>
        </w:rPr>
        <w:t>转运体调节剂对底物的影响。静态机制模型对于体内和体外的数据的要求都所有增加，其考虑了更为详细的底物处置过程，可预测不同</w:t>
      </w:r>
      <w:proofErr w:type="gramStart"/>
      <w:r w:rsidRPr="009E464F">
        <w:rPr>
          <w:rFonts w:cs="Times New Roman"/>
          <w:lang w:eastAsia="zh-CN"/>
        </w:rPr>
        <w:t>机制下酶调节剂</w:t>
      </w:r>
      <w:proofErr w:type="gramEnd"/>
      <w:r w:rsidRPr="009E464F">
        <w:rPr>
          <w:rFonts w:cs="Times New Roman"/>
          <w:lang w:eastAsia="zh-CN"/>
        </w:rPr>
        <w:t>对底物的影响。</w:t>
      </w:r>
      <w:r w:rsidRPr="009E464F">
        <w:rPr>
          <w:rFonts w:cs="Times New Roman"/>
          <w:lang w:eastAsia="zh-CN"/>
        </w:rPr>
        <w:t>PBPK</w:t>
      </w:r>
      <w:r w:rsidRPr="009E464F">
        <w:rPr>
          <w:rFonts w:cs="Times New Roman"/>
          <w:lang w:eastAsia="zh-CN"/>
        </w:rPr>
        <w:t>模型对数据的要求最高，往往需要临床试验数据验证模型的可靠性，</w:t>
      </w:r>
      <w:r w:rsidR="00C47636">
        <w:rPr>
          <w:rFonts w:cs="Times New Roman" w:hint="eastAsia"/>
          <w:lang w:eastAsia="zh-CN"/>
        </w:rPr>
        <w:t>但其</w:t>
      </w:r>
      <w:r w:rsidR="007D0F11" w:rsidRPr="009E464F">
        <w:rPr>
          <w:rFonts w:cs="Times New Roman"/>
          <w:lang w:eastAsia="zh-CN"/>
        </w:rPr>
        <w:t>预测能力</w:t>
      </w:r>
      <w:r w:rsidRPr="009E464F">
        <w:rPr>
          <w:rFonts w:cs="Times New Roman"/>
          <w:lang w:eastAsia="zh-CN"/>
        </w:rPr>
        <w:t>也最</w:t>
      </w:r>
      <w:r w:rsidR="00333336" w:rsidRPr="009E464F">
        <w:rPr>
          <w:rFonts w:cs="Times New Roman"/>
          <w:lang w:eastAsia="zh-CN"/>
        </w:rPr>
        <w:t>强</w:t>
      </w:r>
      <w:r w:rsidRPr="009E464F">
        <w:rPr>
          <w:rFonts w:cs="Times New Roman"/>
          <w:lang w:eastAsia="zh-CN"/>
        </w:rPr>
        <w:t>，可预测不同情况下，不同机制引起的药物间作用。</w:t>
      </w:r>
      <w:r w:rsidR="004570BE" w:rsidRPr="009E464F">
        <w:rPr>
          <w:rFonts w:cs="Times New Roman"/>
          <w:lang w:eastAsia="zh-CN"/>
        </w:rPr>
        <w:t>申请人</w:t>
      </w:r>
      <w:r w:rsidRPr="009E464F">
        <w:rPr>
          <w:rFonts w:cs="Times New Roman"/>
          <w:lang w:eastAsia="zh-CN"/>
        </w:rPr>
        <w:t>应基于预测目的</w:t>
      </w:r>
      <w:r w:rsidR="00C47636">
        <w:rPr>
          <w:rFonts w:cs="Times New Roman" w:hint="eastAsia"/>
          <w:lang w:eastAsia="zh-CN"/>
        </w:rPr>
        <w:t>及</w:t>
      </w:r>
      <w:r w:rsidRPr="009E464F">
        <w:rPr>
          <w:rFonts w:cs="Times New Roman"/>
          <w:lang w:eastAsia="zh-CN"/>
        </w:rPr>
        <w:t>可用的体外或者体内数据，选用合适的模型对可能的机制引起的</w:t>
      </w:r>
      <w:r w:rsidR="00C47636">
        <w:rPr>
          <w:rFonts w:cs="Times New Roman" w:hint="eastAsia"/>
          <w:lang w:eastAsia="zh-CN"/>
        </w:rPr>
        <w:t>DDI</w:t>
      </w:r>
      <w:r w:rsidRPr="009E464F">
        <w:rPr>
          <w:rFonts w:cs="Times New Roman"/>
          <w:lang w:eastAsia="zh-CN"/>
        </w:rPr>
        <w:t>进行预测。</w:t>
      </w:r>
      <w:proofErr w:type="gramStart"/>
      <w:r w:rsidR="00C47636">
        <w:rPr>
          <w:rFonts w:cs="Times New Roman" w:hint="eastAsia"/>
          <w:lang w:eastAsia="zh-CN"/>
        </w:rPr>
        <w:t>若</w:t>
      </w:r>
      <w:r w:rsidRPr="009E464F">
        <w:rPr>
          <w:rFonts w:cs="Times New Roman"/>
          <w:lang w:eastAsia="zh-CN"/>
        </w:rPr>
        <w:t>数据</w:t>
      </w:r>
      <w:proofErr w:type="gramEnd"/>
      <w:r w:rsidRPr="009E464F">
        <w:rPr>
          <w:rFonts w:cs="Times New Roman"/>
          <w:lang w:eastAsia="zh-CN"/>
        </w:rPr>
        <w:t>允许，应使用多种模型对同</w:t>
      </w:r>
      <w:proofErr w:type="gramStart"/>
      <w:r w:rsidRPr="009E464F">
        <w:rPr>
          <w:rFonts w:cs="Times New Roman"/>
          <w:lang w:eastAsia="zh-CN"/>
        </w:rPr>
        <w:t>一机制</w:t>
      </w:r>
      <w:proofErr w:type="gramEnd"/>
      <w:r w:rsidRPr="009E464F">
        <w:rPr>
          <w:rFonts w:cs="Times New Roman"/>
          <w:lang w:eastAsia="zh-CN"/>
        </w:rPr>
        <w:t>引起的</w:t>
      </w:r>
      <w:r w:rsidR="00C47636">
        <w:rPr>
          <w:rFonts w:cs="Times New Roman" w:hint="eastAsia"/>
          <w:lang w:eastAsia="zh-CN"/>
        </w:rPr>
        <w:t>DDI</w:t>
      </w:r>
      <w:r w:rsidRPr="009E464F">
        <w:rPr>
          <w:rFonts w:cs="Times New Roman"/>
          <w:lang w:eastAsia="zh-CN"/>
        </w:rPr>
        <w:t>进行预测</w:t>
      </w:r>
      <w:r w:rsidR="00B72376">
        <w:rPr>
          <w:rFonts w:cs="Times New Roman" w:hint="eastAsia"/>
          <w:lang w:eastAsia="zh-CN"/>
        </w:rPr>
        <w:t>。</w:t>
      </w:r>
    </w:p>
    <w:p w14:paraId="1D43A91E" w14:textId="51DF1DF6" w:rsidR="00B46179" w:rsidRPr="009E464F" w:rsidRDefault="00B46179" w:rsidP="00593FAB">
      <w:pPr>
        <w:spacing w:after="0"/>
        <w:ind w:firstLine="640"/>
        <w:rPr>
          <w:rFonts w:cs="Times New Roman"/>
          <w:lang w:eastAsia="zh-CN"/>
        </w:rPr>
      </w:pPr>
      <w:r w:rsidRPr="009E464F">
        <w:rPr>
          <w:rFonts w:cs="Times New Roman"/>
          <w:lang w:eastAsia="zh-CN"/>
        </w:rPr>
        <w:t>1.</w:t>
      </w:r>
      <w:r w:rsidRPr="009E464F">
        <w:rPr>
          <w:rFonts w:cs="Times New Roman"/>
          <w:lang w:eastAsia="zh-CN"/>
        </w:rPr>
        <w:t>基础模型</w:t>
      </w:r>
    </w:p>
    <w:p w14:paraId="47BBA696" w14:textId="6E395657" w:rsidR="006D39F5" w:rsidRPr="009E464F" w:rsidRDefault="006D39F5" w:rsidP="00593FAB">
      <w:pPr>
        <w:spacing w:after="0"/>
        <w:ind w:firstLine="640"/>
        <w:rPr>
          <w:rFonts w:cs="Times New Roman"/>
          <w:lang w:eastAsia="zh-CN"/>
        </w:rPr>
      </w:pPr>
      <w:r w:rsidRPr="009E464F">
        <w:rPr>
          <w:rFonts w:cs="Times New Roman"/>
          <w:lang w:eastAsia="zh-CN"/>
        </w:rPr>
        <w:t>评估在</w:t>
      </w:r>
      <w:proofErr w:type="gramStart"/>
      <w:r w:rsidRPr="009E464F">
        <w:rPr>
          <w:rFonts w:cs="Times New Roman"/>
          <w:lang w:eastAsia="zh-CN"/>
        </w:rPr>
        <w:t>研</w:t>
      </w:r>
      <w:proofErr w:type="gramEnd"/>
      <w:r w:rsidRPr="009E464F">
        <w:rPr>
          <w:rFonts w:cs="Times New Roman"/>
          <w:lang w:eastAsia="zh-CN"/>
        </w:rPr>
        <w:t>药物是否会抑制或诱导代谢酶可从基础模型开始，如计算可逆抑制的</w:t>
      </w:r>
      <w:r w:rsidRPr="009E464F">
        <w:rPr>
          <w:rFonts w:cs="Times New Roman"/>
          <w:lang w:eastAsia="zh-CN"/>
        </w:rPr>
        <w:t>R</w:t>
      </w:r>
      <w:r w:rsidRPr="009E464F">
        <w:rPr>
          <w:rFonts w:cs="Times New Roman"/>
          <w:vertAlign w:val="subscript"/>
          <w:lang w:eastAsia="zh-CN"/>
        </w:rPr>
        <w:t>1</w:t>
      </w:r>
      <w:r w:rsidRPr="009E464F">
        <w:rPr>
          <w:rFonts w:cs="Times New Roman"/>
          <w:lang w:eastAsia="zh-CN"/>
        </w:rPr>
        <w:t>和</w:t>
      </w:r>
      <w:r w:rsidRPr="009E464F">
        <w:rPr>
          <w:rFonts w:cs="Times New Roman"/>
          <w:lang w:eastAsia="zh-CN"/>
        </w:rPr>
        <w:t>R</w:t>
      </w:r>
      <w:r w:rsidRPr="009E464F">
        <w:rPr>
          <w:rFonts w:cs="Times New Roman"/>
          <w:vertAlign w:val="subscript"/>
          <w:lang w:eastAsia="zh-CN"/>
        </w:rPr>
        <w:t>1,gut</w:t>
      </w:r>
      <w:r w:rsidRPr="009E464F">
        <w:rPr>
          <w:rFonts w:cs="Times New Roman"/>
          <w:lang w:eastAsia="zh-CN"/>
        </w:rPr>
        <w:t>，</w:t>
      </w:r>
      <w:r w:rsidRPr="009E464F">
        <w:rPr>
          <w:rFonts w:cs="Times New Roman"/>
          <w:lang w:eastAsia="zh-CN"/>
        </w:rPr>
        <w:t>TDI</w:t>
      </w:r>
      <w:r w:rsidRPr="009E464F">
        <w:rPr>
          <w:rFonts w:cs="Times New Roman"/>
          <w:lang w:eastAsia="zh-CN"/>
        </w:rPr>
        <w:t>的</w:t>
      </w:r>
      <w:r w:rsidRPr="009E464F">
        <w:rPr>
          <w:rFonts w:cs="Times New Roman"/>
          <w:lang w:eastAsia="zh-CN"/>
        </w:rPr>
        <w:t>R</w:t>
      </w:r>
      <w:r w:rsidRPr="009E464F">
        <w:rPr>
          <w:rFonts w:cs="Times New Roman"/>
          <w:vertAlign w:val="subscript"/>
          <w:lang w:eastAsia="zh-CN"/>
        </w:rPr>
        <w:t>2</w:t>
      </w:r>
      <w:r w:rsidRPr="009E464F">
        <w:rPr>
          <w:rFonts w:cs="Times New Roman"/>
          <w:lang w:eastAsia="zh-CN"/>
        </w:rPr>
        <w:t>和诱导的</w:t>
      </w:r>
      <w:r w:rsidRPr="009E464F">
        <w:rPr>
          <w:rFonts w:cs="Times New Roman"/>
          <w:lang w:eastAsia="zh-CN"/>
        </w:rPr>
        <w:t>R</w:t>
      </w:r>
      <w:r w:rsidRPr="009E464F">
        <w:rPr>
          <w:rFonts w:cs="Times New Roman"/>
          <w:vertAlign w:val="subscript"/>
          <w:lang w:eastAsia="zh-CN"/>
        </w:rPr>
        <w:t>3</w:t>
      </w:r>
      <w:r w:rsidRPr="009E464F">
        <w:rPr>
          <w:rFonts w:cs="Times New Roman"/>
          <w:lang w:eastAsia="zh-CN"/>
        </w:rPr>
        <w:t>值，以及</w:t>
      </w:r>
      <w:r w:rsidR="00F204B0" w:rsidRPr="009E464F">
        <w:rPr>
          <w:rFonts w:cs="Times New Roman"/>
          <w:lang w:eastAsia="zh-CN"/>
        </w:rPr>
        <w:t>诱导的倍数变化和相关性方法。如果基础模型不能排除</w:t>
      </w:r>
      <w:r w:rsidR="00F204B0" w:rsidRPr="009E464F">
        <w:rPr>
          <w:rFonts w:cs="Times New Roman"/>
          <w:lang w:eastAsia="zh-CN"/>
        </w:rPr>
        <w:t>DDI</w:t>
      </w:r>
      <w:r w:rsidR="00F204B0" w:rsidRPr="009E464F">
        <w:rPr>
          <w:rFonts w:cs="Times New Roman"/>
          <w:lang w:eastAsia="zh-CN"/>
        </w:rPr>
        <w:t>的可能性，应进一步使用静态机制模型或者</w:t>
      </w:r>
      <w:r w:rsidR="00F204B0" w:rsidRPr="009E464F">
        <w:rPr>
          <w:rFonts w:cs="Times New Roman"/>
          <w:lang w:eastAsia="zh-CN"/>
        </w:rPr>
        <w:t xml:space="preserve">PBPK </w:t>
      </w:r>
      <w:r w:rsidR="00F204B0" w:rsidRPr="009E464F">
        <w:rPr>
          <w:rFonts w:cs="Times New Roman"/>
          <w:lang w:eastAsia="zh-CN"/>
        </w:rPr>
        <w:t>模型进行预测，或者开展临床研究考察。</w:t>
      </w:r>
    </w:p>
    <w:p w14:paraId="04F2954C" w14:textId="13BF7EC9" w:rsidR="00B46179" w:rsidRPr="009E464F" w:rsidRDefault="00B46179" w:rsidP="00593FAB">
      <w:pPr>
        <w:spacing w:after="0"/>
        <w:ind w:firstLine="640"/>
        <w:rPr>
          <w:rFonts w:cs="Times New Roman"/>
          <w:lang w:eastAsia="zh-CN"/>
        </w:rPr>
      </w:pPr>
      <w:r w:rsidRPr="009E464F">
        <w:rPr>
          <w:rFonts w:cs="Times New Roman"/>
          <w:lang w:eastAsia="zh-CN"/>
        </w:rPr>
        <w:t>2.</w:t>
      </w:r>
      <w:r w:rsidRPr="009E464F">
        <w:rPr>
          <w:rFonts w:cs="Times New Roman"/>
          <w:lang w:eastAsia="zh-CN"/>
        </w:rPr>
        <w:t>静态机制模型</w:t>
      </w:r>
    </w:p>
    <w:p w14:paraId="69563F0D" w14:textId="28B2445D" w:rsidR="00B46179" w:rsidRPr="009E464F" w:rsidRDefault="00B46179" w:rsidP="00593FAB">
      <w:pPr>
        <w:spacing w:after="0"/>
        <w:ind w:firstLine="640"/>
        <w:rPr>
          <w:rFonts w:cs="Times New Roman"/>
          <w:lang w:eastAsia="zh-CN"/>
        </w:rPr>
      </w:pPr>
      <w:r w:rsidRPr="009E464F">
        <w:rPr>
          <w:rFonts w:cs="Times New Roman"/>
          <w:lang w:eastAsia="zh-CN"/>
        </w:rPr>
        <w:t>静态机制模型包含更为详细的底物的处置过程，</w:t>
      </w:r>
      <w:r w:rsidRPr="009E464F">
        <w:rPr>
          <w:rFonts w:cs="Times New Roman"/>
          <w:lang w:eastAsia="zh-CN"/>
        </w:rPr>
        <w:t xml:space="preserve"> </w:t>
      </w:r>
      <w:r w:rsidRPr="009E464F">
        <w:rPr>
          <w:rFonts w:cs="Times New Roman"/>
          <w:lang w:eastAsia="zh-CN"/>
        </w:rPr>
        <w:t>同时通过考虑在不同</w:t>
      </w:r>
      <w:proofErr w:type="gramStart"/>
      <w:r w:rsidRPr="009E464F">
        <w:rPr>
          <w:rFonts w:cs="Times New Roman"/>
          <w:lang w:eastAsia="zh-CN"/>
        </w:rPr>
        <w:t>机制下酶调节剂</w:t>
      </w:r>
      <w:proofErr w:type="gramEnd"/>
      <w:r w:rsidRPr="009E464F">
        <w:rPr>
          <w:rFonts w:cs="Times New Roman"/>
          <w:lang w:eastAsia="zh-CN"/>
        </w:rPr>
        <w:t>对底物的影响，可定量评估酶调节剂在体内</w:t>
      </w:r>
      <w:r w:rsidRPr="009E464F">
        <w:rPr>
          <w:rFonts w:cs="Times New Roman"/>
          <w:lang w:eastAsia="zh-CN"/>
        </w:rPr>
        <w:lastRenderedPageBreak/>
        <w:t>对底物暴露量的总体影响</w:t>
      </w:r>
      <w:r w:rsidR="000E0DE4" w:rsidRPr="009E464F">
        <w:rPr>
          <w:rFonts w:cs="Times New Roman"/>
          <w:lang w:eastAsia="zh-CN"/>
        </w:rPr>
        <w:t>。</w:t>
      </w:r>
      <w:r w:rsidR="00DB24E2" w:rsidRPr="009E464F">
        <w:rPr>
          <w:rFonts w:cs="Times New Roman"/>
          <w:lang w:eastAsia="zh-CN"/>
        </w:rPr>
        <w:t>静态机制模型</w:t>
      </w:r>
      <w:r w:rsidRPr="009E464F">
        <w:rPr>
          <w:rFonts w:cs="Times New Roman"/>
          <w:lang w:eastAsia="zh-CN"/>
        </w:rPr>
        <w:t>通过以下公式计算酶调节剂对底物药物的总体影响</w:t>
      </w:r>
      <w:r w:rsidR="00DB24E2" w:rsidRPr="009E464F">
        <w:rPr>
          <w:rFonts w:cs="Times New Roman"/>
          <w:lang w:eastAsia="zh-CN"/>
        </w:rPr>
        <w:t>：</w:t>
      </w:r>
    </w:p>
    <w:p w14:paraId="2CBDC9A3" w14:textId="77777777" w:rsidR="00B46179" w:rsidRPr="00DC5A2A" w:rsidRDefault="00B46179" w:rsidP="0083505F">
      <w:pPr>
        <w:spacing w:line="500" w:lineRule="exact"/>
        <w:ind w:firstLine="420"/>
        <w:rPr>
          <w:rFonts w:cs="Times New Roman"/>
          <w:sz w:val="21"/>
          <w:szCs w:val="21"/>
        </w:rPr>
      </w:pPr>
      <m:oMathPara>
        <m:oMathParaPr>
          <m:jc m:val="center"/>
        </m:oMathParaPr>
        <m:oMath>
          <m:r>
            <m:rPr>
              <m:sty m:val="p"/>
            </m:rPr>
            <w:rPr>
              <w:rFonts w:ascii="Cambria Math" w:hAnsi="Cambria Math" w:cs="Times New Roman"/>
              <w:sz w:val="21"/>
              <w:szCs w:val="21"/>
            </w:rPr>
            <m:t>AUCR=</m:t>
          </m:r>
          <m:d>
            <m:dPr>
              <m:ctrlPr>
                <w:rPr>
                  <w:rFonts w:ascii="Cambria Math" w:hAnsi="Cambria Math" w:cs="Times New Roman"/>
                  <w:sz w:val="21"/>
                  <w:szCs w:val="21"/>
                </w:rPr>
              </m:ctrlPr>
            </m:dPr>
            <m:e>
              <m:f>
                <m:fPr>
                  <m:ctrlPr>
                    <w:rPr>
                      <w:rFonts w:ascii="Cambria Math" w:hAnsi="Cambria Math" w:cs="Times New Roman"/>
                      <w:sz w:val="21"/>
                      <w:szCs w:val="21"/>
                    </w:rPr>
                  </m:ctrlPr>
                </m:fPr>
                <m:num>
                  <m:r>
                    <m:rPr>
                      <m:sty m:val="p"/>
                    </m:rPr>
                    <w:rPr>
                      <w:rFonts w:ascii="Cambria Math" w:hAnsi="Cambria Math" w:cs="Times New Roman"/>
                      <w:sz w:val="21"/>
                      <w:szCs w:val="21"/>
                    </w:rPr>
                    <m:t>1</m:t>
                  </m:r>
                </m:num>
                <m:den>
                  <m:d>
                    <m:dPr>
                      <m:begChr m:val="["/>
                      <m:endChr m:val="]"/>
                      <m:ctrlPr>
                        <w:rPr>
                          <w:rFonts w:ascii="Cambria Math" w:hAnsi="Cambria Math" w:cs="Times New Roman"/>
                          <w:sz w:val="21"/>
                          <w:szCs w:val="21"/>
                        </w:rPr>
                      </m:ctrlPr>
                    </m:dPr>
                    <m:e>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g</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B</m:t>
                          </m:r>
                        </m:e>
                        <m:sub>
                          <m:r>
                            <w:rPr>
                              <w:rFonts w:ascii="Cambria Math" w:hAnsi="Cambria Math" w:cs="Times New Roman"/>
                              <w:sz w:val="21"/>
                              <w:szCs w:val="21"/>
                            </w:rPr>
                            <m:t>g</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C</m:t>
                          </m:r>
                        </m:e>
                        <m:sub>
                          <m:r>
                            <w:rPr>
                              <w:rFonts w:ascii="Cambria Math" w:hAnsi="Cambria Math" w:cs="Times New Roman"/>
                              <w:sz w:val="21"/>
                              <w:szCs w:val="21"/>
                            </w:rPr>
                            <m:t>g</m:t>
                          </m:r>
                        </m:sub>
                      </m:sSub>
                    </m:e>
                  </m:d>
                  <m:r>
                    <m:rPr>
                      <m:sty m:val="p"/>
                    </m:rPr>
                    <w:rPr>
                      <w:rFonts w:ascii="Cambria Math" w:hAnsi="Cambria Math" w:cs="Times New Roman"/>
                      <w:sz w:val="21"/>
                      <w:szCs w:val="21"/>
                    </w:rPr>
                    <m:t>×</m:t>
                  </m:r>
                  <m:d>
                    <m:dPr>
                      <m:ctrlPr>
                        <w:rPr>
                          <w:rFonts w:ascii="Cambria Math" w:hAnsi="Cambria Math" w:cs="Times New Roman"/>
                          <w:sz w:val="21"/>
                          <w:szCs w:val="21"/>
                        </w:rPr>
                      </m:ctrlPr>
                    </m:dPr>
                    <m:e>
                      <m:r>
                        <m:rPr>
                          <m:sty m:val="p"/>
                        </m:rPr>
                        <w:rPr>
                          <w:rFonts w:ascii="Cambria Math" w:hAnsi="Cambria Math" w:cs="Times New Roman"/>
                          <w:sz w:val="21"/>
                          <w:szCs w:val="21"/>
                        </w:rPr>
                        <m:t>1</m:t>
                      </m:r>
                      <m:r>
                        <m:rPr>
                          <m:sty m:val="p"/>
                        </m:rPr>
                        <w:rPr>
                          <w:rFonts w:ascii="Cambria Math" w:eastAsia="微软雅黑"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F</m:t>
                          </m:r>
                        </m:e>
                        <m:sub>
                          <m:r>
                            <w:rPr>
                              <w:rFonts w:ascii="Cambria Math" w:hAnsi="Cambria Math" w:cs="Times New Roman"/>
                              <w:sz w:val="21"/>
                              <w:szCs w:val="21"/>
                            </w:rPr>
                            <m:t>g</m:t>
                          </m:r>
                        </m:sub>
                      </m:sSub>
                    </m:e>
                  </m:d>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F</m:t>
                      </m:r>
                    </m:e>
                    <m:sub>
                      <m:r>
                        <w:rPr>
                          <w:rFonts w:ascii="Cambria Math" w:hAnsi="Cambria Math" w:cs="Times New Roman"/>
                          <w:sz w:val="21"/>
                          <w:szCs w:val="21"/>
                        </w:rPr>
                        <m:t>g</m:t>
                      </m:r>
                    </m:sub>
                  </m:sSub>
                </m:den>
              </m:f>
            </m:e>
          </m:d>
          <m:r>
            <m:rPr>
              <m:sty m:val="p"/>
            </m:rPr>
            <w:rPr>
              <w:rFonts w:ascii="Cambria Math" w:hAnsi="Cambria Math" w:cs="Times New Roman"/>
              <w:sz w:val="21"/>
              <w:szCs w:val="21"/>
            </w:rPr>
            <m:t>×</m:t>
          </m:r>
          <m:d>
            <m:dPr>
              <m:ctrlPr>
                <w:rPr>
                  <w:rFonts w:ascii="Cambria Math" w:hAnsi="Cambria Math" w:cs="Times New Roman"/>
                  <w:sz w:val="21"/>
                  <w:szCs w:val="21"/>
                </w:rPr>
              </m:ctrlPr>
            </m:dPr>
            <m:e>
              <m:f>
                <m:fPr>
                  <m:ctrlPr>
                    <w:rPr>
                      <w:rFonts w:ascii="Cambria Math" w:hAnsi="Cambria Math" w:cs="Times New Roman"/>
                      <w:sz w:val="21"/>
                      <w:szCs w:val="21"/>
                    </w:rPr>
                  </m:ctrlPr>
                </m:fPr>
                <m:num>
                  <m:r>
                    <m:rPr>
                      <m:sty m:val="p"/>
                    </m:rPr>
                    <w:rPr>
                      <w:rFonts w:ascii="Cambria Math" w:hAnsi="Cambria Math" w:cs="Times New Roman"/>
                      <w:sz w:val="21"/>
                      <w:szCs w:val="21"/>
                    </w:rPr>
                    <m:t>1</m:t>
                  </m:r>
                </m:num>
                <m:den>
                  <m:d>
                    <m:dPr>
                      <m:begChr m:val="["/>
                      <m:endChr m:val="]"/>
                      <m:ctrlPr>
                        <w:rPr>
                          <w:rFonts w:ascii="Cambria Math" w:hAnsi="Cambria Math" w:cs="Times New Roman"/>
                          <w:sz w:val="21"/>
                          <w:szCs w:val="21"/>
                        </w:rPr>
                      </m:ctrlPr>
                    </m:dPr>
                    <m:e>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eastAsia="MS Mincho" w:hAnsi="Cambria Math" w:cs="Times New Roman"/>
                              <w:sz w:val="21"/>
                              <w:szCs w:val="21"/>
                            </w:rPr>
                            <m:t>h</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B</m:t>
                          </m:r>
                        </m:e>
                        <m:sub>
                          <m:r>
                            <w:rPr>
                              <w:rFonts w:ascii="Cambria Math" w:eastAsia="MS Mincho" w:hAnsi="Cambria Math" w:cs="Times New Roman"/>
                              <w:sz w:val="21"/>
                              <w:szCs w:val="21"/>
                            </w:rPr>
                            <m:t>h</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C</m:t>
                          </m:r>
                        </m:e>
                        <m:sub>
                          <m:r>
                            <w:rPr>
                              <w:rFonts w:ascii="Cambria Math" w:eastAsia="MS Mincho" w:hAnsi="Cambria Math" w:cs="Times New Roman"/>
                              <w:sz w:val="21"/>
                              <w:szCs w:val="21"/>
                            </w:rPr>
                            <m:t>h</m:t>
                          </m:r>
                        </m:sub>
                      </m:sSub>
                    </m:e>
                  </m:d>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f</m:t>
                      </m:r>
                    </m:e>
                    <m:sub>
                      <m:r>
                        <w:rPr>
                          <w:rFonts w:ascii="Cambria Math" w:hAnsi="Cambria Math" w:cs="Times New Roman"/>
                          <w:sz w:val="21"/>
                          <w:szCs w:val="21"/>
                        </w:rPr>
                        <m:t>m</m:t>
                      </m:r>
                    </m:sub>
                  </m:sSub>
                  <m:r>
                    <m:rPr>
                      <m:sty m:val="p"/>
                    </m:rPr>
                    <w:rPr>
                      <w:rFonts w:ascii="Cambria Math" w:hAnsi="Cambria Math" w:cs="Times New Roman"/>
                      <w:sz w:val="21"/>
                      <w:szCs w:val="21"/>
                    </w:rPr>
                    <m:t>+(1</m:t>
                  </m:r>
                  <m:r>
                    <m:rPr>
                      <m:sty m:val="p"/>
                    </m:rPr>
                    <w:rPr>
                      <w:rFonts w:ascii="Cambria Math" w:eastAsia="微软雅黑"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f</m:t>
                      </m:r>
                    </m:e>
                    <m:sub>
                      <m:r>
                        <w:rPr>
                          <w:rFonts w:ascii="Cambria Math" w:hAnsi="Cambria Math" w:cs="Times New Roman"/>
                          <w:sz w:val="21"/>
                          <w:szCs w:val="21"/>
                        </w:rPr>
                        <m:t>m</m:t>
                      </m:r>
                    </m:sub>
                  </m:sSub>
                  <m:r>
                    <m:rPr>
                      <m:sty m:val="p"/>
                    </m:rPr>
                    <w:rPr>
                      <w:rFonts w:ascii="Cambria Math" w:hAnsi="Cambria Math" w:cs="Times New Roman"/>
                      <w:sz w:val="21"/>
                      <w:szCs w:val="21"/>
                    </w:rPr>
                    <m:t>)</m:t>
                  </m:r>
                </m:den>
              </m:f>
            </m:e>
          </m:d>
        </m:oMath>
      </m:oMathPara>
    </w:p>
    <w:p w14:paraId="6FFC1575" w14:textId="5AB42DE2"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A</w:t>
      </w:r>
      <w:r w:rsidR="00BB41FB">
        <w:rPr>
          <w:rFonts w:cs="Times New Roman" w:hint="eastAsia"/>
          <w:sz w:val="21"/>
          <w:szCs w:val="21"/>
          <w:lang w:eastAsia="zh-CN"/>
        </w:rPr>
        <w:t>：</w:t>
      </w:r>
      <w:r w:rsidRPr="009E464F">
        <w:rPr>
          <w:rFonts w:cs="Times New Roman"/>
          <w:sz w:val="21"/>
          <w:szCs w:val="21"/>
          <w:lang w:eastAsia="zh-CN"/>
        </w:rPr>
        <w:t>可逆抑制的作用</w:t>
      </w:r>
      <w:r w:rsidR="00BB41FB">
        <w:rPr>
          <w:rFonts w:cs="Times New Roman" w:hint="eastAsia"/>
          <w:sz w:val="21"/>
          <w:szCs w:val="21"/>
          <w:lang w:eastAsia="zh-CN"/>
        </w:rPr>
        <w:t>；</w:t>
      </w:r>
      <w:r w:rsidRPr="009E464F">
        <w:rPr>
          <w:rFonts w:cs="Times New Roman"/>
          <w:sz w:val="21"/>
          <w:szCs w:val="21"/>
          <w:lang w:eastAsia="zh-CN"/>
        </w:rPr>
        <w:t xml:space="preserve">B </w:t>
      </w:r>
      <w:r w:rsidR="00BB41FB">
        <w:rPr>
          <w:rFonts w:cs="Times New Roman" w:hint="eastAsia"/>
          <w:sz w:val="21"/>
          <w:szCs w:val="21"/>
          <w:lang w:eastAsia="zh-CN"/>
        </w:rPr>
        <w:t>：</w:t>
      </w:r>
      <w:r w:rsidRPr="009E464F">
        <w:rPr>
          <w:rFonts w:cs="Times New Roman"/>
          <w:sz w:val="21"/>
          <w:szCs w:val="21"/>
          <w:lang w:eastAsia="zh-CN"/>
        </w:rPr>
        <w:t>TDI</w:t>
      </w:r>
      <w:r w:rsidRPr="009E464F">
        <w:rPr>
          <w:rFonts w:cs="Times New Roman"/>
          <w:sz w:val="21"/>
          <w:szCs w:val="21"/>
          <w:lang w:eastAsia="zh-CN"/>
        </w:rPr>
        <w:t>的影响</w:t>
      </w:r>
      <w:r w:rsidR="00BB41FB">
        <w:rPr>
          <w:rFonts w:cs="Times New Roman" w:hint="eastAsia"/>
          <w:sz w:val="21"/>
          <w:szCs w:val="21"/>
          <w:lang w:eastAsia="zh-CN"/>
        </w:rPr>
        <w:t>；</w:t>
      </w:r>
      <w:r w:rsidRPr="009E464F">
        <w:rPr>
          <w:rFonts w:cs="Times New Roman"/>
          <w:sz w:val="21"/>
          <w:szCs w:val="21"/>
          <w:lang w:eastAsia="zh-CN"/>
        </w:rPr>
        <w:t>C</w:t>
      </w:r>
      <w:r w:rsidR="00BB41FB">
        <w:rPr>
          <w:rFonts w:cs="Times New Roman" w:hint="eastAsia"/>
          <w:sz w:val="21"/>
          <w:szCs w:val="21"/>
          <w:lang w:eastAsia="zh-CN"/>
        </w:rPr>
        <w:t>：</w:t>
      </w:r>
      <w:r w:rsidRPr="009E464F">
        <w:rPr>
          <w:rFonts w:cs="Times New Roman"/>
          <w:sz w:val="21"/>
          <w:szCs w:val="21"/>
          <w:lang w:eastAsia="zh-CN"/>
        </w:rPr>
        <w:t>诱导作用</w:t>
      </w:r>
      <w:r w:rsidR="00BB41FB">
        <w:rPr>
          <w:rFonts w:cs="Times New Roman" w:hint="eastAsia"/>
          <w:sz w:val="21"/>
          <w:szCs w:val="21"/>
          <w:lang w:eastAsia="zh-CN"/>
        </w:rPr>
        <w:t>；</w:t>
      </w:r>
      <w:proofErr w:type="spellStart"/>
      <w:r w:rsidRPr="009E464F">
        <w:rPr>
          <w:rFonts w:cs="Times New Roman"/>
          <w:sz w:val="21"/>
          <w:szCs w:val="21"/>
          <w:lang w:eastAsia="zh-CN"/>
        </w:rPr>
        <w:t>F</w:t>
      </w:r>
      <w:r w:rsidRPr="009E464F">
        <w:rPr>
          <w:rFonts w:cs="Times New Roman"/>
          <w:sz w:val="21"/>
          <w:szCs w:val="21"/>
          <w:vertAlign w:val="subscript"/>
          <w:lang w:eastAsia="zh-CN"/>
        </w:rPr>
        <w:t>g</w:t>
      </w:r>
      <w:proofErr w:type="spellEnd"/>
      <w:r w:rsidR="00BB41FB">
        <w:rPr>
          <w:rFonts w:cs="Times New Roman" w:hint="eastAsia"/>
          <w:sz w:val="21"/>
          <w:szCs w:val="21"/>
          <w:lang w:eastAsia="zh-CN"/>
        </w:rPr>
        <w:t>：</w:t>
      </w:r>
      <w:r w:rsidRPr="009E464F">
        <w:rPr>
          <w:rFonts w:cs="Times New Roman"/>
          <w:sz w:val="21"/>
          <w:szCs w:val="21"/>
          <w:lang w:eastAsia="zh-CN"/>
        </w:rPr>
        <w:t>被吸</w:t>
      </w:r>
      <w:r w:rsidR="00122D86" w:rsidRPr="009E464F">
        <w:rPr>
          <w:rFonts w:cs="Times New Roman"/>
          <w:sz w:val="21"/>
          <w:szCs w:val="21"/>
          <w:lang w:eastAsia="zh-CN"/>
        </w:rPr>
        <w:t>收</w:t>
      </w:r>
      <w:r w:rsidRPr="009E464F">
        <w:rPr>
          <w:rFonts w:cs="Times New Roman"/>
          <w:sz w:val="21"/>
          <w:szCs w:val="21"/>
          <w:lang w:eastAsia="zh-CN"/>
        </w:rPr>
        <w:t>至小肠上皮细胞的药物中未经肠代谢的药物的分数</w:t>
      </w:r>
      <w:r w:rsidR="00BB41FB">
        <w:rPr>
          <w:rFonts w:cs="Times New Roman" w:hint="eastAsia"/>
          <w:sz w:val="21"/>
          <w:szCs w:val="21"/>
          <w:lang w:eastAsia="zh-CN"/>
        </w:rPr>
        <w:t>；</w:t>
      </w:r>
      <w:proofErr w:type="spellStart"/>
      <w:r w:rsidRPr="009E464F">
        <w:rPr>
          <w:rFonts w:cs="Times New Roman"/>
          <w:sz w:val="21"/>
          <w:szCs w:val="21"/>
          <w:lang w:eastAsia="zh-CN"/>
        </w:rPr>
        <w:t>f</w:t>
      </w:r>
      <w:r w:rsidRPr="009E464F">
        <w:rPr>
          <w:rFonts w:cs="Times New Roman"/>
          <w:sz w:val="21"/>
          <w:szCs w:val="21"/>
          <w:vertAlign w:val="subscript"/>
          <w:lang w:eastAsia="zh-CN"/>
        </w:rPr>
        <w:t>m</w:t>
      </w:r>
      <w:proofErr w:type="spellEnd"/>
      <w:r w:rsidR="00BB41FB">
        <w:rPr>
          <w:rFonts w:cs="Times New Roman" w:hint="eastAsia"/>
          <w:sz w:val="21"/>
          <w:szCs w:val="21"/>
          <w:lang w:eastAsia="zh-CN"/>
        </w:rPr>
        <w:t>：</w:t>
      </w:r>
      <w:r w:rsidRPr="009E464F">
        <w:rPr>
          <w:rFonts w:cs="Times New Roman"/>
          <w:sz w:val="21"/>
          <w:szCs w:val="21"/>
          <w:lang w:eastAsia="zh-CN"/>
        </w:rPr>
        <w:t>在总体肝脏清除中受抑制剂或者诱导</w:t>
      </w:r>
      <w:proofErr w:type="gramStart"/>
      <w:r w:rsidRPr="009E464F">
        <w:rPr>
          <w:rFonts w:cs="Times New Roman"/>
          <w:sz w:val="21"/>
          <w:szCs w:val="21"/>
          <w:lang w:eastAsia="zh-CN"/>
        </w:rPr>
        <w:t>剂影响</w:t>
      </w:r>
      <w:proofErr w:type="gramEnd"/>
      <w:r w:rsidRPr="009E464F">
        <w:rPr>
          <w:rFonts w:cs="Times New Roman"/>
          <w:sz w:val="21"/>
          <w:szCs w:val="21"/>
          <w:lang w:eastAsia="zh-CN"/>
        </w:rPr>
        <w:t>的</w:t>
      </w:r>
      <w:r w:rsidRPr="009E464F">
        <w:rPr>
          <w:rFonts w:cs="Times New Roman"/>
          <w:sz w:val="21"/>
          <w:szCs w:val="21"/>
          <w:lang w:eastAsia="zh-CN"/>
        </w:rPr>
        <w:t>CYP</w:t>
      </w:r>
      <w:r w:rsidRPr="009E464F">
        <w:rPr>
          <w:rFonts w:cs="Times New Roman"/>
          <w:sz w:val="21"/>
          <w:szCs w:val="21"/>
          <w:lang w:eastAsia="zh-CN"/>
        </w:rPr>
        <w:t>酶</w:t>
      </w:r>
      <w:proofErr w:type="gramStart"/>
      <w:r w:rsidRPr="009E464F">
        <w:rPr>
          <w:rFonts w:cs="Times New Roman"/>
          <w:sz w:val="21"/>
          <w:szCs w:val="21"/>
          <w:lang w:eastAsia="zh-CN"/>
        </w:rPr>
        <w:t>介</w:t>
      </w:r>
      <w:proofErr w:type="gramEnd"/>
      <w:r w:rsidRPr="009E464F">
        <w:rPr>
          <w:rFonts w:cs="Times New Roman"/>
          <w:sz w:val="21"/>
          <w:szCs w:val="21"/>
          <w:lang w:eastAsia="zh-CN"/>
        </w:rPr>
        <w:t>导的底物清除的分数</w:t>
      </w:r>
      <w:r w:rsidR="00BB41FB">
        <w:rPr>
          <w:rFonts w:cs="Times New Roman" w:hint="eastAsia"/>
          <w:sz w:val="21"/>
          <w:szCs w:val="21"/>
          <w:lang w:eastAsia="zh-CN"/>
        </w:rPr>
        <w:t>。</w:t>
      </w:r>
      <w:r w:rsidRPr="009E464F">
        <w:rPr>
          <w:rFonts w:cs="Times New Roman"/>
          <w:sz w:val="21"/>
          <w:szCs w:val="21"/>
          <w:lang w:eastAsia="zh-CN"/>
        </w:rPr>
        <w:t>下标</w:t>
      </w:r>
      <w:r w:rsidRPr="009E464F">
        <w:rPr>
          <w:rFonts w:cs="Times New Roman"/>
          <w:sz w:val="21"/>
          <w:szCs w:val="21"/>
          <w:lang w:eastAsia="zh-CN"/>
        </w:rPr>
        <w:t>h</w:t>
      </w:r>
      <w:r w:rsidRPr="009E464F">
        <w:rPr>
          <w:rFonts w:cs="Times New Roman"/>
          <w:sz w:val="21"/>
          <w:szCs w:val="21"/>
          <w:lang w:eastAsia="zh-CN"/>
        </w:rPr>
        <w:t>表示肝脏</w:t>
      </w:r>
      <w:r w:rsidR="00BB41FB">
        <w:rPr>
          <w:rFonts w:cs="Times New Roman" w:hint="eastAsia"/>
          <w:sz w:val="21"/>
          <w:szCs w:val="21"/>
          <w:lang w:eastAsia="zh-CN"/>
        </w:rPr>
        <w:t>；</w:t>
      </w:r>
      <w:r w:rsidRPr="009E464F">
        <w:rPr>
          <w:rFonts w:cs="Times New Roman"/>
          <w:sz w:val="21"/>
          <w:szCs w:val="21"/>
          <w:lang w:eastAsia="zh-CN"/>
        </w:rPr>
        <w:t>下标</w:t>
      </w:r>
      <w:r w:rsidRPr="009E464F">
        <w:rPr>
          <w:rFonts w:cs="Times New Roman"/>
          <w:sz w:val="21"/>
          <w:szCs w:val="21"/>
          <w:lang w:eastAsia="zh-CN"/>
        </w:rPr>
        <w:t>g</w:t>
      </w:r>
      <w:r w:rsidRPr="009E464F">
        <w:rPr>
          <w:rFonts w:cs="Times New Roman"/>
          <w:sz w:val="21"/>
          <w:szCs w:val="21"/>
          <w:lang w:eastAsia="zh-CN"/>
        </w:rPr>
        <w:t>表示肠道</w:t>
      </w:r>
    </w:p>
    <w:p w14:paraId="34D00FA2" w14:textId="1636C6FA" w:rsidR="00B46179" w:rsidRPr="009E464F" w:rsidRDefault="00B46179">
      <w:pPr>
        <w:spacing w:line="240" w:lineRule="auto"/>
        <w:ind w:firstLine="420"/>
        <w:rPr>
          <w:rFonts w:cs="Times New Roman"/>
          <w:sz w:val="21"/>
          <w:szCs w:val="21"/>
          <w:lang w:eastAsia="zh-CN"/>
        </w:rPr>
      </w:pPr>
      <w:r w:rsidRPr="009E464F">
        <w:rPr>
          <w:rFonts w:cs="Times New Roman"/>
          <w:sz w:val="21"/>
          <w:szCs w:val="21"/>
          <w:lang w:eastAsia="zh-CN"/>
        </w:rPr>
        <w:t xml:space="preserve">A,B,C </w:t>
      </w:r>
      <w:r w:rsidRPr="009E464F">
        <w:rPr>
          <w:rFonts w:cs="Times New Roman"/>
          <w:sz w:val="21"/>
          <w:szCs w:val="21"/>
          <w:lang w:eastAsia="zh-CN"/>
        </w:rPr>
        <w:t>可以</w:t>
      </w:r>
      <w:r w:rsidR="000E0DE4" w:rsidRPr="009E464F">
        <w:rPr>
          <w:rFonts w:cs="Times New Roman"/>
          <w:sz w:val="21"/>
          <w:szCs w:val="21"/>
          <w:lang w:eastAsia="zh-CN"/>
        </w:rPr>
        <w:t>分别</w:t>
      </w:r>
      <w:r w:rsidRPr="009E464F">
        <w:rPr>
          <w:rFonts w:cs="Times New Roman"/>
          <w:sz w:val="21"/>
          <w:szCs w:val="21"/>
          <w:lang w:eastAsia="zh-CN"/>
        </w:rPr>
        <w:t>用下</w:t>
      </w:r>
      <w:r w:rsidR="000E0DE4" w:rsidRPr="009E464F">
        <w:rPr>
          <w:rFonts w:cs="Times New Roman"/>
          <w:sz w:val="21"/>
          <w:szCs w:val="21"/>
          <w:lang w:eastAsia="zh-CN"/>
        </w:rPr>
        <w:t>述</w:t>
      </w:r>
      <w:r w:rsidRPr="009E464F">
        <w:rPr>
          <w:rFonts w:cs="Times New Roman"/>
          <w:sz w:val="21"/>
          <w:szCs w:val="21"/>
          <w:lang w:eastAsia="zh-CN"/>
        </w:rPr>
        <w:t>公式估算</w:t>
      </w:r>
      <w:r w:rsidR="00BB41FB">
        <w:rPr>
          <w:rFonts w:cs="Times New Roman" w:hint="eastAsia"/>
          <w:sz w:val="21"/>
          <w:szCs w:val="21"/>
          <w:lang w:eastAsia="zh-CN"/>
        </w:rPr>
        <w:t>：</w:t>
      </w:r>
    </w:p>
    <w:tbl>
      <w:tblPr>
        <w:tblStyle w:val="af7"/>
        <w:tblW w:w="9654" w:type="dxa"/>
        <w:tblLook w:val="04A0" w:firstRow="1" w:lastRow="0" w:firstColumn="1" w:lastColumn="0" w:noHBand="0" w:noVBand="1"/>
      </w:tblPr>
      <w:tblGrid>
        <w:gridCol w:w="2730"/>
        <w:gridCol w:w="3423"/>
        <w:gridCol w:w="3501"/>
      </w:tblGrid>
      <w:tr w:rsidR="00B46179" w:rsidRPr="009E464F" w14:paraId="08D5BA43" w14:textId="77777777" w:rsidTr="0083505F">
        <w:trPr>
          <w:trHeight w:val="448"/>
        </w:trPr>
        <w:tc>
          <w:tcPr>
            <w:tcW w:w="2730" w:type="dxa"/>
            <w:vAlign w:val="center"/>
          </w:tcPr>
          <w:p w14:paraId="2CF48382" w14:textId="77777777" w:rsidR="00B46179" w:rsidRPr="009E464F" w:rsidRDefault="00B46179" w:rsidP="0083505F">
            <w:pPr>
              <w:spacing w:line="500" w:lineRule="exact"/>
              <w:ind w:firstLine="420"/>
              <w:jc w:val="center"/>
              <w:rPr>
                <w:rFonts w:cs="Times New Roman"/>
                <w:sz w:val="21"/>
                <w:szCs w:val="21"/>
              </w:rPr>
            </w:pPr>
          </w:p>
        </w:tc>
        <w:tc>
          <w:tcPr>
            <w:tcW w:w="3423" w:type="dxa"/>
          </w:tcPr>
          <w:p w14:paraId="3B65DAE8" w14:textId="77777777" w:rsidR="00B46179" w:rsidRPr="009E464F" w:rsidRDefault="00B46179" w:rsidP="0083505F">
            <w:pPr>
              <w:spacing w:line="500" w:lineRule="exact"/>
              <w:ind w:firstLine="420"/>
              <w:jc w:val="center"/>
              <w:rPr>
                <w:rFonts w:cs="Times New Roman"/>
                <w:sz w:val="21"/>
                <w:szCs w:val="21"/>
              </w:rPr>
            </w:pPr>
            <w:r w:rsidRPr="009E464F">
              <w:rPr>
                <w:rFonts w:cs="Times New Roman"/>
                <w:sz w:val="21"/>
                <w:szCs w:val="21"/>
              </w:rPr>
              <w:t>肠道</w:t>
            </w:r>
          </w:p>
        </w:tc>
        <w:tc>
          <w:tcPr>
            <w:tcW w:w="3499" w:type="dxa"/>
          </w:tcPr>
          <w:p w14:paraId="4D8BD776" w14:textId="77777777" w:rsidR="00B46179" w:rsidRPr="009E464F" w:rsidRDefault="00B46179" w:rsidP="0083505F">
            <w:pPr>
              <w:spacing w:line="500" w:lineRule="exact"/>
              <w:ind w:firstLine="420"/>
              <w:jc w:val="center"/>
              <w:rPr>
                <w:rFonts w:cs="Times New Roman"/>
                <w:sz w:val="21"/>
                <w:szCs w:val="21"/>
              </w:rPr>
            </w:pPr>
            <w:r w:rsidRPr="009E464F">
              <w:rPr>
                <w:rFonts w:cs="Times New Roman"/>
                <w:sz w:val="21"/>
                <w:szCs w:val="21"/>
              </w:rPr>
              <w:t>肝脏</w:t>
            </w:r>
          </w:p>
        </w:tc>
      </w:tr>
      <w:tr w:rsidR="00B46179" w:rsidRPr="009E464F" w14:paraId="5FDA0289" w14:textId="77777777" w:rsidTr="0083505F">
        <w:trPr>
          <w:trHeight w:val="415"/>
        </w:trPr>
        <w:tc>
          <w:tcPr>
            <w:tcW w:w="2730" w:type="dxa"/>
            <w:vAlign w:val="center"/>
          </w:tcPr>
          <w:p w14:paraId="0A576181" w14:textId="77777777" w:rsidR="00B46179" w:rsidRPr="009E464F" w:rsidRDefault="00B46179" w:rsidP="0083505F">
            <w:pPr>
              <w:spacing w:line="500" w:lineRule="exact"/>
              <w:ind w:firstLine="420"/>
              <w:jc w:val="center"/>
              <w:rPr>
                <w:rFonts w:cs="Times New Roman"/>
                <w:sz w:val="21"/>
                <w:szCs w:val="21"/>
              </w:rPr>
            </w:pPr>
            <w:r w:rsidRPr="009E464F">
              <w:rPr>
                <w:rFonts w:cs="Times New Roman"/>
                <w:sz w:val="21"/>
                <w:szCs w:val="21"/>
              </w:rPr>
              <w:t>可逆性抑制</w:t>
            </w:r>
          </w:p>
        </w:tc>
        <w:tc>
          <w:tcPr>
            <w:tcW w:w="3423" w:type="dxa"/>
          </w:tcPr>
          <w:p w14:paraId="55443813" w14:textId="77777777" w:rsidR="00B46179" w:rsidRPr="009E464F" w:rsidRDefault="003275AF" w:rsidP="0083505F">
            <w:pPr>
              <w:spacing w:line="500" w:lineRule="exact"/>
              <w:ind w:firstLine="420"/>
              <w:rPr>
                <w:rFonts w:cs="Times New Roman"/>
                <w:sz w:val="21"/>
                <w:szCs w:val="21"/>
              </w:rPr>
            </w:pPr>
            <m:oMathPara>
              <m:oMathParaPr>
                <m:jc m:val="center"/>
              </m:oMathParaPr>
              <m:oMath>
                <m:sSub>
                  <m:sSubPr>
                    <m:ctrlPr>
                      <w:rPr>
                        <w:rFonts w:ascii="Cambria Math" w:hAnsi="Cambria Math" w:cs="Times New Roman"/>
                        <w:sz w:val="21"/>
                        <w:szCs w:val="21"/>
                      </w:rPr>
                    </m:ctrlPr>
                  </m:sSubPr>
                  <m:e>
                    <m:r>
                      <m:rPr>
                        <m:sty m:val="p"/>
                      </m:rPr>
                      <w:rPr>
                        <w:rFonts w:ascii="Cambria Math" w:hAnsi="Cambria Math" w:cs="Times New Roman"/>
                        <w:sz w:val="21"/>
                        <w:szCs w:val="21"/>
                      </w:rPr>
                      <m:t>A</m:t>
                    </m:r>
                  </m:e>
                  <m:sub>
                    <m:r>
                      <m:rPr>
                        <m:sty m:val="p"/>
                      </m:rPr>
                      <w:rPr>
                        <w:rFonts w:ascii="Cambria Math" w:hAnsi="Cambria Math" w:cs="Times New Roman"/>
                        <w:sz w:val="21"/>
                        <w:szCs w:val="21"/>
                      </w:rPr>
                      <m:t>g</m:t>
                    </m:r>
                  </m:sub>
                </m:sSub>
                <m:r>
                  <m:rPr>
                    <m:sty m:val="p"/>
                  </m:rPr>
                  <w:rPr>
                    <w:rFonts w:ascii="Cambria Math" w:hAnsi="Cambria Math" w:cs="Times New Roman"/>
                    <w:sz w:val="21"/>
                    <w:szCs w:val="21"/>
                  </w:rPr>
                  <m:t>=</m:t>
                </m:r>
                <m:f>
                  <m:fPr>
                    <m:ctrlPr>
                      <w:rPr>
                        <w:rFonts w:ascii="Cambria Math" w:hAnsi="Cambria Math" w:cs="Times New Roman"/>
                        <w:sz w:val="21"/>
                        <w:szCs w:val="21"/>
                      </w:rPr>
                    </m:ctrlPr>
                  </m:fPr>
                  <m:num>
                    <m:r>
                      <m:rPr>
                        <m:sty m:val="p"/>
                      </m:rPr>
                      <w:rPr>
                        <w:rFonts w:ascii="Cambria Math" w:hAnsi="Cambria Math" w:cs="Times New Roman"/>
                        <w:sz w:val="21"/>
                        <w:szCs w:val="21"/>
                      </w:rPr>
                      <m:t>1</m:t>
                    </m:r>
                  </m:num>
                  <m:den>
                    <m:r>
                      <m:rPr>
                        <m:sty m:val="p"/>
                      </m:rPr>
                      <w:rPr>
                        <w:rFonts w:ascii="Cambria Math" w:hAnsi="Cambria Math" w:cs="Times New Roman"/>
                        <w:sz w:val="21"/>
                        <w:szCs w:val="21"/>
                      </w:rPr>
                      <m:t>1+</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rPr>
                              <m:t>g</m:t>
                            </m:r>
                          </m:sub>
                        </m:sSub>
                      </m:num>
                      <m:den>
                        <m:sSub>
                          <m:sSubPr>
                            <m:ctrlPr>
                              <w:rPr>
                                <w:rFonts w:ascii="Cambria Math" w:hAnsi="Cambria Math" w:cs="Times New Roman"/>
                                <w:sz w:val="21"/>
                                <w:szCs w:val="21"/>
                              </w:rPr>
                            </m:ctrlPr>
                          </m:sSubPr>
                          <m:e>
                            <m:r>
                              <m:rPr>
                                <m:sty m:val="p"/>
                              </m:rPr>
                              <w:rPr>
                                <w:rFonts w:ascii="Cambria Math" w:hAnsi="Cambria Math" w:cs="Times New Roman"/>
                                <w:sz w:val="21"/>
                                <w:szCs w:val="21"/>
                              </w:rPr>
                              <m:t>K</m:t>
                            </m:r>
                          </m:e>
                          <m:sub>
                            <m:r>
                              <m:rPr>
                                <m:sty m:val="p"/>
                              </m:rPr>
                              <w:rPr>
                                <w:rFonts w:ascii="Cambria Math" w:hAnsi="Cambria Math" w:cs="Times New Roman"/>
                                <w:sz w:val="21"/>
                                <w:szCs w:val="21"/>
                              </w:rPr>
                              <m:t>i</m:t>
                            </m:r>
                          </m:sub>
                        </m:sSub>
                      </m:den>
                    </m:f>
                  </m:den>
                </m:f>
              </m:oMath>
            </m:oMathPara>
          </w:p>
        </w:tc>
        <w:tc>
          <w:tcPr>
            <w:tcW w:w="3499" w:type="dxa"/>
          </w:tcPr>
          <w:p w14:paraId="3528232B" w14:textId="77777777" w:rsidR="00B46179" w:rsidRPr="009E464F" w:rsidRDefault="003275AF" w:rsidP="0083505F">
            <w:pPr>
              <w:spacing w:line="500" w:lineRule="exact"/>
              <w:ind w:firstLine="420"/>
              <w:rPr>
                <w:rFonts w:cs="Times New Roman"/>
                <w:sz w:val="21"/>
                <w:szCs w:val="21"/>
              </w:rPr>
            </w:pPr>
            <m:oMathPara>
              <m:oMath>
                <m:sSub>
                  <m:sSubPr>
                    <m:ctrlPr>
                      <w:rPr>
                        <w:rFonts w:ascii="Cambria Math" w:hAnsi="Cambria Math" w:cs="Times New Roman"/>
                        <w:sz w:val="21"/>
                        <w:szCs w:val="21"/>
                      </w:rPr>
                    </m:ctrlPr>
                  </m:sSubPr>
                  <m:e>
                    <m:r>
                      <m:rPr>
                        <m:sty m:val="p"/>
                      </m:rPr>
                      <w:rPr>
                        <w:rFonts w:ascii="Cambria Math" w:hAnsi="Cambria Math" w:cs="Times New Roman"/>
                        <w:sz w:val="21"/>
                        <w:szCs w:val="21"/>
                      </w:rPr>
                      <m:t>A</m:t>
                    </m:r>
                  </m:e>
                  <m:sub>
                    <m:r>
                      <m:rPr>
                        <m:sty m:val="p"/>
                      </m:rPr>
                      <w:rPr>
                        <w:rFonts w:ascii="Cambria Math" w:hAnsi="Cambria Math" w:cs="Times New Roman"/>
                        <w:sz w:val="21"/>
                        <w:szCs w:val="21"/>
                      </w:rPr>
                      <m:t>h</m:t>
                    </m:r>
                  </m:sub>
                </m:sSub>
                <m:r>
                  <m:rPr>
                    <m:sty m:val="p"/>
                  </m:rPr>
                  <w:rPr>
                    <w:rFonts w:ascii="Cambria Math" w:hAnsi="Cambria Math" w:cs="Times New Roman"/>
                    <w:sz w:val="21"/>
                    <w:szCs w:val="21"/>
                  </w:rPr>
                  <m:t>=</m:t>
                </m:r>
                <m:f>
                  <m:fPr>
                    <m:ctrlPr>
                      <w:rPr>
                        <w:rFonts w:ascii="Cambria Math" w:hAnsi="Cambria Math" w:cs="Times New Roman"/>
                        <w:sz w:val="21"/>
                        <w:szCs w:val="21"/>
                      </w:rPr>
                    </m:ctrlPr>
                  </m:fPr>
                  <m:num>
                    <m:r>
                      <m:rPr>
                        <m:sty m:val="p"/>
                      </m:rPr>
                      <w:rPr>
                        <w:rFonts w:ascii="Cambria Math" w:hAnsi="Cambria Math" w:cs="Times New Roman"/>
                        <w:sz w:val="21"/>
                        <w:szCs w:val="21"/>
                      </w:rPr>
                      <m:t>1</m:t>
                    </m:r>
                  </m:num>
                  <m:den>
                    <m:r>
                      <m:rPr>
                        <m:sty m:val="p"/>
                      </m:rPr>
                      <w:rPr>
                        <w:rFonts w:ascii="Cambria Math" w:hAnsi="Cambria Math" w:cs="Times New Roman"/>
                        <w:sz w:val="21"/>
                        <w:szCs w:val="21"/>
                      </w:rPr>
                      <m:t>1+</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rPr>
                              <m:t>h</m:t>
                            </m:r>
                          </m:sub>
                        </m:sSub>
                      </m:num>
                      <m:den>
                        <m:sSub>
                          <m:sSubPr>
                            <m:ctrlPr>
                              <w:rPr>
                                <w:rFonts w:ascii="Cambria Math" w:hAnsi="Cambria Math" w:cs="Times New Roman"/>
                                <w:sz w:val="21"/>
                                <w:szCs w:val="21"/>
                              </w:rPr>
                            </m:ctrlPr>
                          </m:sSubPr>
                          <m:e>
                            <m:r>
                              <m:rPr>
                                <m:sty m:val="p"/>
                              </m:rPr>
                              <w:rPr>
                                <w:rFonts w:ascii="Cambria Math" w:hAnsi="Cambria Math" w:cs="Times New Roman"/>
                                <w:sz w:val="21"/>
                                <w:szCs w:val="21"/>
                              </w:rPr>
                              <m:t>K</m:t>
                            </m:r>
                          </m:e>
                          <m:sub>
                            <m:r>
                              <m:rPr>
                                <m:sty m:val="p"/>
                              </m:rPr>
                              <w:rPr>
                                <w:rFonts w:ascii="Cambria Math" w:hAnsi="Cambria Math" w:cs="Times New Roman"/>
                                <w:sz w:val="21"/>
                                <w:szCs w:val="21"/>
                              </w:rPr>
                              <m:t>i</m:t>
                            </m:r>
                          </m:sub>
                        </m:sSub>
                      </m:den>
                    </m:f>
                  </m:den>
                </m:f>
              </m:oMath>
            </m:oMathPara>
          </w:p>
        </w:tc>
      </w:tr>
      <w:tr w:rsidR="00B46179" w:rsidRPr="009E464F" w14:paraId="38AEA267" w14:textId="77777777" w:rsidTr="0083505F">
        <w:trPr>
          <w:trHeight w:val="428"/>
        </w:trPr>
        <w:tc>
          <w:tcPr>
            <w:tcW w:w="2730" w:type="dxa"/>
            <w:vAlign w:val="center"/>
          </w:tcPr>
          <w:p w14:paraId="49A01A69" w14:textId="77777777" w:rsidR="00B46179" w:rsidRPr="009E464F" w:rsidRDefault="00B46179" w:rsidP="0083505F">
            <w:pPr>
              <w:spacing w:line="500" w:lineRule="exact"/>
              <w:ind w:firstLine="420"/>
              <w:jc w:val="center"/>
              <w:rPr>
                <w:rFonts w:cs="Times New Roman"/>
                <w:sz w:val="21"/>
                <w:szCs w:val="21"/>
              </w:rPr>
            </w:pPr>
            <w:r w:rsidRPr="009E464F">
              <w:rPr>
                <w:rFonts w:cs="Times New Roman"/>
                <w:sz w:val="21"/>
                <w:szCs w:val="21"/>
              </w:rPr>
              <w:t>时间依赖性抑制</w:t>
            </w:r>
          </w:p>
        </w:tc>
        <w:tc>
          <w:tcPr>
            <w:tcW w:w="3423" w:type="dxa"/>
          </w:tcPr>
          <w:p w14:paraId="1E22036A" w14:textId="77777777" w:rsidR="00B46179" w:rsidRPr="009E464F" w:rsidRDefault="003275AF" w:rsidP="0083505F">
            <w:pPr>
              <w:spacing w:line="500" w:lineRule="exact"/>
              <w:ind w:firstLine="420"/>
              <w:rPr>
                <w:rFonts w:cs="Times New Roman"/>
                <w:sz w:val="21"/>
                <w:szCs w:val="21"/>
              </w:rPr>
            </w:pPr>
            <m:oMathPara>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g</m:t>
                    </m:r>
                  </m:sub>
                </m:sSub>
                <m:r>
                  <m:rPr>
                    <m:sty m:val="p"/>
                  </m:rPr>
                  <w:rPr>
                    <w:rFonts w:ascii="Cambria Math" w:hAnsi="Cambria Math" w:cs="Times New Roman"/>
                    <w:sz w:val="21"/>
                    <w:szCs w:val="21"/>
                  </w:rPr>
                  <m:t>=</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k</m:t>
                        </m:r>
                      </m:e>
                      <m:sub>
                        <m:r>
                          <m:rPr>
                            <m:sty m:val="p"/>
                          </m:rPr>
                          <w:rPr>
                            <w:rFonts w:ascii="Cambria Math" w:hAnsi="Cambria Math" w:cs="Times New Roman"/>
                            <w:sz w:val="21"/>
                            <w:szCs w:val="21"/>
                          </w:rPr>
                          <m:t>deg,g</m:t>
                        </m:r>
                      </m:sub>
                    </m:sSub>
                  </m:num>
                  <m:den>
                    <m:sSub>
                      <m:sSubPr>
                        <m:ctrlPr>
                          <w:rPr>
                            <w:rFonts w:ascii="Cambria Math" w:hAnsi="Cambria Math" w:cs="Times New Roman"/>
                            <w:sz w:val="21"/>
                            <w:szCs w:val="21"/>
                          </w:rPr>
                        </m:ctrlPr>
                      </m:sSubPr>
                      <m:e>
                        <m:r>
                          <m:rPr>
                            <m:sty m:val="p"/>
                          </m:rPr>
                          <w:rPr>
                            <w:rFonts w:ascii="Cambria Math" w:hAnsi="Cambria Math" w:cs="Times New Roman"/>
                            <w:sz w:val="21"/>
                            <w:szCs w:val="21"/>
                          </w:rPr>
                          <m:t>k</m:t>
                        </m:r>
                      </m:e>
                      <m:sub>
                        <m:r>
                          <m:rPr>
                            <m:sty m:val="p"/>
                          </m:rPr>
                          <w:rPr>
                            <w:rFonts w:ascii="Cambria Math" w:hAnsi="Cambria Math" w:cs="Times New Roman"/>
                            <w:sz w:val="21"/>
                            <w:szCs w:val="21"/>
                          </w:rPr>
                          <m:t>deg,g</m:t>
                        </m:r>
                      </m:sub>
                    </m:sSub>
                    <m:r>
                      <m:rPr>
                        <m:sty m:val="p"/>
                      </m:rPr>
                      <w:rPr>
                        <w:rFonts w:ascii="Cambria Math" w:hAnsi="Cambria Math" w:cs="Times New Roman"/>
                        <w:sz w:val="21"/>
                        <w:szCs w:val="21"/>
                      </w:rPr>
                      <m:t>+</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rPr>
                              <m:t>g</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k</m:t>
                            </m:r>
                          </m:e>
                          <m:sub>
                            <m:r>
                              <m:rPr>
                                <m:sty m:val="p"/>
                              </m:rPr>
                              <w:rPr>
                                <w:rFonts w:ascii="Cambria Math" w:hAnsi="Cambria Math" w:cs="Times New Roman"/>
                                <w:sz w:val="21"/>
                                <w:szCs w:val="21"/>
                              </w:rPr>
                              <m:t>inact</m:t>
                            </m:r>
                          </m:sub>
                        </m:sSub>
                      </m:num>
                      <m:den>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rPr>
                              <m:t>g</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K</m:t>
                            </m:r>
                          </m:e>
                          <m:sub>
                            <m:r>
                              <m:rPr>
                                <m:sty m:val="p"/>
                              </m:rPr>
                              <w:rPr>
                                <w:rFonts w:ascii="Cambria Math" w:hAnsi="Cambria Math" w:cs="Times New Roman"/>
                                <w:sz w:val="21"/>
                                <w:szCs w:val="21"/>
                              </w:rPr>
                              <m:t>I</m:t>
                            </m:r>
                          </m:sub>
                        </m:sSub>
                      </m:den>
                    </m:f>
                  </m:den>
                </m:f>
              </m:oMath>
            </m:oMathPara>
          </w:p>
        </w:tc>
        <w:tc>
          <w:tcPr>
            <w:tcW w:w="3499" w:type="dxa"/>
          </w:tcPr>
          <w:p w14:paraId="19E9C81C" w14:textId="77777777" w:rsidR="00B46179" w:rsidRPr="009E464F" w:rsidRDefault="003275AF" w:rsidP="0083505F">
            <w:pPr>
              <w:spacing w:line="500" w:lineRule="exact"/>
              <w:ind w:firstLine="420"/>
              <w:rPr>
                <w:rFonts w:cs="Times New Roman"/>
                <w:sz w:val="21"/>
                <w:szCs w:val="21"/>
              </w:rPr>
            </w:pPr>
            <m:oMathPara>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h</m:t>
                    </m:r>
                  </m:sub>
                </m:sSub>
                <m:r>
                  <m:rPr>
                    <m:sty m:val="p"/>
                  </m:rPr>
                  <w:rPr>
                    <w:rFonts w:ascii="Cambria Math" w:hAnsi="Cambria Math" w:cs="Times New Roman"/>
                    <w:sz w:val="21"/>
                    <w:szCs w:val="21"/>
                  </w:rPr>
                  <m:t>=</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k</m:t>
                        </m:r>
                      </m:e>
                      <m:sub>
                        <m:r>
                          <m:rPr>
                            <m:sty m:val="p"/>
                          </m:rPr>
                          <w:rPr>
                            <w:rFonts w:ascii="Cambria Math" w:hAnsi="Cambria Math" w:cs="Times New Roman"/>
                            <w:sz w:val="21"/>
                            <w:szCs w:val="21"/>
                          </w:rPr>
                          <m:t>deg,h</m:t>
                        </m:r>
                      </m:sub>
                    </m:sSub>
                  </m:num>
                  <m:den>
                    <m:sSub>
                      <m:sSubPr>
                        <m:ctrlPr>
                          <w:rPr>
                            <w:rFonts w:ascii="Cambria Math" w:hAnsi="Cambria Math" w:cs="Times New Roman"/>
                            <w:sz w:val="21"/>
                            <w:szCs w:val="21"/>
                          </w:rPr>
                        </m:ctrlPr>
                      </m:sSubPr>
                      <m:e>
                        <m:r>
                          <m:rPr>
                            <m:sty m:val="p"/>
                          </m:rPr>
                          <w:rPr>
                            <w:rFonts w:ascii="Cambria Math" w:hAnsi="Cambria Math" w:cs="Times New Roman"/>
                            <w:sz w:val="21"/>
                            <w:szCs w:val="21"/>
                          </w:rPr>
                          <m:t>k</m:t>
                        </m:r>
                      </m:e>
                      <m:sub>
                        <m:r>
                          <m:rPr>
                            <m:sty m:val="p"/>
                          </m:rPr>
                          <w:rPr>
                            <w:rFonts w:ascii="Cambria Math" w:hAnsi="Cambria Math" w:cs="Times New Roman"/>
                            <w:sz w:val="21"/>
                            <w:szCs w:val="21"/>
                          </w:rPr>
                          <m:t>deg,h</m:t>
                        </m:r>
                      </m:sub>
                    </m:sSub>
                    <m:r>
                      <m:rPr>
                        <m:sty m:val="p"/>
                      </m:rPr>
                      <w:rPr>
                        <w:rFonts w:ascii="Cambria Math" w:hAnsi="Cambria Math" w:cs="Times New Roman"/>
                        <w:sz w:val="21"/>
                        <w:szCs w:val="21"/>
                      </w:rPr>
                      <m:t>+</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rPr>
                              <m:t>h</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k</m:t>
                            </m:r>
                          </m:e>
                          <m:sub>
                            <m:r>
                              <m:rPr>
                                <m:sty m:val="p"/>
                              </m:rPr>
                              <w:rPr>
                                <w:rFonts w:ascii="Cambria Math" w:hAnsi="Cambria Math" w:cs="Times New Roman"/>
                                <w:sz w:val="21"/>
                                <w:szCs w:val="21"/>
                              </w:rPr>
                              <m:t>inact</m:t>
                            </m:r>
                          </m:sub>
                        </m:sSub>
                      </m:num>
                      <m:den>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rPr>
                              <m:t>h</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K</m:t>
                            </m:r>
                          </m:e>
                          <m:sub>
                            <m:r>
                              <m:rPr>
                                <m:sty m:val="p"/>
                              </m:rPr>
                              <w:rPr>
                                <w:rFonts w:ascii="Cambria Math" w:hAnsi="Cambria Math" w:cs="Times New Roman"/>
                                <w:sz w:val="21"/>
                                <w:szCs w:val="21"/>
                              </w:rPr>
                              <m:t>I</m:t>
                            </m:r>
                          </m:sub>
                        </m:sSub>
                      </m:den>
                    </m:f>
                  </m:den>
                </m:f>
              </m:oMath>
            </m:oMathPara>
          </w:p>
        </w:tc>
      </w:tr>
      <w:tr w:rsidR="00B46179" w:rsidRPr="009E464F" w14:paraId="659CC682" w14:textId="77777777" w:rsidTr="0083505F">
        <w:trPr>
          <w:trHeight w:val="624"/>
        </w:trPr>
        <w:tc>
          <w:tcPr>
            <w:tcW w:w="2730" w:type="dxa"/>
            <w:tcBorders>
              <w:bottom w:val="single" w:sz="4" w:space="0" w:color="auto"/>
            </w:tcBorders>
            <w:vAlign w:val="center"/>
          </w:tcPr>
          <w:p w14:paraId="1E992728" w14:textId="77777777" w:rsidR="00B46179" w:rsidRPr="009E464F" w:rsidRDefault="00B46179" w:rsidP="0083505F">
            <w:pPr>
              <w:spacing w:line="500" w:lineRule="exact"/>
              <w:ind w:firstLine="420"/>
              <w:jc w:val="center"/>
              <w:rPr>
                <w:rFonts w:cs="Times New Roman"/>
                <w:sz w:val="21"/>
                <w:szCs w:val="21"/>
              </w:rPr>
            </w:pPr>
            <w:r w:rsidRPr="009E464F">
              <w:rPr>
                <w:rFonts w:cs="Times New Roman"/>
                <w:sz w:val="21"/>
                <w:szCs w:val="21"/>
              </w:rPr>
              <w:t>诱导</w:t>
            </w:r>
          </w:p>
        </w:tc>
        <w:tc>
          <w:tcPr>
            <w:tcW w:w="3423" w:type="dxa"/>
            <w:tcBorders>
              <w:bottom w:val="single" w:sz="4" w:space="0" w:color="auto"/>
            </w:tcBorders>
          </w:tcPr>
          <w:p w14:paraId="747FE5EC" w14:textId="3D652236" w:rsidR="00B46179" w:rsidRPr="009E464F" w:rsidRDefault="003275AF" w:rsidP="0083505F">
            <w:pPr>
              <w:spacing w:line="500" w:lineRule="exact"/>
              <w:ind w:firstLine="420"/>
              <w:rPr>
                <w:rFonts w:cs="Times New Roman"/>
                <w:sz w:val="21"/>
                <w:szCs w:val="21"/>
              </w:rPr>
            </w:pPr>
            <m:oMathPara>
              <m:oMath>
                <m:sSub>
                  <m:sSubPr>
                    <m:ctrlPr>
                      <w:rPr>
                        <w:rFonts w:ascii="Cambria Math" w:hAnsi="Cambria Math" w:cs="Times New Roman"/>
                        <w:sz w:val="21"/>
                        <w:szCs w:val="21"/>
                      </w:rPr>
                    </m:ctrlPr>
                  </m:sSubPr>
                  <m:e>
                    <m:r>
                      <m:rPr>
                        <m:sty m:val="p"/>
                      </m:rPr>
                      <w:rPr>
                        <w:rFonts w:ascii="Cambria Math" w:hAnsi="Cambria Math" w:cs="Times New Roman"/>
                        <w:sz w:val="21"/>
                        <w:szCs w:val="21"/>
                      </w:rPr>
                      <m:t>C</m:t>
                    </m:r>
                  </m:e>
                  <m:sub>
                    <m:r>
                      <m:rPr>
                        <m:sty m:val="p"/>
                      </m:rPr>
                      <w:rPr>
                        <w:rFonts w:ascii="Cambria Math" w:hAnsi="Cambria Math" w:cs="Times New Roman"/>
                        <w:sz w:val="21"/>
                        <w:szCs w:val="21"/>
                      </w:rPr>
                      <m:t>g</m:t>
                    </m:r>
                  </m:sub>
                </m:sSub>
                <m:r>
                  <m:rPr>
                    <m:sty m:val="p"/>
                  </m:rPr>
                  <w:rPr>
                    <w:rFonts w:ascii="Cambria Math" w:hAnsi="Cambria Math" w:cs="Times New Roman"/>
                    <w:sz w:val="21"/>
                    <w:szCs w:val="21"/>
                  </w:rPr>
                  <m:t>=1+</m:t>
                </m:r>
                <m:f>
                  <m:fPr>
                    <m:ctrlPr>
                      <w:rPr>
                        <w:rFonts w:ascii="Cambria Math" w:hAnsi="Cambria Math" w:cs="Times New Roman"/>
                        <w:sz w:val="21"/>
                        <w:szCs w:val="21"/>
                      </w:rPr>
                    </m:ctrlPr>
                  </m:fPr>
                  <m:num>
                    <m:r>
                      <m:rPr>
                        <m:sty m:val="p"/>
                      </m:rPr>
                      <w:rPr>
                        <w:rFonts w:ascii="Cambria Math" w:hAnsi="Cambria Math" w:cs="Times New Roman"/>
                        <w:sz w:val="21"/>
                        <w:szCs w:val="21"/>
                      </w:rPr>
                      <m:t>d</m:t>
                    </m:r>
                    <m:r>
                      <m:rPr>
                        <m:sty m:val="p"/>
                      </m:rPr>
                      <w:rPr>
                        <w:rFonts w:ascii="Cambria Math" w:eastAsia="微软雅黑"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E</m:t>
                        </m:r>
                      </m:e>
                      <m:sub>
                        <m:r>
                          <m:rPr>
                            <m:sty m:val="p"/>
                          </m:rPr>
                          <w:rPr>
                            <w:rFonts w:ascii="Cambria Math" w:hAnsi="Cambria Math" w:cs="Times New Roman"/>
                            <w:sz w:val="21"/>
                            <w:szCs w:val="21"/>
                          </w:rPr>
                          <m:t>max</m:t>
                        </m:r>
                      </m:sub>
                    </m:sSub>
                    <m:r>
                      <m:rPr>
                        <m:sty m:val="p"/>
                      </m:rPr>
                      <w:rPr>
                        <w:rFonts w:ascii="Cambria Math" w:eastAsia="微软雅黑" w:hAnsi="Cambria Math" w:cs="Times New Roman"/>
                        <w:sz w:val="21"/>
                        <w:szCs w:val="21"/>
                      </w:rPr>
                      <m:t>∙</m:t>
                    </m:r>
                    <m:sSub>
                      <m:sSubPr>
                        <m:ctrlPr>
                          <w:rPr>
                            <w:rFonts w:ascii="Cambria Math" w:hAnsi="Cambria Math" w:cs="Times New Roman"/>
                            <w:sz w:val="21"/>
                            <w:szCs w:val="21"/>
                          </w:rPr>
                        </m:ctrlPr>
                      </m:sSubPr>
                      <m:e>
                        <m:d>
                          <m:dPr>
                            <m:begChr m:val="["/>
                            <m:endChr m:val="]"/>
                            <m:ctrlPr>
                              <w:rPr>
                                <w:rFonts w:ascii="Cambria Math" w:hAnsi="Cambria Math" w:cs="Times New Roman"/>
                                <w:sz w:val="21"/>
                                <w:szCs w:val="21"/>
                              </w:rPr>
                            </m:ctrlPr>
                          </m:dPr>
                          <m:e>
                            <m:r>
                              <m:rPr>
                                <m:sty m:val="p"/>
                              </m:rPr>
                              <w:rPr>
                                <w:rFonts w:ascii="Cambria Math" w:hAnsi="Cambria Math" w:cs="Times New Roman"/>
                                <w:sz w:val="21"/>
                                <w:szCs w:val="21"/>
                              </w:rPr>
                              <m:t>I</m:t>
                            </m:r>
                          </m:e>
                        </m:d>
                      </m:e>
                      <m:sub>
                        <m:r>
                          <m:rPr>
                            <m:sty m:val="p"/>
                          </m:rPr>
                          <w:rPr>
                            <w:rFonts w:ascii="Cambria Math" w:hAnsi="Cambria Math" w:cs="Times New Roman"/>
                            <w:sz w:val="21"/>
                            <w:szCs w:val="21"/>
                          </w:rPr>
                          <m:t>g</m:t>
                        </m:r>
                      </m:sub>
                    </m:sSub>
                  </m:num>
                  <m:den>
                    <m:sSub>
                      <m:sSubPr>
                        <m:ctrlPr>
                          <w:rPr>
                            <w:rFonts w:ascii="Cambria Math" w:hAnsi="Cambria Math" w:cs="Times New Roman"/>
                            <w:sz w:val="21"/>
                            <w:szCs w:val="21"/>
                          </w:rPr>
                        </m:ctrlPr>
                      </m:sSubPr>
                      <m:e>
                        <m:d>
                          <m:dPr>
                            <m:begChr m:val="["/>
                            <m:endChr m:val="]"/>
                            <m:ctrlPr>
                              <w:rPr>
                                <w:rFonts w:ascii="Cambria Math" w:hAnsi="Cambria Math" w:cs="Times New Roman"/>
                                <w:sz w:val="21"/>
                                <w:szCs w:val="21"/>
                              </w:rPr>
                            </m:ctrlPr>
                          </m:dPr>
                          <m:e>
                            <m:r>
                              <m:rPr>
                                <m:sty m:val="p"/>
                              </m:rPr>
                              <w:rPr>
                                <w:rFonts w:ascii="Cambria Math" w:hAnsi="Cambria Math" w:cs="Times New Roman"/>
                                <w:sz w:val="21"/>
                                <w:szCs w:val="21"/>
                              </w:rPr>
                              <m:t>I</m:t>
                            </m:r>
                          </m:e>
                        </m:d>
                      </m:e>
                      <m:sub>
                        <m:r>
                          <m:rPr>
                            <m:sty m:val="p"/>
                          </m:rPr>
                          <w:rPr>
                            <w:rFonts w:ascii="Cambria Math" w:hAnsi="Cambria Math" w:cs="Times New Roman"/>
                            <w:sz w:val="21"/>
                            <w:szCs w:val="21"/>
                          </w:rPr>
                          <m:t>g</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EC</m:t>
                        </m:r>
                      </m:e>
                      <m:sub>
                        <m:r>
                          <m:rPr>
                            <m:sty m:val="p"/>
                          </m:rPr>
                          <w:rPr>
                            <w:rFonts w:ascii="Cambria Math" w:hAnsi="Cambria Math" w:cs="Times New Roman"/>
                            <w:sz w:val="21"/>
                            <w:szCs w:val="21"/>
                          </w:rPr>
                          <m:t>50</m:t>
                        </m:r>
                      </m:sub>
                    </m:sSub>
                  </m:den>
                </m:f>
              </m:oMath>
            </m:oMathPara>
          </w:p>
        </w:tc>
        <w:tc>
          <w:tcPr>
            <w:tcW w:w="3499" w:type="dxa"/>
            <w:tcBorders>
              <w:bottom w:val="single" w:sz="4" w:space="0" w:color="auto"/>
            </w:tcBorders>
          </w:tcPr>
          <w:p w14:paraId="69A47802" w14:textId="77777777" w:rsidR="00B46179" w:rsidRPr="009E464F" w:rsidRDefault="003275AF" w:rsidP="0083505F">
            <w:pPr>
              <w:spacing w:line="500" w:lineRule="exact"/>
              <w:ind w:firstLine="420"/>
              <w:rPr>
                <w:rFonts w:cs="Times New Roman"/>
                <w:sz w:val="21"/>
                <w:szCs w:val="21"/>
              </w:rPr>
            </w:pPr>
            <m:oMathPara>
              <m:oMath>
                <m:sSub>
                  <m:sSubPr>
                    <m:ctrlPr>
                      <w:rPr>
                        <w:rFonts w:ascii="Cambria Math" w:hAnsi="Cambria Math" w:cs="Times New Roman"/>
                        <w:sz w:val="21"/>
                        <w:szCs w:val="21"/>
                      </w:rPr>
                    </m:ctrlPr>
                  </m:sSubPr>
                  <m:e>
                    <m:r>
                      <m:rPr>
                        <m:sty m:val="p"/>
                      </m:rPr>
                      <w:rPr>
                        <w:rFonts w:ascii="Cambria Math" w:hAnsi="Cambria Math" w:cs="Times New Roman"/>
                        <w:sz w:val="21"/>
                        <w:szCs w:val="21"/>
                      </w:rPr>
                      <m:t>C</m:t>
                    </m:r>
                  </m:e>
                  <m:sub>
                    <m:r>
                      <m:rPr>
                        <m:sty m:val="p"/>
                      </m:rPr>
                      <w:rPr>
                        <w:rFonts w:ascii="Cambria Math" w:hAnsi="Cambria Math" w:cs="Times New Roman"/>
                        <w:sz w:val="21"/>
                        <w:szCs w:val="21"/>
                      </w:rPr>
                      <m:t>h</m:t>
                    </m:r>
                  </m:sub>
                </m:sSub>
                <m:r>
                  <m:rPr>
                    <m:sty m:val="p"/>
                  </m:rPr>
                  <w:rPr>
                    <w:rFonts w:ascii="Cambria Math" w:hAnsi="Cambria Math" w:cs="Times New Roman"/>
                    <w:sz w:val="21"/>
                    <w:szCs w:val="21"/>
                  </w:rPr>
                  <m:t>=1+</m:t>
                </m:r>
                <m:f>
                  <m:fPr>
                    <m:ctrlPr>
                      <w:rPr>
                        <w:rFonts w:ascii="Cambria Math" w:hAnsi="Cambria Math" w:cs="Times New Roman"/>
                        <w:sz w:val="21"/>
                        <w:szCs w:val="21"/>
                      </w:rPr>
                    </m:ctrlPr>
                  </m:fPr>
                  <m:num>
                    <m:r>
                      <m:rPr>
                        <m:sty m:val="p"/>
                      </m:rPr>
                      <w:rPr>
                        <w:rFonts w:ascii="Cambria Math" w:hAnsi="Cambria Math" w:cs="Times New Roman"/>
                        <w:sz w:val="21"/>
                        <w:szCs w:val="21"/>
                      </w:rPr>
                      <m:t>d</m:t>
                    </m:r>
                    <m:r>
                      <m:rPr>
                        <m:sty m:val="p"/>
                      </m:rPr>
                      <w:rPr>
                        <w:rFonts w:ascii="Cambria Math" w:eastAsia="微软雅黑"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E</m:t>
                        </m:r>
                      </m:e>
                      <m:sub>
                        <m:r>
                          <m:rPr>
                            <m:sty m:val="p"/>
                          </m:rPr>
                          <w:rPr>
                            <w:rFonts w:ascii="Cambria Math" w:hAnsi="Cambria Math" w:cs="Times New Roman"/>
                            <w:sz w:val="21"/>
                            <w:szCs w:val="21"/>
                          </w:rPr>
                          <m:t>max</m:t>
                        </m:r>
                      </m:sub>
                    </m:sSub>
                    <m:r>
                      <m:rPr>
                        <m:sty m:val="p"/>
                      </m:rPr>
                      <w:rPr>
                        <w:rFonts w:ascii="Cambria Math" w:eastAsia="微软雅黑"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rPr>
                          <m:t>h</m:t>
                        </m:r>
                      </m:sub>
                    </m:sSub>
                  </m:num>
                  <m:den>
                    <m:sSub>
                      <m:sSubPr>
                        <m:ctrlPr>
                          <w:rPr>
                            <w:rFonts w:ascii="Cambria Math" w:hAnsi="Cambria Math" w:cs="Times New Roman"/>
                            <w:sz w:val="21"/>
                            <w:szCs w:val="21"/>
                          </w:rPr>
                        </m:ctrlPr>
                      </m:sSubPr>
                      <m:e>
                        <m:r>
                          <m:rPr>
                            <m:sty m:val="p"/>
                          </m:rPr>
                          <w:rPr>
                            <w:rFonts w:ascii="Cambria Math" w:hAnsi="Cambria Math" w:cs="Times New Roman"/>
                            <w:sz w:val="21"/>
                            <w:szCs w:val="21"/>
                          </w:rPr>
                          <m:t>[I]</m:t>
                        </m:r>
                      </m:e>
                      <m:sub>
                        <m:r>
                          <m:rPr>
                            <m:sty m:val="p"/>
                          </m:rPr>
                          <w:rPr>
                            <w:rFonts w:ascii="Cambria Math" w:hAnsi="Cambria Math" w:cs="Times New Roman"/>
                            <w:sz w:val="21"/>
                            <w:szCs w:val="21"/>
                          </w:rPr>
                          <m:t>h</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EC</m:t>
                        </m:r>
                      </m:e>
                      <m:sub>
                        <m:r>
                          <m:rPr>
                            <m:sty m:val="p"/>
                          </m:rPr>
                          <w:rPr>
                            <w:rFonts w:ascii="Cambria Math" w:hAnsi="Cambria Math" w:cs="Times New Roman"/>
                            <w:sz w:val="21"/>
                            <w:szCs w:val="21"/>
                          </w:rPr>
                          <m:t>50</m:t>
                        </m:r>
                      </m:sub>
                    </m:sSub>
                  </m:den>
                </m:f>
              </m:oMath>
            </m:oMathPara>
          </w:p>
        </w:tc>
      </w:tr>
      <w:tr w:rsidR="00B46179" w:rsidRPr="009E464F" w14:paraId="02EE1223" w14:textId="77777777" w:rsidTr="0083505F">
        <w:trPr>
          <w:trHeight w:val="194"/>
        </w:trPr>
        <w:tc>
          <w:tcPr>
            <w:tcW w:w="9654" w:type="dxa"/>
            <w:gridSpan w:val="3"/>
            <w:tcBorders>
              <w:top w:val="single" w:sz="4" w:space="0" w:color="auto"/>
              <w:left w:val="single" w:sz="4" w:space="0" w:color="auto"/>
              <w:bottom w:val="nil"/>
              <w:right w:val="single" w:sz="4" w:space="0" w:color="auto"/>
            </w:tcBorders>
          </w:tcPr>
          <w:p w14:paraId="4A7844A4" w14:textId="77777777" w:rsidR="00B46179" w:rsidRPr="009E464F" w:rsidRDefault="00B46179">
            <w:pPr>
              <w:spacing w:line="240" w:lineRule="auto"/>
              <w:ind w:firstLine="420"/>
              <w:rPr>
                <w:rFonts w:cs="Times New Roman"/>
                <w:sz w:val="21"/>
                <w:szCs w:val="21"/>
              </w:rPr>
            </w:pPr>
            <w:r w:rsidRPr="009E464F">
              <w:rPr>
                <w:rFonts w:cs="Times New Roman"/>
                <w:sz w:val="21"/>
                <w:szCs w:val="21"/>
              </w:rPr>
              <w:t>[I]</w:t>
            </w:r>
            <w:r w:rsidRPr="009E464F">
              <w:rPr>
                <w:rFonts w:cs="Times New Roman"/>
                <w:sz w:val="21"/>
                <w:szCs w:val="21"/>
                <w:vertAlign w:val="subscript"/>
              </w:rPr>
              <w:t>h</w:t>
            </w:r>
            <w:r w:rsidRPr="009E464F">
              <w:rPr>
                <w:rFonts w:cs="Times New Roman"/>
                <w:sz w:val="21"/>
                <w:szCs w:val="21"/>
              </w:rPr>
              <w:t>=</w:t>
            </w:r>
            <w:proofErr w:type="spellStart"/>
            <w:r w:rsidRPr="009E464F">
              <w:rPr>
                <w:rFonts w:cs="Times New Roman"/>
                <w:sz w:val="21"/>
                <w:szCs w:val="21"/>
              </w:rPr>
              <w:t>f</w:t>
            </w:r>
            <w:r w:rsidRPr="009E464F">
              <w:rPr>
                <w:rFonts w:cs="Times New Roman"/>
                <w:sz w:val="21"/>
                <w:szCs w:val="21"/>
                <w:vertAlign w:val="subscript"/>
              </w:rPr>
              <w:t>u,p</w:t>
            </w:r>
            <w:proofErr w:type="spellEnd"/>
            <w:r w:rsidRPr="009E464F">
              <w:rPr>
                <w:rFonts w:cs="Times New Roman"/>
                <w:sz w:val="21"/>
                <w:szCs w:val="21"/>
              </w:rPr>
              <w:t>×(</w:t>
            </w:r>
            <w:proofErr w:type="spellStart"/>
            <w:r w:rsidRPr="009E464F">
              <w:rPr>
                <w:rFonts w:cs="Times New Roman"/>
                <w:sz w:val="21"/>
                <w:szCs w:val="21"/>
              </w:rPr>
              <w:t>C</w:t>
            </w:r>
            <w:r w:rsidRPr="009E464F">
              <w:rPr>
                <w:rFonts w:cs="Times New Roman"/>
                <w:sz w:val="21"/>
                <w:szCs w:val="21"/>
                <w:vertAlign w:val="subscript"/>
              </w:rPr>
              <w:t>max</w:t>
            </w:r>
            <w:r w:rsidRPr="009E464F">
              <w:rPr>
                <w:rFonts w:cs="Times New Roman"/>
                <w:sz w:val="21"/>
                <w:szCs w:val="21"/>
              </w:rPr>
              <w:t>+F</w:t>
            </w:r>
            <w:r w:rsidRPr="009E464F">
              <w:rPr>
                <w:rFonts w:cs="Times New Roman"/>
                <w:sz w:val="21"/>
                <w:szCs w:val="21"/>
                <w:vertAlign w:val="subscript"/>
              </w:rPr>
              <w:t>a</w:t>
            </w:r>
            <w:r w:rsidRPr="009E464F">
              <w:rPr>
                <w:rFonts w:cs="Times New Roman"/>
                <w:sz w:val="21"/>
                <w:szCs w:val="21"/>
              </w:rPr>
              <w:t>×</w:t>
            </w:r>
            <w:r w:rsidR="00127A24" w:rsidRPr="009E464F">
              <w:rPr>
                <w:rFonts w:cs="Times New Roman"/>
                <w:sz w:val="21"/>
                <w:szCs w:val="21"/>
              </w:rPr>
              <w:t>F</w:t>
            </w:r>
            <w:r w:rsidR="00127A24" w:rsidRPr="009E464F">
              <w:rPr>
                <w:rFonts w:cs="Times New Roman"/>
                <w:sz w:val="21"/>
                <w:szCs w:val="21"/>
                <w:vertAlign w:val="subscript"/>
              </w:rPr>
              <w:t>g</w:t>
            </w:r>
            <w:r w:rsidR="00127A24" w:rsidRPr="009E464F">
              <w:rPr>
                <w:rFonts w:cs="Times New Roman"/>
                <w:sz w:val="21"/>
                <w:szCs w:val="21"/>
              </w:rPr>
              <w:t>×</w:t>
            </w:r>
            <w:r w:rsidRPr="009E464F">
              <w:rPr>
                <w:rFonts w:cs="Times New Roman"/>
                <w:sz w:val="21"/>
                <w:szCs w:val="21"/>
              </w:rPr>
              <w:t>k</w:t>
            </w:r>
            <w:r w:rsidRPr="009E464F">
              <w:rPr>
                <w:rFonts w:cs="Times New Roman"/>
                <w:sz w:val="21"/>
                <w:szCs w:val="21"/>
                <w:vertAlign w:val="subscript"/>
              </w:rPr>
              <w:t>a</w:t>
            </w:r>
            <w:r w:rsidRPr="009E464F">
              <w:rPr>
                <w:rFonts w:cs="Times New Roman"/>
                <w:sz w:val="21"/>
                <w:szCs w:val="21"/>
              </w:rPr>
              <w:t>×Dose</w:t>
            </w:r>
            <w:proofErr w:type="spellEnd"/>
            <w:r w:rsidRPr="009E464F">
              <w:rPr>
                <w:rFonts w:cs="Times New Roman"/>
                <w:sz w:val="21"/>
                <w:szCs w:val="21"/>
              </w:rPr>
              <w:t>/</w:t>
            </w:r>
            <w:proofErr w:type="spellStart"/>
            <w:r w:rsidRPr="009E464F">
              <w:rPr>
                <w:rFonts w:cs="Times New Roman"/>
                <w:sz w:val="21"/>
                <w:szCs w:val="21"/>
              </w:rPr>
              <w:t>Q</w:t>
            </w:r>
            <w:r w:rsidRPr="009E464F">
              <w:rPr>
                <w:rFonts w:cs="Times New Roman"/>
                <w:sz w:val="21"/>
                <w:szCs w:val="21"/>
                <w:vertAlign w:val="subscript"/>
              </w:rPr>
              <w:t>h</w:t>
            </w:r>
            <w:proofErr w:type="spellEnd"/>
            <w:r w:rsidRPr="009E464F">
              <w:rPr>
                <w:rFonts w:cs="Times New Roman"/>
                <w:sz w:val="21"/>
                <w:szCs w:val="21"/>
              </w:rPr>
              <w:t>/R</w:t>
            </w:r>
            <w:r w:rsidRPr="009E464F">
              <w:rPr>
                <w:rFonts w:cs="Times New Roman"/>
                <w:sz w:val="21"/>
                <w:szCs w:val="21"/>
                <w:vertAlign w:val="subscript"/>
              </w:rPr>
              <w:t>B</w:t>
            </w:r>
            <w:r w:rsidRPr="009E464F">
              <w:rPr>
                <w:rFonts w:cs="Times New Roman"/>
                <w:sz w:val="21"/>
                <w:szCs w:val="21"/>
              </w:rPr>
              <w:t>)</w:t>
            </w:r>
          </w:p>
        </w:tc>
      </w:tr>
      <w:tr w:rsidR="00B46179" w:rsidRPr="009E464F" w14:paraId="17316732" w14:textId="77777777" w:rsidTr="0083505F">
        <w:trPr>
          <w:trHeight w:val="208"/>
        </w:trPr>
        <w:tc>
          <w:tcPr>
            <w:tcW w:w="9654" w:type="dxa"/>
            <w:gridSpan w:val="3"/>
            <w:tcBorders>
              <w:top w:val="nil"/>
              <w:left w:val="single" w:sz="4" w:space="0" w:color="auto"/>
              <w:bottom w:val="nil"/>
              <w:right w:val="single" w:sz="4" w:space="0" w:color="auto"/>
            </w:tcBorders>
          </w:tcPr>
          <w:p w14:paraId="023A71EE" w14:textId="77777777" w:rsidR="00B46179" w:rsidRPr="009E464F" w:rsidRDefault="00B46179">
            <w:pPr>
              <w:spacing w:line="240" w:lineRule="auto"/>
              <w:ind w:firstLine="420"/>
              <w:rPr>
                <w:rFonts w:cs="Times New Roman"/>
                <w:sz w:val="21"/>
                <w:szCs w:val="21"/>
              </w:rPr>
            </w:pPr>
            <w:r w:rsidRPr="009E464F">
              <w:rPr>
                <w:rFonts w:cs="Times New Roman"/>
                <w:sz w:val="21"/>
                <w:szCs w:val="21"/>
              </w:rPr>
              <w:t>[I]</w:t>
            </w:r>
            <w:r w:rsidRPr="009E464F">
              <w:rPr>
                <w:rFonts w:cs="Times New Roman"/>
                <w:sz w:val="21"/>
                <w:szCs w:val="21"/>
                <w:vertAlign w:val="subscript"/>
              </w:rPr>
              <w:t>g</w:t>
            </w:r>
            <w:r w:rsidRPr="009E464F">
              <w:rPr>
                <w:rFonts w:cs="Times New Roman"/>
                <w:sz w:val="21"/>
                <w:szCs w:val="21"/>
              </w:rPr>
              <w:t>=</w:t>
            </w:r>
            <w:proofErr w:type="spellStart"/>
            <w:r w:rsidRPr="009E464F">
              <w:rPr>
                <w:rFonts w:cs="Times New Roman"/>
                <w:sz w:val="21"/>
                <w:szCs w:val="21"/>
              </w:rPr>
              <w:t>F</w:t>
            </w:r>
            <w:r w:rsidRPr="009E464F">
              <w:rPr>
                <w:rFonts w:cs="Times New Roman"/>
                <w:sz w:val="21"/>
                <w:szCs w:val="21"/>
                <w:vertAlign w:val="subscript"/>
              </w:rPr>
              <w:t>a</w:t>
            </w:r>
            <w:r w:rsidRPr="009E464F">
              <w:rPr>
                <w:rFonts w:cs="Times New Roman"/>
                <w:sz w:val="21"/>
                <w:szCs w:val="21"/>
              </w:rPr>
              <w:t>×k</w:t>
            </w:r>
            <w:r w:rsidRPr="009E464F">
              <w:rPr>
                <w:rFonts w:cs="Times New Roman"/>
                <w:sz w:val="21"/>
                <w:szCs w:val="21"/>
                <w:vertAlign w:val="subscript"/>
              </w:rPr>
              <w:t>a</w:t>
            </w:r>
            <w:r w:rsidRPr="009E464F">
              <w:rPr>
                <w:rFonts w:cs="Times New Roman"/>
                <w:sz w:val="21"/>
                <w:szCs w:val="21"/>
              </w:rPr>
              <w:t>×Dose</w:t>
            </w:r>
            <w:proofErr w:type="spellEnd"/>
            <w:r w:rsidRPr="009E464F">
              <w:rPr>
                <w:rFonts w:cs="Times New Roman"/>
                <w:sz w:val="21"/>
                <w:szCs w:val="21"/>
              </w:rPr>
              <w:t>/</w:t>
            </w:r>
            <w:proofErr w:type="spellStart"/>
            <w:r w:rsidRPr="009E464F">
              <w:rPr>
                <w:rFonts w:cs="Times New Roman"/>
                <w:sz w:val="21"/>
                <w:szCs w:val="21"/>
              </w:rPr>
              <w:t>Q</w:t>
            </w:r>
            <w:r w:rsidRPr="009E464F">
              <w:rPr>
                <w:rFonts w:cs="Times New Roman"/>
                <w:sz w:val="21"/>
                <w:szCs w:val="21"/>
                <w:vertAlign w:val="subscript"/>
              </w:rPr>
              <w:t>en</w:t>
            </w:r>
            <w:proofErr w:type="spellEnd"/>
          </w:p>
        </w:tc>
      </w:tr>
      <w:tr w:rsidR="00B46179" w:rsidRPr="009E464F" w14:paraId="7A564F16" w14:textId="77777777" w:rsidTr="0083505F">
        <w:trPr>
          <w:trHeight w:val="468"/>
        </w:trPr>
        <w:tc>
          <w:tcPr>
            <w:tcW w:w="9654" w:type="dxa"/>
            <w:gridSpan w:val="3"/>
            <w:tcBorders>
              <w:top w:val="nil"/>
              <w:left w:val="single" w:sz="4" w:space="0" w:color="auto"/>
              <w:bottom w:val="nil"/>
              <w:right w:val="single" w:sz="4" w:space="0" w:color="auto"/>
            </w:tcBorders>
          </w:tcPr>
          <w:p w14:paraId="5D50A853" w14:textId="4D5114D6" w:rsidR="00B46179" w:rsidRPr="009E464F" w:rsidRDefault="00B46179">
            <w:pPr>
              <w:spacing w:line="240" w:lineRule="auto"/>
              <w:ind w:firstLine="420"/>
              <w:rPr>
                <w:rFonts w:cs="Times New Roman"/>
                <w:sz w:val="21"/>
                <w:szCs w:val="21"/>
              </w:rPr>
            </w:pPr>
            <w:proofErr w:type="spellStart"/>
            <w:r w:rsidRPr="009E464F">
              <w:rPr>
                <w:rFonts w:cs="Times New Roman"/>
                <w:sz w:val="21"/>
                <w:szCs w:val="21"/>
              </w:rPr>
              <w:t>f</w:t>
            </w:r>
            <w:r w:rsidRPr="009E464F">
              <w:rPr>
                <w:rFonts w:cs="Times New Roman"/>
                <w:sz w:val="21"/>
                <w:szCs w:val="21"/>
                <w:vertAlign w:val="subscript"/>
              </w:rPr>
              <w:t>u,p</w:t>
            </w:r>
            <w:proofErr w:type="spellEnd"/>
            <w:r w:rsidR="00C47636">
              <w:rPr>
                <w:rFonts w:cs="Times New Roman" w:hint="eastAsia"/>
                <w:sz w:val="21"/>
                <w:szCs w:val="21"/>
              </w:rPr>
              <w:t>：</w:t>
            </w:r>
            <w:r w:rsidRPr="009E464F">
              <w:rPr>
                <w:rFonts w:cs="Times New Roman"/>
                <w:sz w:val="21"/>
                <w:szCs w:val="21"/>
              </w:rPr>
              <w:t>药物在血浆中的游离分数。当由于血浆蛋白结合率高而难以精确测量时</w:t>
            </w:r>
            <w:r w:rsidR="00F941E9" w:rsidRPr="009E464F">
              <w:rPr>
                <w:rFonts w:cs="Times New Roman"/>
                <w:sz w:val="21"/>
                <w:szCs w:val="21"/>
              </w:rPr>
              <w:t>（</w:t>
            </w:r>
            <w:r w:rsidRPr="009E464F">
              <w:rPr>
                <w:rFonts w:cs="Times New Roman"/>
                <w:sz w:val="21"/>
                <w:szCs w:val="21"/>
              </w:rPr>
              <w:t>即</w:t>
            </w:r>
            <w:proofErr w:type="spellStart"/>
            <w:r w:rsidRPr="009E464F">
              <w:rPr>
                <w:rFonts w:cs="Times New Roman"/>
                <w:sz w:val="21"/>
                <w:szCs w:val="21"/>
              </w:rPr>
              <w:t>fu,p</w:t>
            </w:r>
            <w:proofErr w:type="spellEnd"/>
            <w:r w:rsidRPr="009E464F">
              <w:rPr>
                <w:rFonts w:cs="Times New Roman"/>
                <w:sz w:val="21"/>
                <w:szCs w:val="21"/>
              </w:rPr>
              <w:t>&lt;0.01</w:t>
            </w:r>
            <w:r w:rsidR="00F941E9" w:rsidRPr="009E464F">
              <w:rPr>
                <w:rFonts w:cs="Times New Roman"/>
                <w:sz w:val="21"/>
                <w:szCs w:val="21"/>
              </w:rPr>
              <w:t>）</w:t>
            </w:r>
            <w:r w:rsidRPr="009E464F">
              <w:rPr>
                <w:rFonts w:cs="Times New Roman"/>
                <w:sz w:val="21"/>
                <w:szCs w:val="21"/>
              </w:rPr>
              <w:t>，</w:t>
            </w:r>
            <w:proofErr w:type="spellStart"/>
            <w:r w:rsidRPr="009E464F">
              <w:rPr>
                <w:rFonts w:cs="Times New Roman"/>
                <w:sz w:val="21"/>
                <w:szCs w:val="21"/>
              </w:rPr>
              <w:t>f</w:t>
            </w:r>
            <w:r w:rsidRPr="009E464F">
              <w:rPr>
                <w:rFonts w:cs="Times New Roman"/>
                <w:sz w:val="21"/>
                <w:szCs w:val="21"/>
                <w:vertAlign w:val="subscript"/>
              </w:rPr>
              <w:t>u,p</w:t>
            </w:r>
            <w:proofErr w:type="spellEnd"/>
            <w:r w:rsidRPr="009E464F">
              <w:rPr>
                <w:rFonts w:cs="Times New Roman"/>
                <w:sz w:val="21"/>
                <w:szCs w:val="21"/>
              </w:rPr>
              <w:t>应取</w:t>
            </w:r>
            <w:r w:rsidRPr="009E464F">
              <w:rPr>
                <w:rFonts w:cs="Times New Roman"/>
                <w:sz w:val="21"/>
                <w:szCs w:val="21"/>
              </w:rPr>
              <w:t>0.01</w:t>
            </w:r>
            <w:r w:rsidRPr="009E464F">
              <w:rPr>
                <w:rFonts w:cs="Times New Roman"/>
                <w:sz w:val="21"/>
                <w:szCs w:val="21"/>
              </w:rPr>
              <w:t>。</w:t>
            </w:r>
          </w:p>
        </w:tc>
      </w:tr>
      <w:tr w:rsidR="00B46179" w:rsidRPr="009E464F" w14:paraId="2AEC46F9" w14:textId="77777777" w:rsidTr="0083505F">
        <w:trPr>
          <w:trHeight w:val="935"/>
        </w:trPr>
        <w:tc>
          <w:tcPr>
            <w:tcW w:w="9654" w:type="dxa"/>
            <w:gridSpan w:val="3"/>
            <w:tcBorders>
              <w:top w:val="nil"/>
              <w:left w:val="single" w:sz="4" w:space="0" w:color="auto"/>
              <w:bottom w:val="nil"/>
              <w:right w:val="single" w:sz="4" w:space="0" w:color="auto"/>
            </w:tcBorders>
          </w:tcPr>
          <w:p w14:paraId="5C24EBF0" w14:textId="3A993880" w:rsidR="00B46179" w:rsidRPr="009E464F" w:rsidRDefault="00B46179">
            <w:pPr>
              <w:spacing w:line="240" w:lineRule="auto"/>
              <w:ind w:firstLine="420"/>
              <w:rPr>
                <w:rFonts w:cs="Times New Roman"/>
                <w:sz w:val="21"/>
                <w:szCs w:val="21"/>
              </w:rPr>
            </w:pPr>
            <w:proofErr w:type="spellStart"/>
            <w:r w:rsidRPr="009E464F">
              <w:rPr>
                <w:rFonts w:cs="Times New Roman"/>
                <w:sz w:val="21"/>
                <w:szCs w:val="21"/>
              </w:rPr>
              <w:t>C</w:t>
            </w:r>
            <w:r w:rsidRPr="009E464F">
              <w:rPr>
                <w:rFonts w:cs="Times New Roman"/>
                <w:sz w:val="21"/>
                <w:szCs w:val="21"/>
                <w:vertAlign w:val="subscript"/>
              </w:rPr>
              <w:t>max</w:t>
            </w:r>
            <w:proofErr w:type="spellEnd"/>
            <w:r w:rsidR="00C47636">
              <w:rPr>
                <w:rFonts w:cs="Times New Roman" w:hint="eastAsia"/>
                <w:sz w:val="21"/>
                <w:szCs w:val="21"/>
              </w:rPr>
              <w:t>：</w:t>
            </w:r>
            <w:r w:rsidRPr="009E464F">
              <w:rPr>
                <w:rFonts w:cs="Times New Roman"/>
                <w:sz w:val="21"/>
                <w:szCs w:val="21"/>
              </w:rPr>
              <w:t>稳态时血浆中最大抑制剂总浓度（即游离部分加上结合部分）</w:t>
            </w:r>
          </w:p>
          <w:p w14:paraId="0F7C343A" w14:textId="2319496A" w:rsidR="00B46179" w:rsidRPr="009E464F" w:rsidRDefault="00B46179">
            <w:pPr>
              <w:spacing w:line="240" w:lineRule="auto"/>
              <w:ind w:firstLine="420"/>
              <w:rPr>
                <w:rFonts w:cs="Times New Roman"/>
                <w:sz w:val="21"/>
                <w:szCs w:val="21"/>
              </w:rPr>
            </w:pPr>
            <w:r w:rsidRPr="009E464F">
              <w:rPr>
                <w:rFonts w:cs="Times New Roman"/>
                <w:sz w:val="21"/>
                <w:szCs w:val="21"/>
              </w:rPr>
              <w:t>d</w:t>
            </w:r>
            <w:r w:rsidR="00C47636">
              <w:rPr>
                <w:rFonts w:cs="Times New Roman" w:hint="eastAsia"/>
                <w:sz w:val="21"/>
                <w:szCs w:val="21"/>
              </w:rPr>
              <w:t>：</w:t>
            </w:r>
            <w:r w:rsidRPr="009E464F">
              <w:rPr>
                <w:rFonts w:cs="Times New Roman"/>
                <w:sz w:val="21"/>
                <w:szCs w:val="21"/>
              </w:rPr>
              <w:t>基于对照</w:t>
            </w:r>
            <w:proofErr w:type="gramStart"/>
            <w:r w:rsidRPr="009E464F">
              <w:rPr>
                <w:rFonts w:cs="Times New Roman"/>
                <w:sz w:val="21"/>
                <w:szCs w:val="21"/>
              </w:rPr>
              <w:t>数据集做线性回归</w:t>
            </w:r>
            <w:proofErr w:type="gramEnd"/>
            <w:r w:rsidRPr="009E464F">
              <w:rPr>
                <w:rFonts w:cs="Times New Roman"/>
                <w:sz w:val="21"/>
                <w:szCs w:val="21"/>
              </w:rPr>
              <w:t>获得的比例系数，即根据对照诱导剂在体外获得的诱导参数预测诱导剂在体内对于某一特定</w:t>
            </w:r>
            <w:r w:rsidR="0041179C" w:rsidRPr="009E464F">
              <w:rPr>
                <w:rFonts w:cs="Times New Roman"/>
                <w:sz w:val="21"/>
                <w:szCs w:val="21"/>
              </w:rPr>
              <w:t>指针</w:t>
            </w:r>
            <w:r w:rsidRPr="009E464F">
              <w:rPr>
                <w:rFonts w:cs="Times New Roman"/>
                <w:sz w:val="21"/>
                <w:szCs w:val="21"/>
              </w:rPr>
              <w:t>药物的影响，</w:t>
            </w:r>
            <w:r w:rsidRPr="009E464F">
              <w:rPr>
                <w:rFonts w:cs="Times New Roman"/>
                <w:sz w:val="21"/>
                <w:szCs w:val="21"/>
              </w:rPr>
              <w:t xml:space="preserve"> </w:t>
            </w:r>
            <w:r w:rsidRPr="009E464F">
              <w:rPr>
                <w:rFonts w:cs="Times New Roman"/>
                <w:sz w:val="21"/>
                <w:szCs w:val="21"/>
              </w:rPr>
              <w:t>随后将预测效应与体内</w:t>
            </w:r>
            <w:r w:rsidR="0041179C" w:rsidRPr="009E464F">
              <w:rPr>
                <w:rFonts w:cs="Times New Roman"/>
                <w:sz w:val="21"/>
                <w:szCs w:val="21"/>
              </w:rPr>
              <w:t>指针</w:t>
            </w:r>
            <w:r w:rsidRPr="009E464F">
              <w:rPr>
                <w:rFonts w:cs="Times New Roman"/>
                <w:sz w:val="21"/>
                <w:szCs w:val="21"/>
              </w:rPr>
              <w:t>药物观察效应进行比较，计算得到的比例系数。</w:t>
            </w:r>
          </w:p>
        </w:tc>
      </w:tr>
      <w:tr w:rsidR="00B46179" w:rsidRPr="009E464F" w14:paraId="4B962F17" w14:textId="77777777" w:rsidTr="0083505F">
        <w:trPr>
          <w:trHeight w:val="234"/>
        </w:trPr>
        <w:tc>
          <w:tcPr>
            <w:tcW w:w="9654" w:type="dxa"/>
            <w:gridSpan w:val="3"/>
            <w:tcBorders>
              <w:top w:val="nil"/>
              <w:left w:val="single" w:sz="4" w:space="0" w:color="auto"/>
              <w:bottom w:val="nil"/>
              <w:right w:val="single" w:sz="4" w:space="0" w:color="auto"/>
            </w:tcBorders>
          </w:tcPr>
          <w:p w14:paraId="456B973F" w14:textId="1C2222DB" w:rsidR="00B46179" w:rsidRPr="009E464F" w:rsidRDefault="00B46179">
            <w:pPr>
              <w:spacing w:line="240" w:lineRule="auto"/>
              <w:ind w:firstLine="420"/>
              <w:rPr>
                <w:rFonts w:cs="Times New Roman"/>
                <w:sz w:val="21"/>
                <w:szCs w:val="21"/>
              </w:rPr>
            </w:pPr>
            <w:r w:rsidRPr="009E464F">
              <w:rPr>
                <w:rFonts w:cs="Times New Roman"/>
                <w:sz w:val="21"/>
                <w:szCs w:val="21"/>
              </w:rPr>
              <w:t>F</w:t>
            </w:r>
            <w:r w:rsidRPr="009E464F">
              <w:rPr>
                <w:rFonts w:cs="Times New Roman"/>
                <w:sz w:val="21"/>
                <w:szCs w:val="21"/>
                <w:vertAlign w:val="subscript"/>
              </w:rPr>
              <w:t>a</w:t>
            </w:r>
            <w:r w:rsidR="00C47636">
              <w:rPr>
                <w:rFonts w:cs="Times New Roman" w:hint="eastAsia"/>
                <w:sz w:val="21"/>
                <w:szCs w:val="21"/>
              </w:rPr>
              <w:t>：</w:t>
            </w:r>
            <w:r w:rsidRPr="009E464F">
              <w:rPr>
                <w:rFonts w:cs="Times New Roman"/>
                <w:sz w:val="21"/>
                <w:szCs w:val="21"/>
              </w:rPr>
              <w:t>口服后的吸收分数，当数据无法获得时，应取</w:t>
            </w:r>
            <w:r w:rsidRPr="009E464F">
              <w:rPr>
                <w:rFonts w:cs="Times New Roman"/>
                <w:sz w:val="21"/>
                <w:szCs w:val="21"/>
              </w:rPr>
              <w:t>1</w:t>
            </w:r>
            <w:r w:rsidRPr="009E464F">
              <w:rPr>
                <w:rFonts w:cs="Times New Roman"/>
                <w:sz w:val="21"/>
                <w:szCs w:val="21"/>
              </w:rPr>
              <w:t>。</w:t>
            </w:r>
          </w:p>
        </w:tc>
      </w:tr>
      <w:tr w:rsidR="00B46179" w:rsidRPr="009E464F" w14:paraId="28BA323F" w14:textId="77777777" w:rsidTr="0083505F">
        <w:trPr>
          <w:trHeight w:val="234"/>
        </w:trPr>
        <w:tc>
          <w:tcPr>
            <w:tcW w:w="9654" w:type="dxa"/>
            <w:gridSpan w:val="3"/>
            <w:tcBorders>
              <w:top w:val="nil"/>
              <w:left w:val="single" w:sz="4" w:space="0" w:color="auto"/>
              <w:bottom w:val="nil"/>
              <w:right w:val="single" w:sz="4" w:space="0" w:color="auto"/>
            </w:tcBorders>
          </w:tcPr>
          <w:p w14:paraId="5B997213" w14:textId="649FD9A3" w:rsidR="00B46179" w:rsidRPr="009E464F" w:rsidRDefault="00B46179">
            <w:pPr>
              <w:spacing w:line="240" w:lineRule="auto"/>
              <w:ind w:firstLine="420"/>
              <w:rPr>
                <w:rFonts w:cs="Times New Roman"/>
                <w:sz w:val="21"/>
                <w:szCs w:val="21"/>
              </w:rPr>
            </w:pPr>
            <w:proofErr w:type="spellStart"/>
            <w:r w:rsidRPr="009E464F">
              <w:rPr>
                <w:rFonts w:cs="Times New Roman"/>
                <w:sz w:val="21"/>
                <w:szCs w:val="21"/>
              </w:rPr>
              <w:t>k</w:t>
            </w:r>
            <w:r w:rsidRPr="009E464F">
              <w:rPr>
                <w:rFonts w:cs="Times New Roman"/>
                <w:sz w:val="21"/>
                <w:szCs w:val="21"/>
                <w:vertAlign w:val="subscript"/>
              </w:rPr>
              <w:t>a</w:t>
            </w:r>
            <w:proofErr w:type="spellEnd"/>
            <w:r w:rsidR="00C47636">
              <w:rPr>
                <w:rFonts w:cs="Times New Roman" w:hint="eastAsia"/>
                <w:sz w:val="21"/>
                <w:szCs w:val="21"/>
              </w:rPr>
              <w:t>：</w:t>
            </w:r>
            <w:r w:rsidRPr="009E464F">
              <w:rPr>
                <w:rFonts w:cs="Times New Roman"/>
                <w:sz w:val="21"/>
                <w:szCs w:val="21"/>
              </w:rPr>
              <w:t>体内一级吸收速率常数，当数据无法获得时，可取值</w:t>
            </w:r>
            <w:r w:rsidRPr="009E464F">
              <w:rPr>
                <w:rFonts w:cs="Times New Roman"/>
                <w:sz w:val="21"/>
                <w:szCs w:val="21"/>
              </w:rPr>
              <w:t>0.1 min</w:t>
            </w:r>
            <w:r w:rsidRPr="009E464F">
              <w:rPr>
                <w:rFonts w:cs="Times New Roman"/>
                <w:sz w:val="21"/>
                <w:szCs w:val="21"/>
                <w:vertAlign w:val="superscript"/>
              </w:rPr>
              <w:t>-1</w:t>
            </w:r>
            <w:r w:rsidRPr="009E464F">
              <w:rPr>
                <w:rFonts w:cs="Times New Roman"/>
                <w:sz w:val="21"/>
                <w:szCs w:val="21"/>
              </w:rPr>
              <w:t>。</w:t>
            </w:r>
          </w:p>
        </w:tc>
      </w:tr>
      <w:tr w:rsidR="00B46179" w:rsidRPr="009E464F" w14:paraId="7FE01AAC" w14:textId="77777777" w:rsidTr="0083505F">
        <w:trPr>
          <w:trHeight w:val="234"/>
        </w:trPr>
        <w:tc>
          <w:tcPr>
            <w:tcW w:w="9654" w:type="dxa"/>
            <w:gridSpan w:val="3"/>
            <w:tcBorders>
              <w:top w:val="nil"/>
              <w:left w:val="single" w:sz="4" w:space="0" w:color="auto"/>
              <w:bottom w:val="nil"/>
              <w:right w:val="single" w:sz="4" w:space="0" w:color="auto"/>
            </w:tcBorders>
          </w:tcPr>
          <w:p w14:paraId="0A267195" w14:textId="636D3740" w:rsidR="00B46179" w:rsidRPr="009E464F" w:rsidRDefault="00B46179">
            <w:pPr>
              <w:spacing w:line="240" w:lineRule="auto"/>
              <w:ind w:firstLine="420"/>
              <w:rPr>
                <w:rFonts w:cs="Times New Roman"/>
                <w:sz w:val="21"/>
                <w:szCs w:val="21"/>
              </w:rPr>
            </w:pPr>
            <w:proofErr w:type="spellStart"/>
            <w:r w:rsidRPr="009E464F">
              <w:rPr>
                <w:rFonts w:cs="Times New Roman"/>
                <w:sz w:val="21"/>
                <w:szCs w:val="21"/>
              </w:rPr>
              <w:t>Q</w:t>
            </w:r>
            <w:r w:rsidRPr="009E464F">
              <w:rPr>
                <w:rFonts w:cs="Times New Roman"/>
                <w:sz w:val="21"/>
                <w:szCs w:val="21"/>
                <w:vertAlign w:val="subscript"/>
              </w:rPr>
              <w:t>en</w:t>
            </w:r>
            <w:proofErr w:type="spellEnd"/>
            <w:r w:rsidR="00C47636">
              <w:rPr>
                <w:rFonts w:cs="Times New Roman" w:hint="eastAsia"/>
                <w:sz w:val="21"/>
                <w:szCs w:val="21"/>
              </w:rPr>
              <w:t>：</w:t>
            </w:r>
            <w:r w:rsidRPr="009E464F">
              <w:rPr>
                <w:rFonts w:cs="Times New Roman"/>
                <w:sz w:val="21"/>
                <w:szCs w:val="21"/>
              </w:rPr>
              <w:t>肠上皮细胞的血流量（例如，</w:t>
            </w:r>
            <w:r w:rsidRPr="009E464F">
              <w:rPr>
                <w:rFonts w:cs="Times New Roman"/>
                <w:sz w:val="21"/>
                <w:szCs w:val="21"/>
              </w:rPr>
              <w:t>18 L/</w:t>
            </w:r>
            <w:proofErr w:type="spellStart"/>
            <w:r w:rsidRPr="009E464F">
              <w:rPr>
                <w:rFonts w:cs="Times New Roman"/>
                <w:sz w:val="21"/>
                <w:szCs w:val="21"/>
              </w:rPr>
              <w:t>hr</w:t>
            </w:r>
            <w:proofErr w:type="spellEnd"/>
            <w:r w:rsidRPr="009E464F">
              <w:rPr>
                <w:rFonts w:cs="Times New Roman"/>
                <w:sz w:val="21"/>
                <w:szCs w:val="21"/>
              </w:rPr>
              <w:t>/70 kg</w:t>
            </w:r>
            <w:r w:rsidRPr="009E464F">
              <w:rPr>
                <w:rFonts w:cs="Times New Roman"/>
                <w:sz w:val="21"/>
                <w:szCs w:val="21"/>
              </w:rPr>
              <w:t>）。</w:t>
            </w:r>
          </w:p>
        </w:tc>
      </w:tr>
      <w:tr w:rsidR="00B46179" w:rsidRPr="009E464F" w14:paraId="76E7AACA" w14:textId="77777777" w:rsidTr="0083505F">
        <w:trPr>
          <w:trHeight w:val="234"/>
        </w:trPr>
        <w:tc>
          <w:tcPr>
            <w:tcW w:w="9654" w:type="dxa"/>
            <w:gridSpan w:val="3"/>
            <w:tcBorders>
              <w:top w:val="nil"/>
              <w:left w:val="single" w:sz="4" w:space="0" w:color="auto"/>
              <w:bottom w:val="nil"/>
              <w:right w:val="single" w:sz="4" w:space="0" w:color="auto"/>
            </w:tcBorders>
          </w:tcPr>
          <w:p w14:paraId="536C2581" w14:textId="6FED87CF" w:rsidR="00B46179" w:rsidRPr="009E464F" w:rsidRDefault="00B46179">
            <w:pPr>
              <w:spacing w:line="240" w:lineRule="auto"/>
              <w:ind w:firstLine="420"/>
              <w:rPr>
                <w:rFonts w:cs="Times New Roman"/>
                <w:sz w:val="21"/>
                <w:szCs w:val="21"/>
              </w:rPr>
            </w:pPr>
            <w:proofErr w:type="spellStart"/>
            <w:r w:rsidRPr="009E464F">
              <w:rPr>
                <w:rFonts w:cs="Times New Roman"/>
                <w:sz w:val="21"/>
                <w:szCs w:val="21"/>
              </w:rPr>
              <w:t>Q</w:t>
            </w:r>
            <w:r w:rsidRPr="009E464F">
              <w:rPr>
                <w:rFonts w:cs="Times New Roman"/>
                <w:sz w:val="21"/>
                <w:szCs w:val="21"/>
                <w:vertAlign w:val="subscript"/>
              </w:rPr>
              <w:t>h</w:t>
            </w:r>
            <w:proofErr w:type="spellEnd"/>
            <w:r w:rsidR="00C47636">
              <w:rPr>
                <w:rFonts w:cs="Times New Roman" w:hint="eastAsia"/>
                <w:sz w:val="21"/>
                <w:szCs w:val="21"/>
              </w:rPr>
              <w:t>：</w:t>
            </w:r>
            <w:r w:rsidRPr="009E464F">
              <w:rPr>
                <w:rFonts w:cs="Times New Roman"/>
                <w:sz w:val="21"/>
                <w:szCs w:val="21"/>
              </w:rPr>
              <w:t>肝血流量（例如，</w:t>
            </w:r>
            <w:r w:rsidRPr="009E464F">
              <w:rPr>
                <w:rFonts w:cs="Times New Roman"/>
                <w:sz w:val="21"/>
                <w:szCs w:val="21"/>
              </w:rPr>
              <w:t>97 L/</w:t>
            </w:r>
            <w:proofErr w:type="spellStart"/>
            <w:r w:rsidRPr="009E464F">
              <w:rPr>
                <w:rFonts w:cs="Times New Roman"/>
                <w:sz w:val="21"/>
                <w:szCs w:val="21"/>
              </w:rPr>
              <w:t>hr</w:t>
            </w:r>
            <w:proofErr w:type="spellEnd"/>
            <w:r w:rsidRPr="009E464F">
              <w:rPr>
                <w:rFonts w:cs="Times New Roman"/>
                <w:sz w:val="21"/>
                <w:szCs w:val="21"/>
              </w:rPr>
              <w:t>/70 kg</w:t>
            </w:r>
            <w:r w:rsidRPr="009E464F">
              <w:rPr>
                <w:rFonts w:cs="Times New Roman"/>
                <w:sz w:val="21"/>
                <w:szCs w:val="21"/>
              </w:rPr>
              <w:t>）。</w:t>
            </w:r>
          </w:p>
        </w:tc>
      </w:tr>
      <w:tr w:rsidR="00B46179" w:rsidRPr="009E464F" w14:paraId="1E9A0D2C" w14:textId="77777777" w:rsidTr="0083505F">
        <w:trPr>
          <w:trHeight w:val="221"/>
        </w:trPr>
        <w:tc>
          <w:tcPr>
            <w:tcW w:w="9654" w:type="dxa"/>
            <w:gridSpan w:val="3"/>
            <w:tcBorders>
              <w:top w:val="nil"/>
              <w:left w:val="single" w:sz="4" w:space="0" w:color="auto"/>
              <w:bottom w:val="single" w:sz="4" w:space="0" w:color="auto"/>
              <w:right w:val="single" w:sz="4" w:space="0" w:color="auto"/>
            </w:tcBorders>
          </w:tcPr>
          <w:p w14:paraId="308FFAEC" w14:textId="0680102E" w:rsidR="00B46179" w:rsidRPr="009E464F" w:rsidRDefault="00B46179">
            <w:pPr>
              <w:spacing w:line="240" w:lineRule="auto"/>
              <w:ind w:firstLine="420"/>
              <w:rPr>
                <w:rFonts w:cs="Times New Roman"/>
                <w:sz w:val="21"/>
                <w:szCs w:val="21"/>
              </w:rPr>
            </w:pPr>
            <w:r w:rsidRPr="009E464F">
              <w:rPr>
                <w:rFonts w:cs="Times New Roman"/>
                <w:sz w:val="21"/>
                <w:szCs w:val="21"/>
              </w:rPr>
              <w:t>R</w:t>
            </w:r>
            <w:r w:rsidRPr="009E464F">
              <w:rPr>
                <w:rFonts w:cs="Times New Roman"/>
                <w:sz w:val="21"/>
                <w:szCs w:val="21"/>
                <w:vertAlign w:val="subscript"/>
              </w:rPr>
              <w:t>B</w:t>
            </w:r>
            <w:r w:rsidR="00C47636">
              <w:rPr>
                <w:rFonts w:cs="Times New Roman" w:hint="eastAsia"/>
                <w:sz w:val="21"/>
                <w:szCs w:val="21"/>
              </w:rPr>
              <w:t>：</w:t>
            </w:r>
            <w:r w:rsidR="007D0F11" w:rsidRPr="009E464F">
              <w:rPr>
                <w:rFonts w:cs="Times New Roman"/>
                <w:sz w:val="21"/>
                <w:szCs w:val="21"/>
              </w:rPr>
              <w:t>全血</w:t>
            </w:r>
            <w:r w:rsidRPr="009E464F">
              <w:rPr>
                <w:rFonts w:cs="Times New Roman"/>
                <w:sz w:val="21"/>
                <w:szCs w:val="21"/>
              </w:rPr>
              <w:t>-</w:t>
            </w:r>
            <w:r w:rsidRPr="009E464F">
              <w:rPr>
                <w:rFonts w:cs="Times New Roman"/>
                <w:sz w:val="21"/>
                <w:szCs w:val="21"/>
              </w:rPr>
              <w:t>血浆浓度比</w:t>
            </w:r>
          </w:p>
        </w:tc>
      </w:tr>
    </w:tbl>
    <w:p w14:paraId="16F817DF" w14:textId="77777777" w:rsidR="00B46179" w:rsidRPr="009E464F" w:rsidRDefault="00B46179" w:rsidP="00593FAB">
      <w:pPr>
        <w:spacing w:after="0"/>
        <w:ind w:firstLine="640"/>
        <w:rPr>
          <w:rFonts w:cs="Times New Roman"/>
          <w:lang w:eastAsia="zh-CN"/>
        </w:rPr>
      </w:pPr>
      <w:r w:rsidRPr="009E464F">
        <w:rPr>
          <w:rFonts w:cs="Times New Roman"/>
          <w:lang w:eastAsia="zh-CN"/>
        </w:rPr>
        <w:t>使用</w:t>
      </w:r>
      <w:r w:rsidR="00DF5FE8" w:rsidRPr="009E464F">
        <w:rPr>
          <w:rFonts w:cs="Times New Roman"/>
          <w:lang w:eastAsia="zh-CN"/>
        </w:rPr>
        <w:t>静态机制模型</w:t>
      </w:r>
      <w:r w:rsidRPr="009E464F">
        <w:rPr>
          <w:rFonts w:cs="Times New Roman"/>
          <w:lang w:eastAsia="zh-CN"/>
        </w:rPr>
        <w:t>预测时</w:t>
      </w:r>
      <w:r w:rsidR="00DF5FE8" w:rsidRPr="009E464F">
        <w:rPr>
          <w:rFonts w:cs="Times New Roman"/>
          <w:lang w:eastAsia="zh-CN"/>
        </w:rPr>
        <w:t>的</w:t>
      </w:r>
      <w:r w:rsidRPr="009E464F">
        <w:rPr>
          <w:rFonts w:cs="Times New Roman"/>
          <w:lang w:eastAsia="zh-CN"/>
        </w:rPr>
        <w:t>注意事项</w:t>
      </w:r>
      <w:r w:rsidR="00DF5FE8" w:rsidRPr="009E464F">
        <w:rPr>
          <w:rFonts w:cs="Times New Roman"/>
          <w:lang w:eastAsia="zh-CN"/>
        </w:rPr>
        <w:t>：</w:t>
      </w:r>
    </w:p>
    <w:p w14:paraId="46B8730B" w14:textId="77777777" w:rsidR="00B46179" w:rsidRPr="00446341" w:rsidRDefault="00F402C7" w:rsidP="00593FAB">
      <w:pPr>
        <w:spacing w:after="0"/>
        <w:ind w:firstLine="640"/>
        <w:rPr>
          <w:rFonts w:cs="Times New Roman"/>
          <w:lang w:eastAsia="zh-CN"/>
        </w:rPr>
      </w:pPr>
      <w:r w:rsidRPr="0083505F">
        <w:rPr>
          <w:rFonts w:eastAsia="宋体" w:cs="Times New Roman" w:hint="eastAsia"/>
          <w:szCs w:val="32"/>
          <w:lang w:eastAsia="zh-CN"/>
        </w:rPr>
        <w:t>（</w:t>
      </w:r>
      <w:r w:rsidRPr="0083505F">
        <w:rPr>
          <w:rFonts w:eastAsia="宋体" w:cs="Times New Roman"/>
          <w:szCs w:val="32"/>
          <w:lang w:eastAsia="zh-CN"/>
        </w:rPr>
        <w:t>1</w:t>
      </w:r>
      <w:r w:rsidRPr="0083505F">
        <w:rPr>
          <w:rFonts w:eastAsia="宋体" w:cs="Times New Roman" w:hint="eastAsia"/>
          <w:szCs w:val="32"/>
          <w:lang w:eastAsia="zh-CN"/>
        </w:rPr>
        <w:t>）</w:t>
      </w:r>
      <w:r w:rsidR="00B46179" w:rsidRPr="00446341">
        <w:rPr>
          <w:rFonts w:cs="Times New Roman"/>
          <w:lang w:eastAsia="zh-CN"/>
        </w:rPr>
        <w:t>研究中不建议使用该模型估计抑制与诱导作用同时存在时的共同效应</w:t>
      </w:r>
      <w:r w:rsidR="000E0DE4" w:rsidRPr="00446341">
        <w:rPr>
          <w:rFonts w:cs="Times New Roman"/>
          <w:lang w:eastAsia="zh-CN"/>
        </w:rPr>
        <w:t>。</w:t>
      </w:r>
    </w:p>
    <w:p w14:paraId="2D224D35" w14:textId="77777777" w:rsidR="00B46179" w:rsidRPr="00446341" w:rsidRDefault="00F402C7" w:rsidP="00593FAB">
      <w:pPr>
        <w:spacing w:after="0"/>
        <w:ind w:firstLine="640"/>
        <w:rPr>
          <w:rFonts w:cs="Times New Roman"/>
          <w:lang w:eastAsia="zh-CN"/>
        </w:rPr>
      </w:pPr>
      <w:r w:rsidRPr="0083505F">
        <w:rPr>
          <w:rFonts w:eastAsia="宋体" w:cs="Times New Roman" w:hint="eastAsia"/>
          <w:szCs w:val="32"/>
          <w:lang w:eastAsia="zh-CN"/>
        </w:rPr>
        <w:t>（</w:t>
      </w:r>
      <w:r w:rsidRPr="0083505F">
        <w:rPr>
          <w:rFonts w:eastAsia="宋体" w:cs="Times New Roman"/>
          <w:szCs w:val="32"/>
          <w:lang w:eastAsia="zh-CN"/>
        </w:rPr>
        <w:t>2</w:t>
      </w:r>
      <w:r w:rsidRPr="0083505F">
        <w:rPr>
          <w:rFonts w:eastAsia="宋体" w:cs="Times New Roman" w:hint="eastAsia"/>
          <w:szCs w:val="32"/>
          <w:lang w:eastAsia="zh-CN"/>
        </w:rPr>
        <w:t>）</w:t>
      </w:r>
      <w:proofErr w:type="gramStart"/>
      <w:r w:rsidR="00B46179" w:rsidRPr="00446341">
        <w:rPr>
          <w:rFonts w:cs="Times New Roman"/>
          <w:lang w:eastAsia="zh-CN"/>
        </w:rPr>
        <w:t>若膜的</w:t>
      </w:r>
      <w:proofErr w:type="gramEnd"/>
      <w:r w:rsidR="00B46179" w:rsidRPr="00446341">
        <w:rPr>
          <w:rFonts w:cs="Times New Roman"/>
          <w:lang w:eastAsia="zh-CN"/>
        </w:rPr>
        <w:t>通透性是底物药物进入组织的限制因素（如底物药物通过转运体进入组织），</w:t>
      </w:r>
      <w:r w:rsidR="00B46179" w:rsidRPr="00446341">
        <w:rPr>
          <w:rFonts w:cs="Times New Roman"/>
          <w:lang w:eastAsia="zh-CN"/>
        </w:rPr>
        <w:t xml:space="preserve"> </w:t>
      </w:r>
      <w:r w:rsidR="00B46179" w:rsidRPr="00446341">
        <w:rPr>
          <w:rFonts w:cs="Times New Roman"/>
          <w:lang w:eastAsia="zh-CN"/>
        </w:rPr>
        <w:t>则应谨慎使用该模型评估抑制剂或者诱导剂对该底物药物的相互作用</w:t>
      </w:r>
      <w:r w:rsidR="000E0DE4" w:rsidRPr="00446341">
        <w:rPr>
          <w:rFonts w:cs="Times New Roman"/>
          <w:lang w:eastAsia="zh-CN"/>
        </w:rPr>
        <w:t>。</w:t>
      </w:r>
    </w:p>
    <w:p w14:paraId="17F8A66D" w14:textId="77777777" w:rsidR="00B46179" w:rsidRPr="00446341" w:rsidRDefault="00F402C7" w:rsidP="00593FAB">
      <w:pPr>
        <w:spacing w:after="0"/>
        <w:ind w:firstLine="640"/>
        <w:rPr>
          <w:rFonts w:cs="Times New Roman"/>
          <w:lang w:eastAsia="zh-CN"/>
        </w:rPr>
      </w:pPr>
      <w:r w:rsidRPr="0083505F">
        <w:rPr>
          <w:rFonts w:eastAsia="宋体" w:cs="Times New Roman" w:hint="eastAsia"/>
          <w:szCs w:val="32"/>
          <w:lang w:eastAsia="zh-CN"/>
        </w:rPr>
        <w:lastRenderedPageBreak/>
        <w:t>（</w:t>
      </w:r>
      <w:r w:rsidRPr="0083505F">
        <w:rPr>
          <w:rFonts w:eastAsia="宋体" w:cs="Times New Roman"/>
          <w:szCs w:val="32"/>
          <w:lang w:eastAsia="zh-CN"/>
        </w:rPr>
        <w:t>3</w:t>
      </w:r>
      <w:r w:rsidRPr="0083505F">
        <w:rPr>
          <w:rFonts w:eastAsia="宋体" w:cs="Times New Roman" w:hint="eastAsia"/>
          <w:szCs w:val="32"/>
          <w:lang w:eastAsia="zh-CN"/>
        </w:rPr>
        <w:t>）</w:t>
      </w:r>
      <w:r w:rsidR="00B46179" w:rsidRPr="00446341">
        <w:rPr>
          <w:rFonts w:cs="Times New Roman"/>
          <w:lang w:eastAsia="zh-CN"/>
        </w:rPr>
        <w:t>若底物药物具有明显的肝脏外清除时，应谨慎使用该模型评估抑制剂或者诱导剂对该底物药物的相互作用</w:t>
      </w:r>
      <w:r w:rsidR="000E0DE4" w:rsidRPr="00446341">
        <w:rPr>
          <w:rFonts w:cs="Times New Roman"/>
          <w:lang w:eastAsia="zh-CN"/>
        </w:rPr>
        <w:t>。</w:t>
      </w:r>
    </w:p>
    <w:p w14:paraId="3915519B" w14:textId="77777777" w:rsidR="00B46179" w:rsidRPr="009E464F" w:rsidRDefault="00F402C7" w:rsidP="00593FAB">
      <w:pPr>
        <w:spacing w:after="0"/>
        <w:ind w:firstLine="640"/>
        <w:rPr>
          <w:rFonts w:cs="Times New Roman"/>
          <w:sz w:val="24"/>
          <w:lang w:eastAsia="zh-CN"/>
        </w:rPr>
      </w:pPr>
      <w:r w:rsidRPr="008B17FE">
        <w:rPr>
          <w:rFonts w:cs="Times New Roman" w:hint="eastAsia"/>
          <w:lang w:eastAsia="zh-CN"/>
        </w:rPr>
        <w:t>（</w:t>
      </w:r>
      <w:r w:rsidRPr="008B17FE">
        <w:rPr>
          <w:rFonts w:cs="Times New Roman"/>
          <w:lang w:eastAsia="zh-CN"/>
        </w:rPr>
        <w:t>4</w:t>
      </w:r>
      <w:r w:rsidRPr="008B17FE">
        <w:rPr>
          <w:rFonts w:cs="Times New Roman" w:hint="eastAsia"/>
          <w:lang w:eastAsia="zh-CN"/>
        </w:rPr>
        <w:t>）</w:t>
      </w:r>
      <w:r w:rsidR="00B46179" w:rsidRPr="00446341">
        <w:rPr>
          <w:rFonts w:cs="Times New Roman"/>
          <w:lang w:eastAsia="zh-CN"/>
        </w:rPr>
        <w:t>若底物药物和抑制剂</w:t>
      </w:r>
      <w:r w:rsidR="00B46179" w:rsidRPr="00446341">
        <w:rPr>
          <w:rFonts w:cs="Times New Roman"/>
          <w:lang w:eastAsia="zh-CN"/>
        </w:rPr>
        <w:t>/</w:t>
      </w:r>
      <w:proofErr w:type="gramStart"/>
      <w:r w:rsidR="00B46179" w:rsidRPr="00446341">
        <w:rPr>
          <w:rFonts w:cs="Times New Roman"/>
          <w:lang w:eastAsia="zh-CN"/>
        </w:rPr>
        <w:t>诱导剂间的</w:t>
      </w:r>
      <w:proofErr w:type="gramEnd"/>
      <w:r w:rsidR="00B46179" w:rsidRPr="00446341">
        <w:rPr>
          <w:rFonts w:cs="Times New Roman"/>
          <w:lang w:eastAsia="zh-CN"/>
        </w:rPr>
        <w:t>相互作用并非仅由代谢酶</w:t>
      </w:r>
      <w:proofErr w:type="gramStart"/>
      <w:r w:rsidR="00B46179" w:rsidRPr="00446341">
        <w:rPr>
          <w:rFonts w:cs="Times New Roman"/>
          <w:lang w:eastAsia="zh-CN"/>
        </w:rPr>
        <w:t>介</w:t>
      </w:r>
      <w:proofErr w:type="gramEnd"/>
      <w:r w:rsidR="00B46179" w:rsidRPr="00446341">
        <w:rPr>
          <w:rFonts w:cs="Times New Roman"/>
          <w:lang w:eastAsia="zh-CN"/>
        </w:rPr>
        <w:t>导（</w:t>
      </w:r>
      <w:r w:rsidR="00B46179" w:rsidRPr="009E464F">
        <w:rPr>
          <w:rFonts w:cs="Times New Roman"/>
          <w:lang w:eastAsia="zh-CN"/>
        </w:rPr>
        <w:t>如抑制剂药可改变底物的吸收），则需要进一步</w:t>
      </w:r>
      <w:proofErr w:type="gramStart"/>
      <w:r w:rsidR="00B46179" w:rsidRPr="009E464F">
        <w:rPr>
          <w:rFonts w:cs="Times New Roman"/>
          <w:lang w:eastAsia="zh-CN"/>
        </w:rPr>
        <w:t>评估因</w:t>
      </w:r>
      <w:proofErr w:type="gramEnd"/>
      <w:r w:rsidR="00B46179" w:rsidRPr="009E464F">
        <w:rPr>
          <w:rFonts w:cs="Times New Roman"/>
          <w:lang w:eastAsia="zh-CN"/>
        </w:rPr>
        <w:t>其他机制引起的药物反应</w:t>
      </w:r>
      <w:r w:rsidR="00B46179" w:rsidRPr="009E464F">
        <w:rPr>
          <w:rFonts w:cs="Times New Roman"/>
          <w:lang w:eastAsia="zh-CN"/>
        </w:rPr>
        <w:t xml:space="preserve">, </w:t>
      </w:r>
      <w:r w:rsidR="00B46179" w:rsidRPr="009E464F">
        <w:rPr>
          <w:rFonts w:cs="Times New Roman"/>
          <w:lang w:eastAsia="zh-CN"/>
        </w:rPr>
        <w:t>以全面评估底物药物和抑制剂</w:t>
      </w:r>
      <w:r w:rsidR="00B46179" w:rsidRPr="009E464F">
        <w:rPr>
          <w:rFonts w:cs="Times New Roman"/>
          <w:lang w:eastAsia="zh-CN"/>
        </w:rPr>
        <w:t>/</w:t>
      </w:r>
      <w:r w:rsidR="00B46179" w:rsidRPr="009E464F">
        <w:rPr>
          <w:rFonts w:cs="Times New Roman"/>
          <w:lang w:eastAsia="zh-CN"/>
        </w:rPr>
        <w:t>诱导剂的相互作用程度。</w:t>
      </w:r>
      <w:r w:rsidR="00B46179" w:rsidRPr="009E464F">
        <w:rPr>
          <w:rFonts w:cs="Times New Roman"/>
          <w:lang w:eastAsia="zh-CN"/>
        </w:rPr>
        <w:t xml:space="preserve"> </w:t>
      </w:r>
    </w:p>
    <w:p w14:paraId="01E86F05" w14:textId="7F7B7DCB" w:rsidR="00B46179" w:rsidRPr="009E464F" w:rsidRDefault="00B46179" w:rsidP="00593FAB">
      <w:pPr>
        <w:spacing w:after="0"/>
        <w:ind w:firstLine="640"/>
        <w:rPr>
          <w:rFonts w:cs="Times New Roman"/>
          <w:lang w:eastAsia="zh-CN"/>
        </w:rPr>
      </w:pPr>
      <w:r w:rsidRPr="009E464F">
        <w:rPr>
          <w:rFonts w:cs="Times New Roman"/>
          <w:lang w:eastAsia="zh-CN"/>
        </w:rPr>
        <w:t>3</w:t>
      </w:r>
      <w:r w:rsidR="00D30448">
        <w:rPr>
          <w:rFonts w:cs="Times New Roman"/>
          <w:lang w:eastAsia="zh-CN"/>
        </w:rPr>
        <w:t>.</w:t>
      </w:r>
      <w:r w:rsidRPr="009E464F">
        <w:rPr>
          <w:rFonts w:cs="Times New Roman"/>
          <w:lang w:eastAsia="zh-CN"/>
        </w:rPr>
        <w:t>PBPK</w:t>
      </w:r>
      <w:r w:rsidRPr="009E464F">
        <w:rPr>
          <w:rFonts w:cs="Times New Roman"/>
          <w:lang w:eastAsia="zh-CN"/>
        </w:rPr>
        <w:t>模型</w:t>
      </w:r>
    </w:p>
    <w:p w14:paraId="4CF7BFC6" w14:textId="3E55B34B" w:rsidR="00B46179" w:rsidRPr="009E464F" w:rsidRDefault="00B46179" w:rsidP="00593FAB">
      <w:pPr>
        <w:spacing w:after="0"/>
        <w:ind w:firstLine="640"/>
        <w:rPr>
          <w:rFonts w:cs="Times New Roman"/>
          <w:lang w:eastAsia="zh-CN"/>
        </w:rPr>
      </w:pPr>
      <w:r w:rsidRPr="009E464F">
        <w:rPr>
          <w:rFonts w:cs="Times New Roman"/>
          <w:lang w:eastAsia="zh-CN"/>
        </w:rPr>
        <w:t>PBPK</w:t>
      </w:r>
      <w:r w:rsidRPr="009E464F">
        <w:rPr>
          <w:rFonts w:cs="Times New Roman"/>
          <w:lang w:eastAsia="zh-CN"/>
        </w:rPr>
        <w:t>模型是一种基于生理学的药代动力学模型。模型中包含了药物参数和个体生理参数。其模型基本框架如下图所示。理论上讲，</w:t>
      </w:r>
      <w:r w:rsidRPr="009E464F">
        <w:rPr>
          <w:rFonts w:cs="Times New Roman"/>
          <w:lang w:eastAsia="zh-CN"/>
        </w:rPr>
        <w:t>PBPK</w:t>
      </w:r>
      <w:r w:rsidRPr="009E464F">
        <w:rPr>
          <w:rFonts w:cs="Times New Roman"/>
          <w:lang w:eastAsia="zh-CN"/>
        </w:rPr>
        <w:t>模型可以预测在不同情况，不同个体中</w:t>
      </w:r>
      <w:r w:rsidR="00C47636">
        <w:rPr>
          <w:rFonts w:cs="Times New Roman" w:hint="eastAsia"/>
          <w:lang w:eastAsia="zh-CN"/>
        </w:rPr>
        <w:t>、</w:t>
      </w:r>
      <w:r w:rsidRPr="009E464F">
        <w:rPr>
          <w:rFonts w:cs="Times New Roman"/>
          <w:lang w:eastAsia="zh-CN"/>
        </w:rPr>
        <w:t>不同机制引起的药物间相</w:t>
      </w:r>
      <w:r w:rsidR="002D3903" w:rsidRPr="009E464F">
        <w:rPr>
          <w:rFonts w:cs="Times New Roman"/>
          <w:lang w:eastAsia="zh-CN"/>
        </w:rPr>
        <w:t>互</w:t>
      </w:r>
      <w:r w:rsidRPr="009E464F">
        <w:rPr>
          <w:rFonts w:cs="Times New Roman"/>
          <w:lang w:eastAsia="zh-CN"/>
        </w:rPr>
        <w:t>作用。目前</w:t>
      </w:r>
      <w:r w:rsidRPr="009E464F">
        <w:rPr>
          <w:rFonts w:cs="Times New Roman"/>
          <w:lang w:eastAsia="zh-CN"/>
        </w:rPr>
        <w:t>PBPK</w:t>
      </w:r>
      <w:r w:rsidRPr="009E464F">
        <w:rPr>
          <w:rFonts w:cs="Times New Roman"/>
          <w:lang w:eastAsia="zh-CN"/>
        </w:rPr>
        <w:t>模型主要用于合理评估酶</w:t>
      </w:r>
      <w:proofErr w:type="gramStart"/>
      <w:r w:rsidRPr="009E464F">
        <w:rPr>
          <w:rFonts w:cs="Times New Roman"/>
          <w:lang w:eastAsia="zh-CN"/>
        </w:rPr>
        <w:t>介</w:t>
      </w:r>
      <w:proofErr w:type="gramEnd"/>
      <w:r w:rsidRPr="009E464F">
        <w:rPr>
          <w:rFonts w:cs="Times New Roman"/>
          <w:lang w:eastAsia="zh-CN"/>
        </w:rPr>
        <w:t>导的药物</w:t>
      </w:r>
      <w:r w:rsidR="00C47636">
        <w:rPr>
          <w:rFonts w:cs="Times New Roman" w:hint="eastAsia"/>
          <w:lang w:eastAsia="zh-CN"/>
        </w:rPr>
        <w:t>相互</w:t>
      </w:r>
      <w:r w:rsidRPr="009E464F">
        <w:rPr>
          <w:rFonts w:cs="Times New Roman"/>
          <w:lang w:eastAsia="zh-CN"/>
        </w:rPr>
        <w:t>作用。</w:t>
      </w:r>
    </w:p>
    <w:p w14:paraId="5784E82C" w14:textId="77777777" w:rsidR="00B46179" w:rsidRPr="009E464F" w:rsidRDefault="00875E77">
      <w:pPr>
        <w:spacing w:line="240" w:lineRule="auto"/>
        <w:ind w:firstLine="480"/>
        <w:rPr>
          <w:rFonts w:cs="Times New Roman"/>
          <w:sz w:val="24"/>
        </w:rPr>
      </w:pPr>
      <w:r w:rsidRPr="009E464F">
        <w:rPr>
          <w:rFonts w:cs="Times New Roman"/>
          <w:noProof/>
          <w:sz w:val="24"/>
          <w:lang w:eastAsia="zh-CN"/>
        </w:rPr>
        <w:lastRenderedPageBreak/>
        <w:drawing>
          <wp:inline distT="0" distB="0" distL="0" distR="0" wp14:anchorId="3983E86F" wp14:editId="228A5491">
            <wp:extent cx="5405031" cy="4926169"/>
            <wp:effectExtent l="0" t="0" r="571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3405" cy="4933801"/>
                    </a:xfrm>
                    <a:prstGeom prst="rect">
                      <a:avLst/>
                    </a:prstGeom>
                    <a:noFill/>
                  </pic:spPr>
                </pic:pic>
              </a:graphicData>
            </a:graphic>
          </wp:inline>
        </w:drawing>
      </w:r>
    </w:p>
    <w:p w14:paraId="0256DC7E" w14:textId="6FED3BFC" w:rsidR="00FB060E" w:rsidRDefault="00FB060E" w:rsidP="00FB060E">
      <w:pPr>
        <w:spacing w:after="0" w:line="240" w:lineRule="auto"/>
        <w:ind w:firstLine="420"/>
        <w:rPr>
          <w:rFonts w:cs="Times New Roman"/>
          <w:sz w:val="21"/>
          <w:szCs w:val="21"/>
          <w:lang w:eastAsia="zh-CN"/>
        </w:rPr>
      </w:pPr>
    </w:p>
    <w:p w14:paraId="7B231812" w14:textId="77777777" w:rsidR="007D743C" w:rsidRDefault="007D743C" w:rsidP="00FB060E">
      <w:pPr>
        <w:spacing w:after="0" w:line="240" w:lineRule="auto"/>
        <w:ind w:firstLine="420"/>
        <w:rPr>
          <w:rFonts w:cs="Times New Roman"/>
          <w:sz w:val="21"/>
          <w:szCs w:val="21"/>
          <w:lang w:eastAsia="zh-CN"/>
        </w:rPr>
      </w:pPr>
    </w:p>
    <w:p w14:paraId="20CBB747" w14:textId="49604707"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ADME</w:t>
      </w:r>
      <w:r w:rsidR="00C47636">
        <w:rPr>
          <w:rFonts w:cs="Times New Roman" w:hint="eastAsia"/>
          <w:sz w:val="21"/>
          <w:szCs w:val="21"/>
          <w:lang w:eastAsia="zh-CN"/>
        </w:rPr>
        <w:t>：</w:t>
      </w:r>
      <w:r w:rsidRPr="009E464F">
        <w:rPr>
          <w:rFonts w:cs="Times New Roman"/>
          <w:sz w:val="21"/>
          <w:szCs w:val="21"/>
          <w:lang w:eastAsia="zh-CN"/>
        </w:rPr>
        <w:t>吸收、分布、代谢和排泄</w:t>
      </w:r>
      <w:r w:rsidR="00BB41FB">
        <w:rPr>
          <w:rFonts w:cs="Times New Roman" w:hint="eastAsia"/>
          <w:sz w:val="21"/>
          <w:szCs w:val="21"/>
          <w:lang w:eastAsia="zh-CN"/>
        </w:rPr>
        <w:t>；</w:t>
      </w:r>
    </w:p>
    <w:p w14:paraId="4242E9B9" w14:textId="280CDCC2"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AUC</w:t>
      </w:r>
      <w:r w:rsidR="00C47636">
        <w:rPr>
          <w:rFonts w:cs="Times New Roman" w:hint="eastAsia"/>
          <w:sz w:val="21"/>
          <w:szCs w:val="21"/>
          <w:lang w:eastAsia="zh-CN"/>
        </w:rPr>
        <w:t>：</w:t>
      </w:r>
      <w:r w:rsidRPr="009E464F">
        <w:rPr>
          <w:rFonts w:cs="Times New Roman"/>
          <w:sz w:val="21"/>
          <w:szCs w:val="21"/>
          <w:lang w:eastAsia="zh-CN"/>
        </w:rPr>
        <w:t>血浆药物浓度</w:t>
      </w:r>
      <w:r w:rsidRPr="009E464F">
        <w:rPr>
          <w:rFonts w:cs="Times New Roman"/>
          <w:sz w:val="21"/>
          <w:szCs w:val="21"/>
          <w:lang w:eastAsia="zh-CN"/>
        </w:rPr>
        <w:t>-</w:t>
      </w:r>
      <w:r w:rsidRPr="009E464F">
        <w:rPr>
          <w:rFonts w:cs="Times New Roman"/>
          <w:sz w:val="21"/>
          <w:szCs w:val="21"/>
          <w:lang w:eastAsia="zh-CN"/>
        </w:rPr>
        <w:t>时间曲线下的面积</w:t>
      </w:r>
      <w:r w:rsidR="00BB41FB">
        <w:rPr>
          <w:rFonts w:cs="Times New Roman" w:hint="eastAsia"/>
          <w:sz w:val="21"/>
          <w:szCs w:val="21"/>
          <w:lang w:eastAsia="zh-CN"/>
        </w:rPr>
        <w:t>；</w:t>
      </w:r>
    </w:p>
    <w:p w14:paraId="1C0D2A43" w14:textId="46FD2BCE"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B/P</w:t>
      </w:r>
      <w:r w:rsidR="00C47636">
        <w:rPr>
          <w:rFonts w:cs="Times New Roman" w:hint="eastAsia"/>
          <w:sz w:val="21"/>
          <w:szCs w:val="21"/>
          <w:lang w:eastAsia="zh-CN"/>
        </w:rPr>
        <w:t>：</w:t>
      </w:r>
      <w:r w:rsidR="002E18CE" w:rsidRPr="009E464F">
        <w:rPr>
          <w:rFonts w:cs="Times New Roman"/>
          <w:sz w:val="21"/>
          <w:szCs w:val="21"/>
          <w:lang w:eastAsia="zh-CN"/>
        </w:rPr>
        <w:t>全血</w:t>
      </w:r>
      <w:r w:rsidRPr="009E464F">
        <w:rPr>
          <w:rFonts w:cs="Times New Roman"/>
          <w:sz w:val="21"/>
          <w:szCs w:val="21"/>
          <w:lang w:eastAsia="zh-CN"/>
        </w:rPr>
        <w:t>与血浆的比例</w:t>
      </w:r>
      <w:r w:rsidR="00BB41FB">
        <w:rPr>
          <w:rFonts w:cs="Times New Roman" w:hint="eastAsia"/>
          <w:sz w:val="21"/>
          <w:szCs w:val="21"/>
          <w:lang w:eastAsia="zh-CN"/>
        </w:rPr>
        <w:t>；</w:t>
      </w:r>
    </w:p>
    <w:p w14:paraId="401B0DD4" w14:textId="315FDF36" w:rsidR="00B46179" w:rsidRPr="009E464F" w:rsidRDefault="00B46179">
      <w:pPr>
        <w:spacing w:after="0" w:line="240" w:lineRule="auto"/>
        <w:ind w:firstLine="420"/>
        <w:rPr>
          <w:rFonts w:cs="Times New Roman"/>
          <w:sz w:val="21"/>
          <w:szCs w:val="21"/>
          <w:lang w:eastAsia="zh-CN"/>
        </w:rPr>
      </w:pPr>
      <w:proofErr w:type="spellStart"/>
      <w:r w:rsidRPr="009E464F">
        <w:rPr>
          <w:rFonts w:cs="Times New Roman"/>
          <w:sz w:val="21"/>
          <w:szCs w:val="21"/>
          <w:lang w:eastAsia="zh-CN"/>
        </w:rPr>
        <w:t>C</w:t>
      </w:r>
      <w:r w:rsidRPr="009E464F">
        <w:rPr>
          <w:rFonts w:cs="Times New Roman"/>
          <w:sz w:val="21"/>
          <w:szCs w:val="21"/>
          <w:vertAlign w:val="subscript"/>
          <w:lang w:eastAsia="zh-CN"/>
        </w:rPr>
        <w:t>max</w:t>
      </w:r>
      <w:proofErr w:type="spellEnd"/>
      <w:r w:rsidR="00C47636">
        <w:rPr>
          <w:rFonts w:cs="Times New Roman" w:hint="eastAsia"/>
          <w:sz w:val="21"/>
          <w:szCs w:val="21"/>
          <w:lang w:eastAsia="zh-CN"/>
        </w:rPr>
        <w:t>：</w:t>
      </w:r>
      <w:r w:rsidRPr="009E464F">
        <w:rPr>
          <w:rFonts w:cs="Times New Roman"/>
          <w:sz w:val="21"/>
          <w:szCs w:val="21"/>
          <w:lang w:eastAsia="zh-CN"/>
        </w:rPr>
        <w:t>最大浓度</w:t>
      </w:r>
      <w:r w:rsidR="00BB41FB">
        <w:rPr>
          <w:rFonts w:cs="Times New Roman" w:hint="eastAsia"/>
          <w:sz w:val="21"/>
          <w:szCs w:val="21"/>
          <w:lang w:eastAsia="zh-CN"/>
        </w:rPr>
        <w:t>；</w:t>
      </w:r>
    </w:p>
    <w:p w14:paraId="68EE4E69" w14:textId="78CB10CC"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CL</w:t>
      </w:r>
      <w:r w:rsidR="00C47636">
        <w:rPr>
          <w:rFonts w:cs="Times New Roman" w:hint="eastAsia"/>
          <w:sz w:val="21"/>
          <w:szCs w:val="21"/>
          <w:lang w:eastAsia="zh-CN"/>
        </w:rPr>
        <w:t>：</w:t>
      </w:r>
      <w:r w:rsidRPr="009E464F">
        <w:rPr>
          <w:rFonts w:cs="Times New Roman"/>
          <w:sz w:val="21"/>
          <w:szCs w:val="21"/>
          <w:lang w:eastAsia="zh-CN"/>
        </w:rPr>
        <w:t>清除率</w:t>
      </w:r>
      <w:r w:rsidR="00BB41FB">
        <w:rPr>
          <w:rFonts w:cs="Times New Roman" w:hint="eastAsia"/>
          <w:sz w:val="21"/>
          <w:szCs w:val="21"/>
          <w:lang w:eastAsia="zh-CN"/>
        </w:rPr>
        <w:t>；</w:t>
      </w:r>
    </w:p>
    <w:p w14:paraId="19430E87" w14:textId="20B94CC4" w:rsidR="00B46179" w:rsidRPr="009E464F" w:rsidRDefault="00B46179">
      <w:pPr>
        <w:spacing w:after="0" w:line="240" w:lineRule="auto"/>
        <w:ind w:firstLine="420"/>
        <w:rPr>
          <w:rFonts w:cs="Times New Roman"/>
          <w:sz w:val="21"/>
          <w:szCs w:val="21"/>
          <w:lang w:eastAsia="zh-CN"/>
        </w:rPr>
      </w:pPr>
      <w:proofErr w:type="spellStart"/>
      <w:r w:rsidRPr="009E464F">
        <w:rPr>
          <w:rFonts w:cs="Times New Roman"/>
          <w:sz w:val="21"/>
          <w:szCs w:val="21"/>
          <w:lang w:eastAsia="zh-CN"/>
        </w:rPr>
        <w:t>CL</w:t>
      </w:r>
      <w:r w:rsidRPr="009E464F">
        <w:rPr>
          <w:rFonts w:cs="Times New Roman"/>
          <w:sz w:val="21"/>
          <w:szCs w:val="21"/>
          <w:vertAlign w:val="subscript"/>
          <w:lang w:eastAsia="zh-CN"/>
        </w:rPr>
        <w:t>int</w:t>
      </w:r>
      <w:proofErr w:type="spellEnd"/>
      <w:r w:rsidR="00C47636">
        <w:rPr>
          <w:rFonts w:cs="Times New Roman" w:hint="eastAsia"/>
          <w:sz w:val="21"/>
          <w:szCs w:val="21"/>
          <w:lang w:eastAsia="zh-CN"/>
        </w:rPr>
        <w:t>：</w:t>
      </w:r>
      <w:r w:rsidRPr="009E464F">
        <w:rPr>
          <w:rFonts w:cs="Times New Roman"/>
          <w:sz w:val="21"/>
          <w:szCs w:val="21"/>
          <w:lang w:eastAsia="zh-CN"/>
        </w:rPr>
        <w:t>内在清除率</w:t>
      </w:r>
      <w:r w:rsidR="00BB41FB">
        <w:rPr>
          <w:rFonts w:cs="Times New Roman" w:hint="eastAsia"/>
          <w:sz w:val="21"/>
          <w:szCs w:val="21"/>
          <w:lang w:eastAsia="zh-CN"/>
        </w:rPr>
        <w:t>；</w:t>
      </w:r>
    </w:p>
    <w:p w14:paraId="3C91189A" w14:textId="6AE4F8AF"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CL</w:t>
      </w:r>
      <w:r w:rsidRPr="009E464F">
        <w:rPr>
          <w:rFonts w:cs="Times New Roman"/>
          <w:sz w:val="21"/>
          <w:szCs w:val="21"/>
          <w:vertAlign w:val="subscript"/>
          <w:lang w:eastAsia="zh-CN"/>
        </w:rPr>
        <w:t>R</w:t>
      </w:r>
      <w:r w:rsidR="00C47636">
        <w:rPr>
          <w:rFonts w:cs="Times New Roman" w:hint="eastAsia"/>
          <w:sz w:val="21"/>
          <w:szCs w:val="21"/>
          <w:lang w:eastAsia="zh-CN"/>
        </w:rPr>
        <w:t>：</w:t>
      </w:r>
      <w:r w:rsidRPr="009E464F">
        <w:rPr>
          <w:rFonts w:cs="Times New Roman"/>
          <w:sz w:val="21"/>
          <w:szCs w:val="21"/>
          <w:lang w:eastAsia="zh-CN"/>
        </w:rPr>
        <w:t>肾脏清除率</w:t>
      </w:r>
      <w:r w:rsidR="00BB41FB">
        <w:rPr>
          <w:rFonts w:cs="Times New Roman" w:hint="eastAsia"/>
          <w:sz w:val="21"/>
          <w:szCs w:val="21"/>
          <w:lang w:eastAsia="zh-CN"/>
        </w:rPr>
        <w:t>；</w:t>
      </w:r>
    </w:p>
    <w:p w14:paraId="25699155" w14:textId="46F0C864"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DDI</w:t>
      </w:r>
      <w:r w:rsidR="00C47636">
        <w:rPr>
          <w:rFonts w:cs="Times New Roman" w:hint="eastAsia"/>
          <w:sz w:val="21"/>
          <w:szCs w:val="21"/>
          <w:lang w:eastAsia="zh-CN"/>
        </w:rPr>
        <w:t>：</w:t>
      </w:r>
      <w:r w:rsidRPr="009E464F">
        <w:rPr>
          <w:rFonts w:cs="Times New Roman"/>
          <w:sz w:val="21"/>
          <w:szCs w:val="21"/>
          <w:lang w:eastAsia="zh-CN"/>
        </w:rPr>
        <w:t>药物相互作用</w:t>
      </w:r>
      <w:r w:rsidR="00BB41FB">
        <w:rPr>
          <w:rFonts w:cs="Times New Roman" w:hint="eastAsia"/>
          <w:sz w:val="21"/>
          <w:szCs w:val="21"/>
          <w:lang w:eastAsia="zh-CN"/>
        </w:rPr>
        <w:t>；</w:t>
      </w:r>
    </w:p>
    <w:p w14:paraId="5DF924FF" w14:textId="45837F77"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EC</w:t>
      </w:r>
      <w:r w:rsidRPr="009E464F">
        <w:rPr>
          <w:rFonts w:cs="Times New Roman"/>
          <w:sz w:val="21"/>
          <w:szCs w:val="21"/>
          <w:vertAlign w:val="subscript"/>
          <w:lang w:eastAsia="zh-CN"/>
        </w:rPr>
        <w:t>50</w:t>
      </w:r>
      <w:r w:rsidR="00C47636">
        <w:rPr>
          <w:rFonts w:cs="Times New Roman" w:hint="eastAsia"/>
          <w:sz w:val="21"/>
          <w:szCs w:val="21"/>
          <w:lang w:eastAsia="zh-CN"/>
        </w:rPr>
        <w:t>：</w:t>
      </w:r>
      <w:r w:rsidRPr="009E464F">
        <w:rPr>
          <w:rFonts w:cs="Times New Roman"/>
          <w:sz w:val="21"/>
          <w:szCs w:val="21"/>
          <w:lang w:eastAsia="zh-CN"/>
        </w:rPr>
        <w:t>产生最大效应一半的浓度</w:t>
      </w:r>
      <w:r w:rsidR="00BB41FB">
        <w:rPr>
          <w:rFonts w:cs="Times New Roman" w:hint="eastAsia"/>
          <w:sz w:val="21"/>
          <w:szCs w:val="21"/>
          <w:lang w:eastAsia="zh-CN"/>
        </w:rPr>
        <w:t>；</w:t>
      </w:r>
    </w:p>
    <w:p w14:paraId="3A0D308A" w14:textId="6C2E19D9"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E</w:t>
      </w:r>
      <w:r w:rsidRPr="009E464F">
        <w:rPr>
          <w:rFonts w:cs="Times New Roman"/>
          <w:sz w:val="21"/>
          <w:szCs w:val="21"/>
          <w:vertAlign w:val="subscript"/>
          <w:lang w:eastAsia="zh-CN"/>
        </w:rPr>
        <w:t>max</w:t>
      </w:r>
      <w:r w:rsidR="00C47636">
        <w:rPr>
          <w:rFonts w:cs="Times New Roman" w:hint="eastAsia"/>
          <w:sz w:val="21"/>
          <w:szCs w:val="21"/>
          <w:lang w:eastAsia="zh-CN"/>
        </w:rPr>
        <w:t>：</w:t>
      </w:r>
      <w:r w:rsidRPr="009E464F">
        <w:rPr>
          <w:rFonts w:cs="Times New Roman"/>
          <w:sz w:val="21"/>
          <w:szCs w:val="21"/>
          <w:lang w:eastAsia="zh-CN"/>
        </w:rPr>
        <w:t>最大的效应</w:t>
      </w:r>
      <w:r w:rsidR="00BB41FB">
        <w:rPr>
          <w:rFonts w:cs="Times New Roman" w:hint="eastAsia"/>
          <w:sz w:val="21"/>
          <w:szCs w:val="21"/>
          <w:lang w:eastAsia="zh-CN"/>
        </w:rPr>
        <w:t>；</w:t>
      </w:r>
    </w:p>
    <w:p w14:paraId="270BF92C" w14:textId="5A0233C7"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F</w:t>
      </w:r>
      <w:r w:rsidR="00C47636">
        <w:rPr>
          <w:rFonts w:cs="Times New Roman" w:hint="eastAsia"/>
          <w:sz w:val="21"/>
          <w:szCs w:val="21"/>
          <w:lang w:eastAsia="zh-CN"/>
        </w:rPr>
        <w:t>：</w:t>
      </w:r>
      <w:r w:rsidRPr="009E464F">
        <w:rPr>
          <w:rFonts w:cs="Times New Roman"/>
          <w:sz w:val="21"/>
          <w:szCs w:val="21"/>
          <w:lang w:eastAsia="zh-CN"/>
        </w:rPr>
        <w:t>生物利用度</w:t>
      </w:r>
      <w:r w:rsidR="00BB41FB">
        <w:rPr>
          <w:rFonts w:cs="Times New Roman" w:hint="eastAsia"/>
          <w:sz w:val="21"/>
          <w:szCs w:val="21"/>
          <w:lang w:eastAsia="zh-CN"/>
        </w:rPr>
        <w:t>；</w:t>
      </w:r>
    </w:p>
    <w:p w14:paraId="1162DB10" w14:textId="27EB8BFB"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F</w:t>
      </w:r>
      <w:r w:rsidRPr="009E464F">
        <w:rPr>
          <w:rFonts w:cs="Times New Roman"/>
          <w:sz w:val="21"/>
          <w:szCs w:val="21"/>
          <w:vertAlign w:val="subscript"/>
          <w:lang w:eastAsia="zh-CN"/>
        </w:rPr>
        <w:t>a</w:t>
      </w:r>
      <w:r w:rsidR="00C47636">
        <w:rPr>
          <w:rFonts w:cs="Times New Roman" w:hint="eastAsia"/>
          <w:sz w:val="21"/>
          <w:szCs w:val="21"/>
          <w:lang w:eastAsia="zh-CN"/>
        </w:rPr>
        <w:t>：</w:t>
      </w:r>
      <w:r w:rsidRPr="009E464F">
        <w:rPr>
          <w:rFonts w:cs="Times New Roman"/>
          <w:sz w:val="21"/>
          <w:szCs w:val="21"/>
          <w:lang w:eastAsia="zh-CN"/>
        </w:rPr>
        <w:t>吸收分数</w:t>
      </w:r>
      <w:r w:rsidR="00BB41FB">
        <w:rPr>
          <w:rFonts w:cs="Times New Roman" w:hint="eastAsia"/>
          <w:sz w:val="21"/>
          <w:szCs w:val="21"/>
          <w:lang w:eastAsia="zh-CN"/>
        </w:rPr>
        <w:t>；</w:t>
      </w:r>
    </w:p>
    <w:p w14:paraId="187AB2A2" w14:textId="6B74032B" w:rsidR="00B46179" w:rsidRPr="009E464F" w:rsidRDefault="00B46179">
      <w:pPr>
        <w:spacing w:after="0" w:line="240" w:lineRule="auto"/>
        <w:ind w:firstLine="420"/>
        <w:rPr>
          <w:rFonts w:cs="Times New Roman"/>
          <w:sz w:val="21"/>
          <w:szCs w:val="21"/>
          <w:lang w:eastAsia="zh-CN"/>
        </w:rPr>
      </w:pPr>
      <w:proofErr w:type="spellStart"/>
      <w:r w:rsidRPr="009E464F">
        <w:rPr>
          <w:rFonts w:cs="Times New Roman"/>
          <w:sz w:val="21"/>
          <w:szCs w:val="21"/>
          <w:lang w:eastAsia="zh-CN"/>
        </w:rPr>
        <w:t>F</w:t>
      </w:r>
      <w:r w:rsidRPr="009E464F">
        <w:rPr>
          <w:rFonts w:cs="Times New Roman"/>
          <w:sz w:val="21"/>
          <w:szCs w:val="21"/>
          <w:vertAlign w:val="subscript"/>
          <w:lang w:eastAsia="zh-CN"/>
        </w:rPr>
        <w:t>g</w:t>
      </w:r>
      <w:proofErr w:type="spellEnd"/>
      <w:r w:rsidR="00C47636">
        <w:rPr>
          <w:rFonts w:cs="Times New Roman" w:hint="eastAsia"/>
          <w:sz w:val="21"/>
          <w:szCs w:val="21"/>
          <w:lang w:eastAsia="zh-CN"/>
        </w:rPr>
        <w:t>：</w:t>
      </w:r>
      <w:r w:rsidR="009856BC" w:rsidRPr="009E464F">
        <w:rPr>
          <w:rFonts w:cs="Times New Roman"/>
          <w:sz w:val="21"/>
          <w:szCs w:val="21"/>
          <w:lang w:eastAsia="zh-CN"/>
        </w:rPr>
        <w:t>被吸收至小肠上皮细胞的药物中未经肠代谢的药物的分数</w:t>
      </w:r>
      <w:r w:rsidR="00BB41FB">
        <w:rPr>
          <w:rFonts w:cs="Times New Roman" w:hint="eastAsia"/>
          <w:sz w:val="21"/>
          <w:szCs w:val="21"/>
          <w:lang w:eastAsia="zh-CN"/>
        </w:rPr>
        <w:t>；</w:t>
      </w:r>
    </w:p>
    <w:p w14:paraId="36239EB5" w14:textId="159D74FC" w:rsidR="00B46179" w:rsidRPr="009E464F" w:rsidRDefault="00B46179">
      <w:pPr>
        <w:spacing w:after="0" w:line="240" w:lineRule="auto"/>
        <w:ind w:firstLine="420"/>
        <w:rPr>
          <w:rFonts w:cs="Times New Roman"/>
          <w:sz w:val="21"/>
          <w:szCs w:val="21"/>
          <w:lang w:eastAsia="zh-CN"/>
        </w:rPr>
      </w:pPr>
      <w:proofErr w:type="spellStart"/>
      <w:r w:rsidRPr="009E464F">
        <w:rPr>
          <w:rFonts w:cs="Times New Roman"/>
          <w:sz w:val="21"/>
          <w:szCs w:val="21"/>
          <w:lang w:eastAsia="zh-CN"/>
        </w:rPr>
        <w:t>F</w:t>
      </w:r>
      <w:r w:rsidRPr="009E464F">
        <w:rPr>
          <w:rFonts w:cs="Times New Roman"/>
          <w:sz w:val="21"/>
          <w:szCs w:val="21"/>
          <w:vertAlign w:val="subscript"/>
          <w:lang w:eastAsia="zh-CN"/>
        </w:rPr>
        <w:t>h</w:t>
      </w:r>
      <w:proofErr w:type="spellEnd"/>
      <w:r w:rsidR="00C47636">
        <w:rPr>
          <w:rFonts w:cs="Times New Roman" w:hint="eastAsia"/>
          <w:sz w:val="21"/>
          <w:szCs w:val="21"/>
          <w:lang w:eastAsia="zh-CN"/>
        </w:rPr>
        <w:t>：</w:t>
      </w:r>
      <w:r w:rsidR="00274425" w:rsidRPr="009E464F">
        <w:rPr>
          <w:rFonts w:cs="Times New Roman"/>
          <w:sz w:val="21"/>
          <w:szCs w:val="21"/>
          <w:lang w:eastAsia="zh-CN"/>
        </w:rPr>
        <w:t>进入肝脏药物中未经肝脏代谢的药物的分数</w:t>
      </w:r>
      <w:r w:rsidR="00BB41FB">
        <w:rPr>
          <w:rFonts w:cs="Times New Roman" w:hint="eastAsia"/>
          <w:sz w:val="21"/>
          <w:szCs w:val="21"/>
          <w:lang w:eastAsia="zh-CN"/>
        </w:rPr>
        <w:t>；</w:t>
      </w:r>
    </w:p>
    <w:p w14:paraId="0F8C65E4" w14:textId="3FE908FA"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Fu, p</w:t>
      </w:r>
      <w:r w:rsidR="00C47636">
        <w:rPr>
          <w:rFonts w:cs="Times New Roman" w:hint="eastAsia"/>
          <w:sz w:val="21"/>
          <w:szCs w:val="21"/>
          <w:lang w:eastAsia="zh-CN"/>
        </w:rPr>
        <w:t>：</w:t>
      </w:r>
      <w:r w:rsidRPr="009E464F">
        <w:rPr>
          <w:rFonts w:cs="Times New Roman"/>
          <w:sz w:val="21"/>
          <w:szCs w:val="21"/>
          <w:lang w:eastAsia="zh-CN"/>
        </w:rPr>
        <w:t>血浆游离分数</w:t>
      </w:r>
      <w:r w:rsidR="00BB41FB">
        <w:rPr>
          <w:rFonts w:cs="Times New Roman" w:hint="eastAsia"/>
          <w:sz w:val="21"/>
          <w:szCs w:val="21"/>
          <w:lang w:eastAsia="zh-CN"/>
        </w:rPr>
        <w:t>；</w:t>
      </w:r>
    </w:p>
    <w:p w14:paraId="182D9108" w14:textId="262C518F"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γ</w:t>
      </w:r>
      <w:r w:rsidR="00C47636">
        <w:rPr>
          <w:rFonts w:cs="Times New Roman" w:hint="eastAsia"/>
          <w:sz w:val="21"/>
          <w:szCs w:val="21"/>
          <w:lang w:eastAsia="zh-CN"/>
        </w:rPr>
        <w:t>：</w:t>
      </w:r>
      <w:r w:rsidRPr="009E464F">
        <w:rPr>
          <w:rFonts w:cs="Times New Roman"/>
          <w:sz w:val="21"/>
          <w:szCs w:val="21"/>
          <w:lang w:eastAsia="zh-CN"/>
        </w:rPr>
        <w:t>希尔系数</w:t>
      </w:r>
      <w:r w:rsidR="00BB41FB">
        <w:rPr>
          <w:rFonts w:cs="Times New Roman" w:hint="eastAsia"/>
          <w:sz w:val="21"/>
          <w:szCs w:val="21"/>
          <w:lang w:eastAsia="zh-CN"/>
        </w:rPr>
        <w:t>；</w:t>
      </w:r>
    </w:p>
    <w:p w14:paraId="27219209" w14:textId="297740F3"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lastRenderedPageBreak/>
        <w:t>IC</w:t>
      </w:r>
      <w:r w:rsidRPr="009E464F">
        <w:rPr>
          <w:rFonts w:cs="Times New Roman"/>
          <w:sz w:val="21"/>
          <w:szCs w:val="21"/>
          <w:vertAlign w:val="subscript"/>
          <w:lang w:eastAsia="zh-CN"/>
        </w:rPr>
        <w:t>50</w:t>
      </w:r>
      <w:r w:rsidR="00C47636">
        <w:rPr>
          <w:rFonts w:cs="Times New Roman" w:hint="eastAsia"/>
          <w:sz w:val="21"/>
          <w:szCs w:val="21"/>
          <w:lang w:eastAsia="zh-CN"/>
        </w:rPr>
        <w:t>：</w:t>
      </w:r>
      <w:r w:rsidRPr="009E464F">
        <w:rPr>
          <w:rFonts w:cs="Times New Roman"/>
          <w:sz w:val="21"/>
          <w:szCs w:val="21"/>
          <w:lang w:eastAsia="zh-CN"/>
        </w:rPr>
        <w:t>达到最大抑制一半时的浓度</w:t>
      </w:r>
      <w:r w:rsidR="00BB41FB">
        <w:rPr>
          <w:rFonts w:cs="Times New Roman" w:hint="eastAsia"/>
          <w:sz w:val="21"/>
          <w:szCs w:val="21"/>
          <w:lang w:eastAsia="zh-CN"/>
        </w:rPr>
        <w:t>；</w:t>
      </w:r>
    </w:p>
    <w:p w14:paraId="4DEC2A9A" w14:textId="21D9C823"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I</w:t>
      </w:r>
      <w:r w:rsidRPr="009E464F">
        <w:rPr>
          <w:rFonts w:cs="Times New Roman"/>
          <w:sz w:val="21"/>
          <w:szCs w:val="21"/>
          <w:vertAlign w:val="subscript"/>
          <w:lang w:eastAsia="zh-CN"/>
        </w:rPr>
        <w:t>max</w:t>
      </w:r>
      <w:r w:rsidR="00C47636">
        <w:rPr>
          <w:rFonts w:cs="Times New Roman" w:hint="eastAsia"/>
          <w:sz w:val="21"/>
          <w:szCs w:val="21"/>
          <w:lang w:eastAsia="zh-CN"/>
        </w:rPr>
        <w:t>：</w:t>
      </w:r>
      <w:r w:rsidRPr="009E464F">
        <w:rPr>
          <w:rFonts w:cs="Times New Roman"/>
          <w:sz w:val="21"/>
          <w:szCs w:val="21"/>
          <w:lang w:eastAsia="zh-CN"/>
        </w:rPr>
        <w:t>产生最大的效应或抑制</w:t>
      </w:r>
      <w:r w:rsidR="00BB41FB">
        <w:rPr>
          <w:rFonts w:cs="Times New Roman" w:hint="eastAsia"/>
          <w:sz w:val="21"/>
          <w:szCs w:val="21"/>
          <w:lang w:eastAsia="zh-CN"/>
        </w:rPr>
        <w:t>；</w:t>
      </w:r>
    </w:p>
    <w:p w14:paraId="782B2CC9" w14:textId="3236186D" w:rsidR="00B46179" w:rsidRPr="009E464F" w:rsidRDefault="00B46179">
      <w:pPr>
        <w:spacing w:after="0" w:line="240" w:lineRule="auto"/>
        <w:ind w:firstLine="420"/>
        <w:rPr>
          <w:rFonts w:cs="Times New Roman"/>
          <w:sz w:val="21"/>
          <w:szCs w:val="21"/>
          <w:lang w:eastAsia="zh-CN"/>
        </w:rPr>
      </w:pPr>
      <w:proofErr w:type="spellStart"/>
      <w:r w:rsidRPr="009E464F">
        <w:rPr>
          <w:rFonts w:cs="Times New Roman"/>
          <w:sz w:val="21"/>
          <w:szCs w:val="21"/>
          <w:lang w:eastAsia="zh-CN"/>
        </w:rPr>
        <w:t>J</w:t>
      </w:r>
      <w:r w:rsidRPr="009E464F">
        <w:rPr>
          <w:rFonts w:cs="Times New Roman"/>
          <w:sz w:val="21"/>
          <w:szCs w:val="21"/>
          <w:vertAlign w:val="subscript"/>
          <w:lang w:eastAsia="zh-CN"/>
        </w:rPr>
        <w:t>max</w:t>
      </w:r>
      <w:proofErr w:type="spellEnd"/>
      <w:r w:rsidR="00C47636">
        <w:rPr>
          <w:rFonts w:cs="Times New Roman" w:hint="eastAsia"/>
          <w:sz w:val="21"/>
          <w:szCs w:val="21"/>
          <w:lang w:eastAsia="zh-CN"/>
        </w:rPr>
        <w:t>：</w:t>
      </w:r>
      <w:r w:rsidRPr="009E464F">
        <w:rPr>
          <w:rFonts w:cs="Times New Roman"/>
          <w:sz w:val="21"/>
          <w:szCs w:val="21"/>
          <w:lang w:eastAsia="zh-CN"/>
        </w:rPr>
        <w:t>转运体</w:t>
      </w:r>
      <w:proofErr w:type="gramStart"/>
      <w:r w:rsidRPr="009E464F">
        <w:rPr>
          <w:rFonts w:cs="Times New Roman"/>
          <w:sz w:val="21"/>
          <w:szCs w:val="21"/>
          <w:lang w:eastAsia="zh-CN"/>
        </w:rPr>
        <w:t>介</w:t>
      </w:r>
      <w:proofErr w:type="gramEnd"/>
      <w:r w:rsidRPr="009E464F">
        <w:rPr>
          <w:rFonts w:cs="Times New Roman"/>
          <w:sz w:val="21"/>
          <w:szCs w:val="21"/>
          <w:lang w:eastAsia="zh-CN"/>
        </w:rPr>
        <w:t>导的吸收</w:t>
      </w:r>
      <w:r w:rsidRPr="009E464F">
        <w:rPr>
          <w:rFonts w:cs="Times New Roman"/>
          <w:sz w:val="21"/>
          <w:szCs w:val="21"/>
          <w:lang w:eastAsia="zh-CN"/>
        </w:rPr>
        <w:t>/</w:t>
      </w:r>
      <w:r w:rsidRPr="009E464F">
        <w:rPr>
          <w:rFonts w:cs="Times New Roman"/>
          <w:sz w:val="21"/>
          <w:szCs w:val="21"/>
          <w:lang w:eastAsia="zh-CN"/>
        </w:rPr>
        <w:t>外排的最大速率</w:t>
      </w:r>
      <w:r w:rsidR="00BB41FB">
        <w:rPr>
          <w:rFonts w:cs="Times New Roman" w:hint="eastAsia"/>
          <w:sz w:val="21"/>
          <w:szCs w:val="21"/>
          <w:lang w:eastAsia="zh-CN"/>
        </w:rPr>
        <w:t>；</w:t>
      </w:r>
    </w:p>
    <w:p w14:paraId="2B6208DE" w14:textId="0D2D6D83"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K</w:t>
      </w:r>
      <w:r w:rsidRPr="009E464F">
        <w:rPr>
          <w:rFonts w:cs="Times New Roman"/>
          <w:sz w:val="21"/>
          <w:szCs w:val="21"/>
          <w:vertAlign w:val="subscript"/>
          <w:lang w:eastAsia="zh-CN"/>
        </w:rPr>
        <w:t>a</w:t>
      </w:r>
      <w:r w:rsidR="00C47636">
        <w:rPr>
          <w:rFonts w:cs="Times New Roman" w:hint="eastAsia"/>
          <w:sz w:val="21"/>
          <w:szCs w:val="21"/>
          <w:lang w:eastAsia="zh-CN"/>
        </w:rPr>
        <w:t>：</w:t>
      </w:r>
      <w:r w:rsidRPr="009E464F">
        <w:rPr>
          <w:rFonts w:cs="Times New Roman"/>
          <w:sz w:val="21"/>
          <w:szCs w:val="21"/>
          <w:lang w:eastAsia="zh-CN"/>
        </w:rPr>
        <w:t>一级吸收速率常数</w:t>
      </w:r>
      <w:r w:rsidR="00BB41FB">
        <w:rPr>
          <w:rFonts w:cs="Times New Roman" w:hint="eastAsia"/>
          <w:sz w:val="21"/>
          <w:szCs w:val="21"/>
          <w:lang w:eastAsia="zh-CN"/>
        </w:rPr>
        <w:t>；</w:t>
      </w:r>
    </w:p>
    <w:p w14:paraId="6AFAEB36" w14:textId="76288403" w:rsidR="00B46179" w:rsidRPr="009E464F" w:rsidRDefault="00B46179">
      <w:pPr>
        <w:spacing w:after="0" w:line="240" w:lineRule="auto"/>
        <w:ind w:firstLine="420"/>
        <w:rPr>
          <w:rFonts w:cs="Times New Roman"/>
          <w:sz w:val="21"/>
          <w:szCs w:val="21"/>
          <w:lang w:eastAsia="zh-CN"/>
        </w:rPr>
      </w:pPr>
      <w:proofErr w:type="spellStart"/>
      <w:r w:rsidRPr="009E464F">
        <w:rPr>
          <w:rFonts w:cs="Times New Roman"/>
          <w:sz w:val="21"/>
          <w:szCs w:val="21"/>
          <w:lang w:eastAsia="zh-CN"/>
        </w:rPr>
        <w:t>K</w:t>
      </w:r>
      <w:r w:rsidRPr="009E464F">
        <w:rPr>
          <w:rFonts w:cs="Times New Roman"/>
          <w:sz w:val="21"/>
          <w:szCs w:val="21"/>
          <w:vertAlign w:val="subscript"/>
          <w:lang w:eastAsia="zh-CN"/>
        </w:rPr>
        <w:t>d</w:t>
      </w:r>
      <w:proofErr w:type="spellEnd"/>
      <w:r w:rsidR="00C47636">
        <w:rPr>
          <w:rFonts w:cs="Times New Roman" w:hint="eastAsia"/>
          <w:sz w:val="21"/>
          <w:szCs w:val="21"/>
          <w:lang w:eastAsia="zh-CN"/>
        </w:rPr>
        <w:t>：</w:t>
      </w:r>
      <w:r w:rsidRPr="009E464F">
        <w:rPr>
          <w:rFonts w:cs="Times New Roman"/>
          <w:sz w:val="21"/>
          <w:szCs w:val="21"/>
          <w:lang w:eastAsia="zh-CN"/>
        </w:rPr>
        <w:t>药物</w:t>
      </w:r>
      <w:r w:rsidRPr="009E464F">
        <w:rPr>
          <w:rFonts w:cs="Times New Roman"/>
          <w:sz w:val="21"/>
          <w:szCs w:val="21"/>
          <w:lang w:eastAsia="zh-CN"/>
        </w:rPr>
        <w:t>-</w:t>
      </w:r>
      <w:r w:rsidRPr="009E464F">
        <w:rPr>
          <w:rFonts w:cs="Times New Roman"/>
          <w:sz w:val="21"/>
          <w:szCs w:val="21"/>
          <w:lang w:eastAsia="zh-CN"/>
        </w:rPr>
        <w:t>蛋白质复合物的解离常数</w:t>
      </w:r>
      <w:r w:rsidR="00BB41FB">
        <w:rPr>
          <w:rFonts w:cs="Times New Roman" w:hint="eastAsia"/>
          <w:sz w:val="21"/>
          <w:szCs w:val="21"/>
          <w:lang w:eastAsia="zh-CN"/>
        </w:rPr>
        <w:t>；</w:t>
      </w:r>
    </w:p>
    <w:p w14:paraId="371E6A28" w14:textId="15F50097"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K</w:t>
      </w:r>
      <w:r w:rsidRPr="009E464F">
        <w:rPr>
          <w:rFonts w:cs="Times New Roman"/>
          <w:sz w:val="21"/>
          <w:szCs w:val="21"/>
          <w:vertAlign w:val="subscript"/>
          <w:lang w:eastAsia="zh-CN"/>
        </w:rPr>
        <w:t>i</w:t>
      </w:r>
      <w:r w:rsidR="00C47636">
        <w:rPr>
          <w:rFonts w:cs="Times New Roman" w:hint="eastAsia"/>
          <w:sz w:val="21"/>
          <w:szCs w:val="21"/>
          <w:lang w:eastAsia="zh-CN"/>
        </w:rPr>
        <w:t>：</w:t>
      </w:r>
      <w:r w:rsidRPr="009E464F">
        <w:rPr>
          <w:rFonts w:cs="Times New Roman"/>
          <w:sz w:val="21"/>
          <w:szCs w:val="21"/>
          <w:lang w:eastAsia="zh-CN"/>
        </w:rPr>
        <w:t>可逆抑制常数，达到最大抑制一半时的浓度</w:t>
      </w:r>
      <w:r w:rsidR="00BB41FB">
        <w:rPr>
          <w:rFonts w:cs="Times New Roman" w:hint="eastAsia"/>
          <w:sz w:val="21"/>
          <w:szCs w:val="21"/>
          <w:lang w:eastAsia="zh-CN"/>
        </w:rPr>
        <w:t>；</w:t>
      </w:r>
    </w:p>
    <w:p w14:paraId="24DB5DF8" w14:textId="54622B70"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K</w:t>
      </w:r>
      <w:r w:rsidRPr="009E464F">
        <w:rPr>
          <w:rFonts w:cs="Times New Roman"/>
          <w:sz w:val="21"/>
          <w:szCs w:val="21"/>
          <w:vertAlign w:val="subscript"/>
          <w:lang w:eastAsia="zh-CN"/>
        </w:rPr>
        <w:t>I</w:t>
      </w:r>
      <w:r w:rsidR="00C47636">
        <w:rPr>
          <w:rFonts w:cs="Times New Roman" w:hint="eastAsia"/>
          <w:sz w:val="21"/>
          <w:szCs w:val="21"/>
          <w:lang w:eastAsia="zh-CN"/>
        </w:rPr>
        <w:t>：</w:t>
      </w:r>
      <w:r w:rsidRPr="009E464F">
        <w:rPr>
          <w:rFonts w:cs="Times New Roman"/>
          <w:sz w:val="21"/>
          <w:szCs w:val="21"/>
          <w:lang w:eastAsia="zh-CN"/>
        </w:rPr>
        <w:t>表观失活常数，达到最大失活一半时的浓度</w:t>
      </w:r>
      <w:r w:rsidR="00BB41FB">
        <w:rPr>
          <w:rFonts w:cs="Times New Roman" w:hint="eastAsia"/>
          <w:sz w:val="21"/>
          <w:szCs w:val="21"/>
          <w:lang w:eastAsia="zh-CN"/>
        </w:rPr>
        <w:t>；</w:t>
      </w:r>
    </w:p>
    <w:p w14:paraId="0EB0B9FB" w14:textId="2B3C6449" w:rsidR="00B46179" w:rsidRPr="009E464F" w:rsidRDefault="00B46179">
      <w:pPr>
        <w:spacing w:after="0" w:line="240" w:lineRule="auto"/>
        <w:ind w:firstLine="420"/>
        <w:rPr>
          <w:rFonts w:cs="Times New Roman"/>
          <w:sz w:val="21"/>
          <w:szCs w:val="21"/>
          <w:lang w:eastAsia="zh-CN"/>
        </w:rPr>
      </w:pPr>
      <w:proofErr w:type="spellStart"/>
      <w:r w:rsidRPr="009E464F">
        <w:rPr>
          <w:rFonts w:cs="Times New Roman"/>
          <w:sz w:val="21"/>
          <w:szCs w:val="21"/>
          <w:lang w:eastAsia="zh-CN"/>
        </w:rPr>
        <w:t>k</w:t>
      </w:r>
      <w:r w:rsidRPr="009E464F">
        <w:rPr>
          <w:rFonts w:cs="Times New Roman"/>
          <w:sz w:val="21"/>
          <w:szCs w:val="21"/>
          <w:vertAlign w:val="subscript"/>
          <w:lang w:eastAsia="zh-CN"/>
        </w:rPr>
        <w:t>inact</w:t>
      </w:r>
      <w:proofErr w:type="spellEnd"/>
      <w:r w:rsidR="00C47636">
        <w:rPr>
          <w:rFonts w:cs="Times New Roman" w:hint="eastAsia"/>
          <w:sz w:val="21"/>
          <w:szCs w:val="21"/>
          <w:lang w:eastAsia="zh-CN"/>
        </w:rPr>
        <w:t>：</w:t>
      </w:r>
      <w:r w:rsidRPr="009E464F">
        <w:rPr>
          <w:rFonts w:cs="Times New Roman"/>
          <w:sz w:val="21"/>
          <w:szCs w:val="21"/>
          <w:lang w:eastAsia="zh-CN"/>
        </w:rPr>
        <w:t>表观最大失活速率常数</w:t>
      </w:r>
      <w:r w:rsidR="00BB41FB">
        <w:rPr>
          <w:rFonts w:cs="Times New Roman" w:hint="eastAsia"/>
          <w:sz w:val="21"/>
          <w:szCs w:val="21"/>
          <w:lang w:eastAsia="zh-CN"/>
        </w:rPr>
        <w:t>；</w:t>
      </w:r>
    </w:p>
    <w:p w14:paraId="2CDB7F38" w14:textId="1BF723C1"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K</w:t>
      </w:r>
      <w:r w:rsidRPr="009E464F">
        <w:rPr>
          <w:rFonts w:cs="Times New Roman"/>
          <w:sz w:val="21"/>
          <w:szCs w:val="21"/>
          <w:vertAlign w:val="subscript"/>
          <w:lang w:eastAsia="zh-CN"/>
        </w:rPr>
        <w:t>m</w:t>
      </w:r>
      <w:r w:rsidR="00C47636">
        <w:rPr>
          <w:rFonts w:cs="Times New Roman" w:hint="eastAsia"/>
          <w:sz w:val="21"/>
          <w:szCs w:val="21"/>
          <w:lang w:eastAsia="zh-CN"/>
        </w:rPr>
        <w:t>：</w:t>
      </w:r>
      <w:r w:rsidRPr="009E464F">
        <w:rPr>
          <w:rFonts w:cs="Times New Roman"/>
          <w:sz w:val="21"/>
          <w:szCs w:val="21"/>
          <w:lang w:eastAsia="zh-CN"/>
        </w:rPr>
        <w:t>米氏常数，是达到最大反应或转运速率一半时的底物浓度</w:t>
      </w:r>
      <w:r w:rsidR="00BB41FB">
        <w:rPr>
          <w:rFonts w:cs="Times New Roman" w:hint="eastAsia"/>
          <w:sz w:val="21"/>
          <w:szCs w:val="21"/>
          <w:lang w:eastAsia="zh-CN"/>
        </w:rPr>
        <w:t>；</w:t>
      </w:r>
    </w:p>
    <w:p w14:paraId="7BAC412F" w14:textId="3235BD0F" w:rsidR="00B46179" w:rsidRPr="009E464F" w:rsidRDefault="00B46179">
      <w:pPr>
        <w:spacing w:after="0" w:line="240" w:lineRule="auto"/>
        <w:ind w:firstLine="420"/>
        <w:rPr>
          <w:rFonts w:cs="Times New Roman"/>
          <w:sz w:val="21"/>
          <w:szCs w:val="21"/>
          <w:lang w:eastAsia="zh-CN"/>
        </w:rPr>
      </w:pPr>
      <w:proofErr w:type="spellStart"/>
      <w:r w:rsidRPr="009E464F">
        <w:rPr>
          <w:rFonts w:cs="Times New Roman"/>
          <w:sz w:val="21"/>
          <w:szCs w:val="21"/>
          <w:lang w:eastAsia="zh-CN"/>
        </w:rPr>
        <w:t>K</w:t>
      </w:r>
      <w:r w:rsidRPr="009E464F">
        <w:rPr>
          <w:rFonts w:cs="Times New Roman"/>
          <w:sz w:val="21"/>
          <w:szCs w:val="21"/>
          <w:vertAlign w:val="subscript"/>
          <w:lang w:eastAsia="zh-CN"/>
        </w:rPr>
        <w:t>p</w:t>
      </w:r>
      <w:proofErr w:type="spellEnd"/>
      <w:r w:rsidR="00C47636">
        <w:rPr>
          <w:rFonts w:cs="Times New Roman" w:hint="eastAsia"/>
          <w:sz w:val="21"/>
          <w:szCs w:val="21"/>
          <w:lang w:eastAsia="zh-CN"/>
        </w:rPr>
        <w:t>：</w:t>
      </w:r>
      <w:r w:rsidR="009025BB" w:rsidRPr="009E464F">
        <w:rPr>
          <w:rFonts w:cs="Times New Roman"/>
          <w:sz w:val="21"/>
          <w:szCs w:val="21"/>
          <w:lang w:eastAsia="zh-CN"/>
        </w:rPr>
        <w:t>药物的组织</w:t>
      </w:r>
      <w:r w:rsidR="009025BB" w:rsidRPr="009E464F">
        <w:rPr>
          <w:rFonts w:cs="Times New Roman"/>
          <w:sz w:val="21"/>
          <w:szCs w:val="21"/>
          <w:lang w:eastAsia="zh-CN"/>
        </w:rPr>
        <w:t>-</w:t>
      </w:r>
      <w:r w:rsidR="009025BB" w:rsidRPr="009E464F">
        <w:rPr>
          <w:rFonts w:cs="Times New Roman"/>
          <w:sz w:val="21"/>
          <w:szCs w:val="21"/>
          <w:lang w:eastAsia="zh-CN"/>
        </w:rPr>
        <w:t>血浆分配系数</w:t>
      </w:r>
      <w:r w:rsidR="00BB41FB">
        <w:rPr>
          <w:rFonts w:cs="Times New Roman" w:hint="eastAsia"/>
          <w:sz w:val="21"/>
          <w:szCs w:val="21"/>
          <w:lang w:eastAsia="zh-CN"/>
        </w:rPr>
        <w:t>；</w:t>
      </w:r>
    </w:p>
    <w:p w14:paraId="1A4DB0F9" w14:textId="449D9540" w:rsidR="00B46179" w:rsidRPr="009E464F" w:rsidRDefault="00B46179">
      <w:pPr>
        <w:spacing w:after="0" w:line="240" w:lineRule="auto"/>
        <w:ind w:firstLine="420"/>
        <w:rPr>
          <w:rFonts w:cs="Times New Roman"/>
          <w:sz w:val="21"/>
          <w:szCs w:val="21"/>
          <w:lang w:eastAsia="zh-CN"/>
        </w:rPr>
      </w:pPr>
      <w:proofErr w:type="spellStart"/>
      <w:r w:rsidRPr="009E464F">
        <w:rPr>
          <w:rFonts w:cs="Times New Roman"/>
          <w:sz w:val="21"/>
          <w:szCs w:val="21"/>
          <w:lang w:eastAsia="zh-CN"/>
        </w:rPr>
        <w:t>LogP</w:t>
      </w:r>
      <w:proofErr w:type="spellEnd"/>
      <w:r w:rsidR="00C47636">
        <w:rPr>
          <w:rFonts w:cs="Times New Roman" w:hint="eastAsia"/>
          <w:sz w:val="21"/>
          <w:szCs w:val="21"/>
          <w:lang w:eastAsia="zh-CN"/>
        </w:rPr>
        <w:t>：</w:t>
      </w:r>
      <w:r w:rsidRPr="009E464F">
        <w:rPr>
          <w:rFonts w:cs="Times New Roman"/>
          <w:sz w:val="21"/>
          <w:szCs w:val="21"/>
          <w:lang w:eastAsia="zh-CN"/>
        </w:rPr>
        <w:t>辛醇</w:t>
      </w:r>
      <w:r w:rsidRPr="009E464F">
        <w:rPr>
          <w:rFonts w:cs="Times New Roman"/>
          <w:sz w:val="21"/>
          <w:szCs w:val="21"/>
          <w:lang w:eastAsia="zh-CN"/>
        </w:rPr>
        <w:t xml:space="preserve"> - </w:t>
      </w:r>
      <w:r w:rsidRPr="009E464F">
        <w:rPr>
          <w:rFonts w:cs="Times New Roman"/>
          <w:sz w:val="21"/>
          <w:szCs w:val="21"/>
          <w:lang w:eastAsia="zh-CN"/>
        </w:rPr>
        <w:t>水分配系数的对数</w:t>
      </w:r>
      <w:r w:rsidR="00BB41FB">
        <w:rPr>
          <w:rFonts w:cs="Times New Roman" w:hint="eastAsia"/>
          <w:sz w:val="21"/>
          <w:szCs w:val="21"/>
          <w:lang w:eastAsia="zh-CN"/>
        </w:rPr>
        <w:t>；</w:t>
      </w:r>
    </w:p>
    <w:p w14:paraId="318AEE8A" w14:textId="29480790"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MOA</w:t>
      </w:r>
      <w:r w:rsidR="00C47636">
        <w:rPr>
          <w:rFonts w:cs="Times New Roman" w:hint="eastAsia"/>
          <w:sz w:val="21"/>
          <w:szCs w:val="21"/>
          <w:lang w:eastAsia="zh-CN"/>
        </w:rPr>
        <w:t>：</w:t>
      </w:r>
      <w:r w:rsidRPr="009E464F">
        <w:rPr>
          <w:rFonts w:cs="Times New Roman"/>
          <w:sz w:val="21"/>
          <w:szCs w:val="21"/>
          <w:lang w:eastAsia="zh-CN"/>
        </w:rPr>
        <w:t>作用机制</w:t>
      </w:r>
      <w:r w:rsidR="00BB41FB">
        <w:rPr>
          <w:rFonts w:cs="Times New Roman" w:hint="eastAsia"/>
          <w:sz w:val="21"/>
          <w:szCs w:val="21"/>
          <w:lang w:eastAsia="zh-CN"/>
        </w:rPr>
        <w:t>；</w:t>
      </w:r>
    </w:p>
    <w:p w14:paraId="39EDF2CF" w14:textId="606DB830"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PD</w:t>
      </w:r>
      <w:r w:rsidR="00C47636">
        <w:rPr>
          <w:rFonts w:cs="Times New Roman" w:hint="eastAsia"/>
          <w:sz w:val="21"/>
          <w:szCs w:val="21"/>
          <w:lang w:eastAsia="zh-CN"/>
        </w:rPr>
        <w:t>：</w:t>
      </w:r>
      <w:r w:rsidRPr="009E464F">
        <w:rPr>
          <w:rFonts w:cs="Times New Roman"/>
          <w:sz w:val="21"/>
          <w:szCs w:val="21"/>
          <w:lang w:eastAsia="zh-CN"/>
        </w:rPr>
        <w:t>药物的药效学</w:t>
      </w:r>
      <w:r w:rsidR="00BB41FB">
        <w:rPr>
          <w:rFonts w:cs="Times New Roman" w:hint="eastAsia"/>
          <w:sz w:val="21"/>
          <w:szCs w:val="21"/>
          <w:lang w:eastAsia="zh-CN"/>
        </w:rPr>
        <w:t>；</w:t>
      </w:r>
    </w:p>
    <w:p w14:paraId="7888BE65" w14:textId="6A3E299E" w:rsidR="00B46179" w:rsidRPr="009E464F" w:rsidRDefault="00B46179">
      <w:pPr>
        <w:spacing w:after="0" w:line="240" w:lineRule="auto"/>
        <w:ind w:firstLine="420"/>
        <w:rPr>
          <w:rFonts w:cs="Times New Roman"/>
          <w:sz w:val="21"/>
          <w:szCs w:val="21"/>
          <w:lang w:eastAsia="zh-CN"/>
        </w:rPr>
      </w:pPr>
      <w:proofErr w:type="spellStart"/>
      <w:r w:rsidRPr="009E464F">
        <w:rPr>
          <w:rFonts w:cs="Times New Roman"/>
          <w:sz w:val="21"/>
          <w:szCs w:val="21"/>
          <w:lang w:eastAsia="zh-CN"/>
        </w:rPr>
        <w:t>P</w:t>
      </w:r>
      <w:r w:rsidRPr="009E464F">
        <w:rPr>
          <w:rFonts w:cs="Times New Roman"/>
          <w:sz w:val="21"/>
          <w:szCs w:val="21"/>
          <w:vertAlign w:val="subscript"/>
          <w:lang w:eastAsia="zh-CN"/>
        </w:rPr>
        <w:t>eff</w:t>
      </w:r>
      <w:proofErr w:type="spellEnd"/>
      <w:r w:rsidR="00C47636">
        <w:rPr>
          <w:rFonts w:cs="Times New Roman" w:hint="eastAsia"/>
          <w:sz w:val="21"/>
          <w:szCs w:val="21"/>
          <w:lang w:eastAsia="zh-CN"/>
        </w:rPr>
        <w:t>：</w:t>
      </w:r>
      <w:r w:rsidRPr="009E464F">
        <w:rPr>
          <w:rFonts w:cs="Times New Roman"/>
          <w:sz w:val="21"/>
          <w:szCs w:val="21"/>
          <w:lang w:eastAsia="zh-CN"/>
        </w:rPr>
        <w:t>空肠的渗透性</w:t>
      </w:r>
      <w:r w:rsidR="00BB41FB">
        <w:rPr>
          <w:rFonts w:cs="Times New Roman" w:hint="eastAsia"/>
          <w:sz w:val="21"/>
          <w:szCs w:val="21"/>
          <w:lang w:eastAsia="zh-CN"/>
        </w:rPr>
        <w:t>；</w:t>
      </w:r>
    </w:p>
    <w:p w14:paraId="30FD28AC" w14:textId="4D100872"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PK</w:t>
      </w:r>
      <w:r w:rsidR="00C47636">
        <w:rPr>
          <w:rFonts w:cs="Times New Roman" w:hint="eastAsia"/>
          <w:sz w:val="21"/>
          <w:szCs w:val="21"/>
          <w:lang w:eastAsia="zh-CN"/>
        </w:rPr>
        <w:t>：</w:t>
      </w:r>
      <w:r w:rsidRPr="009E464F">
        <w:rPr>
          <w:rFonts w:cs="Times New Roman"/>
          <w:sz w:val="21"/>
          <w:szCs w:val="21"/>
          <w:lang w:eastAsia="zh-CN"/>
        </w:rPr>
        <w:t>药物的药代动力学</w:t>
      </w:r>
      <w:r w:rsidR="00BB41FB">
        <w:rPr>
          <w:rFonts w:cs="Times New Roman" w:hint="eastAsia"/>
          <w:sz w:val="21"/>
          <w:szCs w:val="21"/>
          <w:lang w:eastAsia="zh-CN"/>
        </w:rPr>
        <w:t>；</w:t>
      </w:r>
    </w:p>
    <w:p w14:paraId="7B0E0B3F" w14:textId="397B016B"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PopPK</w:t>
      </w:r>
      <w:r w:rsidR="00C47636">
        <w:rPr>
          <w:rFonts w:cs="Times New Roman" w:hint="eastAsia"/>
          <w:sz w:val="21"/>
          <w:szCs w:val="21"/>
          <w:lang w:eastAsia="zh-CN"/>
        </w:rPr>
        <w:t>：</w:t>
      </w:r>
      <w:r w:rsidRPr="009E464F">
        <w:rPr>
          <w:rFonts w:cs="Times New Roman"/>
          <w:sz w:val="21"/>
          <w:szCs w:val="21"/>
          <w:lang w:eastAsia="zh-CN"/>
        </w:rPr>
        <w:t>群体药代动力学</w:t>
      </w:r>
      <w:r w:rsidR="00BB41FB">
        <w:rPr>
          <w:rFonts w:cs="Times New Roman" w:hint="eastAsia"/>
          <w:sz w:val="21"/>
          <w:szCs w:val="21"/>
          <w:lang w:eastAsia="zh-CN"/>
        </w:rPr>
        <w:t>；</w:t>
      </w:r>
    </w:p>
    <w:p w14:paraId="64D27C00" w14:textId="6EC7F7AF"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V</w:t>
      </w:r>
      <w:r w:rsidR="00C47636">
        <w:rPr>
          <w:rFonts w:cs="Times New Roman" w:hint="eastAsia"/>
          <w:sz w:val="21"/>
          <w:szCs w:val="21"/>
          <w:lang w:eastAsia="zh-CN"/>
        </w:rPr>
        <w:t>：</w:t>
      </w:r>
      <w:r w:rsidRPr="009E464F">
        <w:rPr>
          <w:rFonts w:cs="Times New Roman"/>
          <w:sz w:val="21"/>
          <w:szCs w:val="21"/>
          <w:lang w:eastAsia="zh-CN"/>
        </w:rPr>
        <w:t>分布容积</w:t>
      </w:r>
      <w:r w:rsidR="00BB41FB">
        <w:rPr>
          <w:rFonts w:cs="Times New Roman" w:hint="eastAsia"/>
          <w:sz w:val="21"/>
          <w:szCs w:val="21"/>
          <w:lang w:eastAsia="zh-CN"/>
        </w:rPr>
        <w:t>；</w:t>
      </w:r>
    </w:p>
    <w:p w14:paraId="79EBFF9C" w14:textId="0875DE27" w:rsidR="00B46179" w:rsidRPr="009E464F" w:rsidRDefault="00B46179">
      <w:pPr>
        <w:spacing w:after="0" w:line="240" w:lineRule="auto"/>
        <w:ind w:firstLine="420"/>
        <w:rPr>
          <w:rFonts w:cs="Times New Roman"/>
          <w:sz w:val="21"/>
          <w:szCs w:val="21"/>
          <w:lang w:eastAsia="zh-CN"/>
        </w:rPr>
      </w:pPr>
      <w:r w:rsidRPr="009E464F">
        <w:rPr>
          <w:rFonts w:cs="Times New Roman"/>
          <w:sz w:val="21"/>
          <w:szCs w:val="21"/>
          <w:lang w:eastAsia="zh-CN"/>
        </w:rPr>
        <w:t>V</w:t>
      </w:r>
      <w:r w:rsidRPr="009E464F">
        <w:rPr>
          <w:rFonts w:cs="Times New Roman"/>
          <w:sz w:val="21"/>
          <w:szCs w:val="21"/>
          <w:vertAlign w:val="subscript"/>
          <w:lang w:eastAsia="zh-CN"/>
        </w:rPr>
        <w:t>max</w:t>
      </w:r>
      <w:r w:rsidR="00C47636">
        <w:rPr>
          <w:rFonts w:cs="Times New Roman" w:hint="eastAsia"/>
          <w:sz w:val="21"/>
          <w:szCs w:val="21"/>
          <w:lang w:eastAsia="zh-CN"/>
        </w:rPr>
        <w:t>：</w:t>
      </w:r>
      <w:r w:rsidRPr="009E464F">
        <w:rPr>
          <w:rFonts w:cs="Times New Roman"/>
          <w:sz w:val="21"/>
          <w:szCs w:val="21"/>
          <w:lang w:eastAsia="zh-CN"/>
        </w:rPr>
        <w:t>代谢物形成的最大速率。</w:t>
      </w:r>
    </w:p>
    <w:p w14:paraId="6DBA0E49" w14:textId="77777777" w:rsidR="00715915" w:rsidRPr="009E464F" w:rsidRDefault="00715915" w:rsidP="0083505F">
      <w:pPr>
        <w:spacing w:after="0" w:line="500" w:lineRule="exact"/>
        <w:ind w:firstLine="640"/>
        <w:rPr>
          <w:rFonts w:cs="Times New Roman"/>
          <w:szCs w:val="32"/>
          <w:lang w:eastAsia="zh-CN"/>
        </w:rPr>
      </w:pPr>
    </w:p>
    <w:p w14:paraId="15C30839" w14:textId="77777777" w:rsidR="00B46179" w:rsidRPr="009E464F" w:rsidRDefault="00456F75" w:rsidP="003274EA">
      <w:pPr>
        <w:spacing w:after="0"/>
        <w:ind w:firstLine="640"/>
        <w:rPr>
          <w:rFonts w:cs="Times New Roman"/>
          <w:lang w:eastAsia="zh-CN"/>
        </w:rPr>
      </w:pPr>
      <w:r w:rsidRPr="009E464F">
        <w:rPr>
          <w:rFonts w:cs="Times New Roman"/>
          <w:lang w:eastAsia="zh-CN"/>
        </w:rPr>
        <w:t>PBPK</w:t>
      </w:r>
      <w:r w:rsidR="00B46179" w:rsidRPr="009E464F">
        <w:rPr>
          <w:rFonts w:cs="Times New Roman"/>
          <w:lang w:eastAsia="zh-CN"/>
        </w:rPr>
        <w:t>模型</w:t>
      </w:r>
      <w:r w:rsidR="00026335" w:rsidRPr="009E464F">
        <w:rPr>
          <w:rFonts w:cs="Times New Roman" w:hint="eastAsia"/>
          <w:lang w:eastAsia="zh-CN"/>
        </w:rPr>
        <w:t>的</w:t>
      </w:r>
      <w:r w:rsidR="00344B53" w:rsidRPr="009E464F">
        <w:rPr>
          <w:rFonts w:cs="Times New Roman" w:hint="eastAsia"/>
          <w:lang w:eastAsia="zh-CN"/>
        </w:rPr>
        <w:t>基本</w:t>
      </w:r>
      <w:r w:rsidR="00026335" w:rsidRPr="009E464F">
        <w:rPr>
          <w:rFonts w:cs="Times New Roman" w:hint="eastAsia"/>
          <w:lang w:eastAsia="zh-CN"/>
        </w:rPr>
        <w:t>考虑</w:t>
      </w:r>
    </w:p>
    <w:p w14:paraId="761F365D" w14:textId="540B7501" w:rsidR="00B46179" w:rsidRPr="00446341" w:rsidRDefault="00F402C7" w:rsidP="003274EA">
      <w:pPr>
        <w:spacing w:after="0"/>
        <w:ind w:firstLine="640"/>
        <w:rPr>
          <w:rFonts w:cs="Times New Roman"/>
          <w:szCs w:val="32"/>
          <w:lang w:eastAsia="zh-CN"/>
        </w:rPr>
      </w:pPr>
      <w:r w:rsidRPr="0083505F">
        <w:rPr>
          <w:rFonts w:eastAsia="宋体" w:cs="Times New Roman" w:hint="eastAsia"/>
          <w:szCs w:val="32"/>
          <w:lang w:eastAsia="zh-CN"/>
        </w:rPr>
        <w:t>（</w:t>
      </w:r>
      <w:r w:rsidRPr="0083505F">
        <w:rPr>
          <w:rFonts w:eastAsia="宋体" w:cs="Times New Roman"/>
          <w:szCs w:val="32"/>
          <w:lang w:eastAsia="zh-CN"/>
        </w:rPr>
        <w:t>1</w:t>
      </w:r>
      <w:r w:rsidRPr="0083505F">
        <w:rPr>
          <w:rFonts w:eastAsia="宋体" w:cs="Times New Roman" w:hint="eastAsia"/>
          <w:szCs w:val="32"/>
          <w:lang w:eastAsia="zh-CN"/>
        </w:rPr>
        <w:t>）</w:t>
      </w:r>
      <w:r w:rsidR="00B46179" w:rsidRPr="00446341">
        <w:rPr>
          <w:rFonts w:cs="Times New Roman"/>
          <w:szCs w:val="32"/>
          <w:lang w:eastAsia="zh-CN"/>
        </w:rPr>
        <w:t>在</w:t>
      </w:r>
      <w:proofErr w:type="gramStart"/>
      <w:r w:rsidR="00B61E13" w:rsidRPr="008B17FE">
        <w:rPr>
          <w:rFonts w:cs="Times New Roman" w:hint="eastAsia"/>
          <w:szCs w:val="32"/>
          <w:lang w:eastAsia="zh-CN"/>
        </w:rPr>
        <w:t>研</w:t>
      </w:r>
      <w:proofErr w:type="gramEnd"/>
      <w:r w:rsidR="00B46179" w:rsidRPr="00446341">
        <w:rPr>
          <w:rFonts w:cs="Times New Roman"/>
          <w:szCs w:val="32"/>
          <w:lang w:eastAsia="zh-CN"/>
        </w:rPr>
        <w:t>药</w:t>
      </w:r>
      <w:r w:rsidR="005242BE" w:rsidRPr="008B17FE">
        <w:rPr>
          <w:rFonts w:cs="Times New Roman" w:hint="eastAsia"/>
          <w:szCs w:val="32"/>
          <w:lang w:eastAsia="zh-CN"/>
        </w:rPr>
        <w:t>物</w:t>
      </w:r>
      <w:r w:rsidR="00B46179" w:rsidRPr="00446341">
        <w:rPr>
          <w:rFonts w:cs="Times New Roman"/>
          <w:szCs w:val="32"/>
          <w:lang w:eastAsia="zh-CN"/>
        </w:rPr>
        <w:t>作为</w:t>
      </w:r>
      <w:proofErr w:type="gramStart"/>
      <w:r w:rsidR="00A159F2" w:rsidRPr="00446341">
        <w:rPr>
          <w:rFonts w:cs="Times New Roman"/>
          <w:szCs w:val="32"/>
          <w:lang w:eastAsia="zh-CN"/>
        </w:rPr>
        <w:t>受变药</w:t>
      </w:r>
      <w:proofErr w:type="gramEnd"/>
      <w:r w:rsidR="00B46179" w:rsidRPr="00446341">
        <w:rPr>
          <w:rFonts w:cs="Times New Roman"/>
          <w:szCs w:val="32"/>
          <w:lang w:eastAsia="zh-CN"/>
        </w:rPr>
        <w:t>的情况下，使用</w:t>
      </w:r>
      <w:r w:rsidR="00B46179" w:rsidRPr="00446341">
        <w:rPr>
          <w:rFonts w:cs="Times New Roman"/>
          <w:szCs w:val="32"/>
          <w:lang w:eastAsia="zh-CN"/>
        </w:rPr>
        <w:t>PBPK</w:t>
      </w:r>
      <w:r w:rsidR="00B46179" w:rsidRPr="00446341">
        <w:rPr>
          <w:rFonts w:cs="Times New Roman"/>
          <w:szCs w:val="32"/>
          <w:lang w:eastAsia="zh-CN"/>
        </w:rPr>
        <w:t>建模预测由酶</w:t>
      </w:r>
      <w:proofErr w:type="gramStart"/>
      <w:r w:rsidR="00B46179" w:rsidRPr="00446341">
        <w:rPr>
          <w:rFonts w:cs="Times New Roman"/>
          <w:szCs w:val="32"/>
          <w:lang w:eastAsia="zh-CN"/>
        </w:rPr>
        <w:t>介</w:t>
      </w:r>
      <w:proofErr w:type="gramEnd"/>
      <w:r w:rsidR="00B46179" w:rsidRPr="00446341">
        <w:rPr>
          <w:rFonts w:cs="Times New Roman"/>
          <w:szCs w:val="32"/>
          <w:lang w:eastAsia="zh-CN"/>
        </w:rPr>
        <w:t>导的</w:t>
      </w:r>
      <w:r w:rsidR="00B46179" w:rsidRPr="00446341">
        <w:rPr>
          <w:rFonts w:cs="Times New Roman"/>
          <w:szCs w:val="32"/>
          <w:lang w:eastAsia="zh-CN"/>
        </w:rPr>
        <w:t>DDI</w:t>
      </w:r>
      <w:r w:rsidR="00B46179" w:rsidRPr="00446341">
        <w:rPr>
          <w:rFonts w:cs="Times New Roman"/>
          <w:szCs w:val="32"/>
          <w:lang w:eastAsia="zh-CN"/>
        </w:rPr>
        <w:t>时，应</w:t>
      </w:r>
      <w:r w:rsidR="00AA311F" w:rsidRPr="008B17FE">
        <w:rPr>
          <w:rFonts w:cs="Times New Roman" w:hint="eastAsia"/>
          <w:szCs w:val="32"/>
          <w:lang w:eastAsia="zh-CN"/>
        </w:rPr>
        <w:t>考虑的要点包括但不限于以下</w:t>
      </w:r>
      <w:r w:rsidR="00B46179" w:rsidRPr="00446341">
        <w:rPr>
          <w:rFonts w:cs="Times New Roman"/>
          <w:szCs w:val="32"/>
          <w:lang w:eastAsia="zh-CN"/>
        </w:rPr>
        <w:t>问题</w:t>
      </w:r>
      <w:r w:rsidR="000E0DE4" w:rsidRPr="00446341">
        <w:rPr>
          <w:rFonts w:cs="Times New Roman"/>
          <w:szCs w:val="32"/>
          <w:lang w:eastAsia="zh-CN"/>
        </w:rPr>
        <w:t>：</w:t>
      </w:r>
      <w:r w:rsidR="00B46179" w:rsidRPr="00446341">
        <w:rPr>
          <w:rFonts w:cs="Times New Roman"/>
          <w:szCs w:val="32"/>
          <w:lang w:eastAsia="zh-CN"/>
        </w:rPr>
        <w:t>1</w:t>
      </w:r>
      <w:r w:rsidR="00B46179" w:rsidRPr="00446341">
        <w:rPr>
          <w:rFonts w:cs="Times New Roman"/>
          <w:szCs w:val="32"/>
          <w:lang w:eastAsia="zh-CN"/>
        </w:rPr>
        <w:t>）</w:t>
      </w:r>
      <w:proofErr w:type="gramStart"/>
      <w:r w:rsidR="00A159F2" w:rsidRPr="00446341">
        <w:rPr>
          <w:rFonts w:cs="Times New Roman"/>
          <w:szCs w:val="32"/>
          <w:lang w:eastAsia="zh-CN"/>
        </w:rPr>
        <w:t>受变药</w:t>
      </w:r>
      <w:proofErr w:type="gramEnd"/>
      <w:r w:rsidR="00B46179" w:rsidRPr="00446341">
        <w:rPr>
          <w:rFonts w:cs="Times New Roman"/>
          <w:szCs w:val="32"/>
          <w:lang w:eastAsia="zh-CN"/>
        </w:rPr>
        <w:t>的基础</w:t>
      </w:r>
      <w:r w:rsidR="00B46179" w:rsidRPr="00446341">
        <w:rPr>
          <w:rFonts w:cs="Times New Roman"/>
          <w:szCs w:val="32"/>
          <w:lang w:eastAsia="zh-CN"/>
        </w:rPr>
        <w:t>PBPK</w:t>
      </w:r>
      <w:r w:rsidR="00B46179" w:rsidRPr="00446341">
        <w:rPr>
          <w:rFonts w:cs="Times New Roman"/>
          <w:szCs w:val="32"/>
          <w:lang w:eastAsia="zh-CN"/>
        </w:rPr>
        <w:t>模型是否能够描述不同的给药方案（如，剂量比例研究）和给药途径（如，静脉或口服）下的临床</w:t>
      </w:r>
      <w:r w:rsidR="00B46179" w:rsidRPr="00446341">
        <w:rPr>
          <w:rFonts w:cs="Times New Roman"/>
          <w:szCs w:val="32"/>
          <w:lang w:eastAsia="zh-CN"/>
        </w:rPr>
        <w:t>PK</w:t>
      </w:r>
      <w:r w:rsidR="00B46179" w:rsidRPr="00446341">
        <w:rPr>
          <w:rFonts w:cs="Times New Roman"/>
          <w:szCs w:val="32"/>
          <w:lang w:eastAsia="zh-CN"/>
        </w:rPr>
        <w:t>数据</w:t>
      </w:r>
      <w:r w:rsidR="00C47636" w:rsidRPr="008B17FE">
        <w:rPr>
          <w:rFonts w:cs="Times New Roman" w:hint="eastAsia"/>
          <w:szCs w:val="32"/>
          <w:lang w:eastAsia="zh-CN"/>
        </w:rPr>
        <w:t>；</w:t>
      </w:r>
      <w:r w:rsidR="00B46179" w:rsidRPr="00446341">
        <w:rPr>
          <w:rFonts w:cs="Times New Roman"/>
          <w:szCs w:val="32"/>
          <w:lang w:eastAsia="zh-CN"/>
        </w:rPr>
        <w:t>2</w:t>
      </w:r>
      <w:r w:rsidR="00B46179" w:rsidRPr="00446341">
        <w:rPr>
          <w:rFonts w:cs="Times New Roman"/>
          <w:szCs w:val="32"/>
          <w:lang w:eastAsia="zh-CN"/>
        </w:rPr>
        <w:t>）各个消除途径对于</w:t>
      </w:r>
      <w:proofErr w:type="gramStart"/>
      <w:r w:rsidR="00A159F2" w:rsidRPr="00446341">
        <w:rPr>
          <w:rFonts w:cs="Times New Roman"/>
          <w:szCs w:val="32"/>
          <w:lang w:eastAsia="zh-CN"/>
        </w:rPr>
        <w:t>受变药</w:t>
      </w:r>
      <w:r w:rsidR="00B46179" w:rsidRPr="00446341">
        <w:rPr>
          <w:rFonts w:cs="Times New Roman"/>
          <w:szCs w:val="32"/>
          <w:lang w:eastAsia="zh-CN"/>
        </w:rPr>
        <w:t>整体</w:t>
      </w:r>
      <w:proofErr w:type="gramEnd"/>
      <w:r w:rsidR="00B46179" w:rsidRPr="00446341">
        <w:rPr>
          <w:rFonts w:cs="Times New Roman"/>
          <w:szCs w:val="32"/>
          <w:lang w:eastAsia="zh-CN"/>
        </w:rPr>
        <w:t>药物清除的贡献率是否可以根据体内或者体外数据得到定量分配</w:t>
      </w:r>
      <w:r w:rsidR="00C47636" w:rsidRPr="008B17FE">
        <w:rPr>
          <w:rFonts w:cs="Times New Roman" w:hint="eastAsia"/>
          <w:szCs w:val="32"/>
          <w:lang w:eastAsia="zh-CN"/>
        </w:rPr>
        <w:t>；</w:t>
      </w:r>
      <w:r w:rsidR="00B46179" w:rsidRPr="00446341">
        <w:rPr>
          <w:rFonts w:cs="Times New Roman"/>
          <w:szCs w:val="32"/>
          <w:lang w:eastAsia="zh-CN"/>
        </w:rPr>
        <w:t>3</w:t>
      </w:r>
      <w:r w:rsidR="00B46179" w:rsidRPr="00446341">
        <w:rPr>
          <w:rFonts w:cs="Times New Roman"/>
          <w:szCs w:val="32"/>
          <w:lang w:eastAsia="zh-CN"/>
        </w:rPr>
        <w:t>）</w:t>
      </w:r>
      <w:r w:rsidR="00A159F2" w:rsidRPr="00446341">
        <w:rPr>
          <w:rFonts w:cs="Times New Roman"/>
          <w:szCs w:val="32"/>
          <w:lang w:eastAsia="zh-CN"/>
        </w:rPr>
        <w:t>促变药</w:t>
      </w:r>
      <w:r w:rsidR="00B46179" w:rsidRPr="00446341">
        <w:rPr>
          <w:rFonts w:cs="Times New Roman"/>
          <w:szCs w:val="32"/>
          <w:lang w:eastAsia="zh-CN"/>
        </w:rPr>
        <w:t>模型是否可以描述其对相应酶活性的影响</w:t>
      </w:r>
      <w:r w:rsidR="00C47636" w:rsidRPr="008B17FE">
        <w:rPr>
          <w:rFonts w:cs="Times New Roman" w:hint="eastAsia"/>
          <w:szCs w:val="32"/>
          <w:lang w:eastAsia="zh-CN"/>
        </w:rPr>
        <w:t>；</w:t>
      </w:r>
      <w:r w:rsidR="00B46179" w:rsidRPr="00446341">
        <w:rPr>
          <w:rFonts w:cs="Times New Roman"/>
          <w:szCs w:val="32"/>
          <w:lang w:eastAsia="zh-CN"/>
        </w:rPr>
        <w:t>4</w:t>
      </w:r>
      <w:r w:rsidR="00B46179" w:rsidRPr="00446341">
        <w:rPr>
          <w:rFonts w:cs="Times New Roman"/>
          <w:szCs w:val="32"/>
          <w:lang w:eastAsia="zh-CN"/>
        </w:rPr>
        <w:t>）对于高度不确定性的参数，是否进行了敏感性分析</w:t>
      </w:r>
      <w:r w:rsidR="00C47636" w:rsidRPr="008B17FE">
        <w:rPr>
          <w:rFonts w:cs="Times New Roman" w:hint="eastAsia"/>
          <w:szCs w:val="32"/>
          <w:lang w:eastAsia="zh-CN"/>
        </w:rPr>
        <w:t>；</w:t>
      </w:r>
      <w:r w:rsidR="00B46179" w:rsidRPr="00446341">
        <w:rPr>
          <w:rFonts w:cs="Times New Roman"/>
          <w:szCs w:val="32"/>
          <w:lang w:eastAsia="zh-CN"/>
        </w:rPr>
        <w:t>5</w:t>
      </w:r>
      <w:r w:rsidR="00B46179" w:rsidRPr="00446341">
        <w:rPr>
          <w:rFonts w:cs="Times New Roman"/>
          <w:szCs w:val="32"/>
          <w:lang w:eastAsia="zh-CN"/>
        </w:rPr>
        <w:t>）如果预期代谢和转运机制较为复杂，</w:t>
      </w:r>
      <w:proofErr w:type="gramStart"/>
      <w:r w:rsidR="00A159F2" w:rsidRPr="00446341">
        <w:rPr>
          <w:rFonts w:cs="Times New Roman"/>
          <w:szCs w:val="32"/>
          <w:lang w:eastAsia="zh-CN"/>
        </w:rPr>
        <w:t>受变药</w:t>
      </w:r>
      <w:proofErr w:type="gramEnd"/>
      <w:r w:rsidR="00B46179" w:rsidRPr="00446341">
        <w:rPr>
          <w:rFonts w:cs="Times New Roman"/>
          <w:szCs w:val="32"/>
          <w:lang w:eastAsia="zh-CN"/>
        </w:rPr>
        <w:t>和</w:t>
      </w:r>
      <w:r w:rsidR="00A159F2" w:rsidRPr="00446341">
        <w:rPr>
          <w:rFonts w:cs="Times New Roman"/>
          <w:szCs w:val="32"/>
          <w:lang w:eastAsia="zh-CN"/>
        </w:rPr>
        <w:t>促变药</w:t>
      </w:r>
      <w:r w:rsidR="00B46179" w:rsidRPr="00446341">
        <w:rPr>
          <w:rFonts w:cs="Times New Roman"/>
          <w:szCs w:val="32"/>
          <w:lang w:eastAsia="zh-CN"/>
        </w:rPr>
        <w:t>模型是否包括主要的药物处置和相互作用机制，且已得到逐步验证</w:t>
      </w:r>
      <w:r w:rsidR="00AA311F" w:rsidRPr="008B17FE">
        <w:rPr>
          <w:rFonts w:cs="Times New Roman" w:hint="eastAsia"/>
          <w:szCs w:val="32"/>
          <w:lang w:eastAsia="zh-CN"/>
        </w:rPr>
        <w:t>等。</w:t>
      </w:r>
    </w:p>
    <w:p w14:paraId="26758ED0" w14:textId="77777777" w:rsidR="00B46179" w:rsidRPr="00446341" w:rsidRDefault="00B46179" w:rsidP="00593FAB">
      <w:pPr>
        <w:spacing w:after="0"/>
        <w:ind w:firstLine="640"/>
        <w:rPr>
          <w:rFonts w:cs="Times New Roman"/>
          <w:szCs w:val="32"/>
          <w:lang w:eastAsia="zh-CN"/>
        </w:rPr>
      </w:pPr>
      <w:r w:rsidRPr="00446341">
        <w:rPr>
          <w:rFonts w:cs="Times New Roman"/>
          <w:szCs w:val="32"/>
          <w:lang w:eastAsia="zh-CN"/>
        </w:rPr>
        <w:lastRenderedPageBreak/>
        <w:t>如果模型可以描述强效酶抑制剂或诱导剂的</w:t>
      </w:r>
      <w:r w:rsidR="009025BB" w:rsidRPr="00446341">
        <w:rPr>
          <w:rFonts w:cs="Times New Roman"/>
          <w:szCs w:val="32"/>
          <w:lang w:eastAsia="zh-CN"/>
        </w:rPr>
        <w:t>体内</w:t>
      </w:r>
      <w:r w:rsidRPr="00446341">
        <w:rPr>
          <w:rFonts w:cs="Times New Roman"/>
          <w:szCs w:val="32"/>
          <w:lang w:eastAsia="zh-CN"/>
        </w:rPr>
        <w:t>DDI</w:t>
      </w:r>
      <w:r w:rsidRPr="00446341">
        <w:rPr>
          <w:rFonts w:cs="Times New Roman"/>
          <w:szCs w:val="32"/>
          <w:lang w:eastAsia="zh-CN"/>
        </w:rPr>
        <w:t>数据，则</w:t>
      </w:r>
      <w:r w:rsidR="004570BE" w:rsidRPr="00446341">
        <w:rPr>
          <w:rFonts w:cs="Times New Roman"/>
          <w:szCs w:val="32"/>
          <w:lang w:eastAsia="zh-CN"/>
        </w:rPr>
        <w:t>申请人</w:t>
      </w:r>
      <w:r w:rsidRPr="00446341">
        <w:rPr>
          <w:rFonts w:cs="Times New Roman"/>
          <w:szCs w:val="32"/>
          <w:lang w:eastAsia="zh-CN"/>
        </w:rPr>
        <w:t>可以使用</w:t>
      </w:r>
      <w:r w:rsidRPr="00446341">
        <w:rPr>
          <w:rFonts w:cs="Times New Roman"/>
          <w:szCs w:val="32"/>
          <w:lang w:eastAsia="zh-CN"/>
        </w:rPr>
        <w:t>PBPK</w:t>
      </w:r>
      <w:r w:rsidRPr="00446341">
        <w:rPr>
          <w:rFonts w:cs="Times New Roman"/>
          <w:szCs w:val="32"/>
          <w:lang w:eastAsia="zh-CN"/>
        </w:rPr>
        <w:t>模型来预测不同的</w:t>
      </w:r>
      <w:r w:rsidR="00A159F2" w:rsidRPr="00446341">
        <w:rPr>
          <w:rFonts w:cs="Times New Roman"/>
          <w:szCs w:val="32"/>
          <w:lang w:eastAsia="zh-CN"/>
        </w:rPr>
        <w:t>促变药</w:t>
      </w:r>
      <w:r w:rsidRPr="00446341">
        <w:rPr>
          <w:rFonts w:cs="Times New Roman"/>
          <w:szCs w:val="32"/>
          <w:lang w:eastAsia="zh-CN"/>
        </w:rPr>
        <w:t>对</w:t>
      </w:r>
      <w:proofErr w:type="gramStart"/>
      <w:r w:rsidR="00A159F2" w:rsidRPr="00446341">
        <w:rPr>
          <w:rFonts w:cs="Times New Roman"/>
          <w:szCs w:val="32"/>
          <w:lang w:eastAsia="zh-CN"/>
        </w:rPr>
        <w:t>受变药</w:t>
      </w:r>
      <w:proofErr w:type="gramEnd"/>
      <w:r w:rsidRPr="00446341">
        <w:rPr>
          <w:rFonts w:cs="Times New Roman"/>
          <w:szCs w:val="32"/>
          <w:lang w:eastAsia="zh-CN"/>
        </w:rPr>
        <w:t>（</w:t>
      </w:r>
      <w:r w:rsidR="001A4A8E" w:rsidRPr="00446341">
        <w:rPr>
          <w:rFonts w:cs="Times New Roman"/>
          <w:szCs w:val="32"/>
          <w:lang w:eastAsia="zh-CN"/>
        </w:rPr>
        <w:t>在</w:t>
      </w:r>
      <w:proofErr w:type="gramStart"/>
      <w:r w:rsidR="001A4A8E" w:rsidRPr="00446341">
        <w:rPr>
          <w:rFonts w:cs="Times New Roman"/>
          <w:szCs w:val="32"/>
          <w:lang w:eastAsia="zh-CN"/>
        </w:rPr>
        <w:t>研</w:t>
      </w:r>
      <w:proofErr w:type="gramEnd"/>
      <w:r w:rsidR="001A4A8E" w:rsidRPr="00446341">
        <w:rPr>
          <w:rFonts w:cs="Times New Roman"/>
          <w:szCs w:val="32"/>
          <w:lang w:eastAsia="zh-CN"/>
        </w:rPr>
        <w:t>药物</w:t>
      </w:r>
      <w:r w:rsidRPr="00446341">
        <w:rPr>
          <w:rFonts w:cs="Times New Roman"/>
          <w:szCs w:val="32"/>
          <w:lang w:eastAsia="zh-CN"/>
        </w:rPr>
        <w:t>）</w:t>
      </w:r>
      <w:r w:rsidRPr="00446341">
        <w:rPr>
          <w:rFonts w:cs="Times New Roman"/>
          <w:szCs w:val="32"/>
          <w:lang w:eastAsia="zh-CN"/>
        </w:rPr>
        <w:t>PK</w:t>
      </w:r>
      <w:r w:rsidRPr="00446341">
        <w:rPr>
          <w:rFonts w:cs="Times New Roman"/>
          <w:szCs w:val="32"/>
          <w:lang w:eastAsia="zh-CN"/>
        </w:rPr>
        <w:t>的影响。</w:t>
      </w:r>
    </w:p>
    <w:p w14:paraId="06F49350" w14:textId="2689BC50" w:rsidR="00B46179" w:rsidRPr="00446341" w:rsidRDefault="00CB680A" w:rsidP="003274EA">
      <w:pPr>
        <w:spacing w:after="0"/>
        <w:ind w:firstLine="640"/>
        <w:rPr>
          <w:rFonts w:cs="Times New Roman"/>
          <w:lang w:eastAsia="zh-CN"/>
        </w:rPr>
      </w:pPr>
      <w:r w:rsidRPr="0083505F">
        <w:rPr>
          <w:rFonts w:eastAsia="宋体" w:cs="Times New Roman" w:hint="eastAsia"/>
          <w:szCs w:val="32"/>
          <w:lang w:eastAsia="zh-CN"/>
        </w:rPr>
        <w:t>（</w:t>
      </w:r>
      <w:r w:rsidRPr="0083505F">
        <w:rPr>
          <w:rFonts w:eastAsia="宋体" w:cs="Times New Roman"/>
          <w:szCs w:val="32"/>
          <w:lang w:eastAsia="zh-CN"/>
        </w:rPr>
        <w:t>2</w:t>
      </w:r>
      <w:r w:rsidRPr="0083505F">
        <w:rPr>
          <w:rFonts w:eastAsia="宋体" w:cs="Times New Roman" w:hint="eastAsia"/>
          <w:szCs w:val="32"/>
          <w:lang w:eastAsia="zh-CN"/>
        </w:rPr>
        <w:t>）</w:t>
      </w:r>
      <w:r w:rsidR="00B46179" w:rsidRPr="00446341">
        <w:rPr>
          <w:rFonts w:cs="Times New Roman"/>
          <w:lang w:eastAsia="zh-CN"/>
        </w:rPr>
        <w:t>在</w:t>
      </w:r>
      <w:proofErr w:type="gramStart"/>
      <w:r w:rsidRPr="008B17FE">
        <w:rPr>
          <w:rFonts w:cs="Times New Roman" w:hint="eastAsia"/>
          <w:lang w:eastAsia="zh-CN"/>
        </w:rPr>
        <w:t>研</w:t>
      </w:r>
      <w:proofErr w:type="gramEnd"/>
      <w:r w:rsidRPr="008B17FE">
        <w:rPr>
          <w:rFonts w:cs="Times New Roman" w:hint="eastAsia"/>
          <w:lang w:eastAsia="zh-CN"/>
        </w:rPr>
        <w:t>药物</w:t>
      </w:r>
      <w:r w:rsidR="00B46179" w:rsidRPr="00446341">
        <w:rPr>
          <w:rFonts w:cs="Times New Roman"/>
          <w:lang w:eastAsia="zh-CN"/>
        </w:rPr>
        <w:t>作为</w:t>
      </w:r>
      <w:r w:rsidR="00A159F2" w:rsidRPr="00446341">
        <w:rPr>
          <w:rFonts w:cs="Times New Roman"/>
          <w:lang w:eastAsia="zh-CN"/>
        </w:rPr>
        <w:t>促变药</w:t>
      </w:r>
      <w:r w:rsidR="00B46179" w:rsidRPr="00446341">
        <w:rPr>
          <w:rFonts w:cs="Times New Roman"/>
          <w:lang w:eastAsia="zh-CN"/>
        </w:rPr>
        <w:t>的情况下，使用</w:t>
      </w:r>
      <w:r w:rsidR="00B46179" w:rsidRPr="00446341">
        <w:rPr>
          <w:rFonts w:cs="Times New Roman"/>
          <w:lang w:eastAsia="zh-CN"/>
        </w:rPr>
        <w:t>PBPK</w:t>
      </w:r>
      <w:r w:rsidR="00B46179" w:rsidRPr="00446341">
        <w:rPr>
          <w:rFonts w:cs="Times New Roman"/>
          <w:lang w:eastAsia="zh-CN"/>
        </w:rPr>
        <w:t>建模预测由酶</w:t>
      </w:r>
      <w:proofErr w:type="gramStart"/>
      <w:r w:rsidR="00B46179" w:rsidRPr="00446341">
        <w:rPr>
          <w:rFonts w:cs="Times New Roman"/>
          <w:lang w:eastAsia="zh-CN"/>
        </w:rPr>
        <w:t>介</w:t>
      </w:r>
      <w:proofErr w:type="gramEnd"/>
      <w:r w:rsidR="00B46179" w:rsidRPr="00446341">
        <w:rPr>
          <w:rFonts w:cs="Times New Roman"/>
          <w:lang w:eastAsia="zh-CN"/>
        </w:rPr>
        <w:t>导的</w:t>
      </w:r>
      <w:r w:rsidR="00B46179" w:rsidRPr="00446341">
        <w:rPr>
          <w:rFonts w:cs="Times New Roman"/>
          <w:lang w:eastAsia="zh-CN"/>
        </w:rPr>
        <w:t>DDI</w:t>
      </w:r>
      <w:r w:rsidR="00B46179" w:rsidRPr="00446341">
        <w:rPr>
          <w:rFonts w:cs="Times New Roman"/>
          <w:lang w:eastAsia="zh-CN"/>
        </w:rPr>
        <w:t>时，</w:t>
      </w:r>
      <w:r w:rsidR="00941997" w:rsidRPr="00446341">
        <w:rPr>
          <w:rFonts w:cs="Times New Roman"/>
          <w:szCs w:val="32"/>
          <w:lang w:eastAsia="zh-CN"/>
        </w:rPr>
        <w:t>应</w:t>
      </w:r>
      <w:r w:rsidR="00941997" w:rsidRPr="008B17FE">
        <w:rPr>
          <w:rFonts w:cs="Times New Roman" w:hint="eastAsia"/>
          <w:szCs w:val="32"/>
          <w:lang w:eastAsia="zh-CN"/>
        </w:rPr>
        <w:t>考虑的要点包括但不限于以下</w:t>
      </w:r>
      <w:r w:rsidR="00941997" w:rsidRPr="00446341">
        <w:rPr>
          <w:rFonts w:cs="Times New Roman"/>
          <w:szCs w:val="32"/>
          <w:lang w:eastAsia="zh-CN"/>
        </w:rPr>
        <w:t>问题：</w:t>
      </w:r>
      <w:r w:rsidR="00941997" w:rsidRPr="008B17FE">
        <w:rPr>
          <w:rFonts w:cs="Times New Roman"/>
          <w:szCs w:val="32"/>
          <w:lang w:eastAsia="zh-CN"/>
        </w:rPr>
        <w:t>1</w:t>
      </w:r>
      <w:r w:rsidR="00941997" w:rsidRPr="008B17FE">
        <w:rPr>
          <w:rFonts w:cs="Times New Roman" w:hint="eastAsia"/>
          <w:szCs w:val="32"/>
          <w:lang w:eastAsia="zh-CN"/>
        </w:rPr>
        <w:t>）</w:t>
      </w:r>
      <w:r w:rsidR="00A159F2" w:rsidRPr="00446341">
        <w:rPr>
          <w:rFonts w:cs="Times New Roman"/>
          <w:lang w:eastAsia="zh-CN"/>
        </w:rPr>
        <w:t>促变药</w:t>
      </w:r>
      <w:r w:rsidR="00B46179" w:rsidRPr="00446341">
        <w:rPr>
          <w:rFonts w:cs="Times New Roman"/>
          <w:lang w:eastAsia="zh-CN"/>
        </w:rPr>
        <w:t>的</w:t>
      </w:r>
      <w:r w:rsidR="00B46179" w:rsidRPr="00446341">
        <w:rPr>
          <w:rFonts w:cs="Times New Roman"/>
          <w:lang w:eastAsia="zh-CN"/>
        </w:rPr>
        <w:t>PBPK</w:t>
      </w:r>
      <w:r w:rsidR="00B46179" w:rsidRPr="00446341">
        <w:rPr>
          <w:rFonts w:cs="Times New Roman"/>
          <w:lang w:eastAsia="zh-CN"/>
        </w:rPr>
        <w:t>模型是否能够描述不同的给药方案（例如剂量比例研究）和给药途径（如，静脉或口服）下的临床</w:t>
      </w:r>
      <w:r w:rsidR="00B46179" w:rsidRPr="00446341">
        <w:rPr>
          <w:rFonts w:cs="Times New Roman"/>
          <w:lang w:eastAsia="zh-CN"/>
        </w:rPr>
        <w:t>PK</w:t>
      </w:r>
      <w:r w:rsidR="00B46179" w:rsidRPr="00446341">
        <w:rPr>
          <w:rFonts w:cs="Times New Roman"/>
          <w:lang w:eastAsia="zh-CN"/>
        </w:rPr>
        <w:t>数据</w:t>
      </w:r>
      <w:r w:rsidR="00C47636" w:rsidRPr="008B17FE">
        <w:rPr>
          <w:rFonts w:cs="Times New Roman" w:hint="eastAsia"/>
          <w:lang w:eastAsia="zh-CN"/>
        </w:rPr>
        <w:t>；</w:t>
      </w:r>
      <w:r w:rsidR="00941997" w:rsidRPr="008B17FE">
        <w:rPr>
          <w:rFonts w:cs="Times New Roman"/>
          <w:lang w:eastAsia="zh-CN"/>
        </w:rPr>
        <w:t>2</w:t>
      </w:r>
      <w:r w:rsidR="00941997" w:rsidRPr="008B17FE">
        <w:rPr>
          <w:rFonts w:cs="Times New Roman" w:hint="eastAsia"/>
          <w:lang w:eastAsia="zh-CN"/>
        </w:rPr>
        <w:t>）</w:t>
      </w:r>
      <w:r w:rsidR="00216BEB" w:rsidRPr="00446341">
        <w:rPr>
          <w:rFonts w:cs="Times New Roman"/>
          <w:lang w:eastAsia="zh-CN"/>
        </w:rPr>
        <w:t>指针</w:t>
      </w:r>
      <w:r w:rsidR="00B46179" w:rsidRPr="00446341">
        <w:rPr>
          <w:rFonts w:cs="Times New Roman"/>
          <w:lang w:eastAsia="zh-CN"/>
        </w:rPr>
        <w:t>底物（</w:t>
      </w:r>
      <w:proofErr w:type="gramStart"/>
      <w:r w:rsidR="00A159F2" w:rsidRPr="00446341">
        <w:rPr>
          <w:rFonts w:cs="Times New Roman"/>
          <w:lang w:eastAsia="zh-CN"/>
        </w:rPr>
        <w:t>受变药</w:t>
      </w:r>
      <w:proofErr w:type="gramEnd"/>
      <w:r w:rsidR="00B46179" w:rsidRPr="00446341">
        <w:rPr>
          <w:rFonts w:cs="Times New Roman"/>
          <w:lang w:eastAsia="zh-CN"/>
        </w:rPr>
        <w:t>）模型是否可以描述当相应的</w:t>
      </w:r>
      <w:proofErr w:type="gramStart"/>
      <w:r w:rsidR="00B46179" w:rsidRPr="00446341">
        <w:rPr>
          <w:rFonts w:cs="Times New Roman"/>
          <w:lang w:eastAsia="zh-CN"/>
        </w:rPr>
        <w:t>酶受到</w:t>
      </w:r>
      <w:proofErr w:type="gramEnd"/>
      <w:r w:rsidR="00B46179" w:rsidRPr="00446341">
        <w:rPr>
          <w:rFonts w:cs="Times New Roman"/>
          <w:lang w:eastAsia="zh-CN"/>
        </w:rPr>
        <w:t>影响时，</w:t>
      </w:r>
      <w:proofErr w:type="gramStart"/>
      <w:r w:rsidR="00A159F2" w:rsidRPr="00446341">
        <w:rPr>
          <w:rFonts w:cs="Times New Roman"/>
          <w:lang w:eastAsia="zh-CN"/>
        </w:rPr>
        <w:t>受变药</w:t>
      </w:r>
      <w:proofErr w:type="gramEnd"/>
      <w:r w:rsidR="00B46179" w:rsidRPr="00446341">
        <w:rPr>
          <w:rFonts w:cs="Times New Roman"/>
          <w:lang w:eastAsia="zh-CN"/>
        </w:rPr>
        <w:t>PK</w:t>
      </w:r>
      <w:r w:rsidR="00B46179" w:rsidRPr="00446341">
        <w:rPr>
          <w:rFonts w:cs="Times New Roman"/>
          <w:lang w:eastAsia="zh-CN"/>
        </w:rPr>
        <w:t>的变化</w:t>
      </w:r>
      <w:r w:rsidR="00C47636" w:rsidRPr="008B17FE">
        <w:rPr>
          <w:rFonts w:cs="Times New Roman" w:hint="eastAsia"/>
          <w:lang w:eastAsia="zh-CN"/>
        </w:rPr>
        <w:t>；</w:t>
      </w:r>
      <w:r w:rsidR="00941997" w:rsidRPr="008B17FE">
        <w:rPr>
          <w:rFonts w:cs="Times New Roman"/>
          <w:lang w:eastAsia="zh-CN"/>
        </w:rPr>
        <w:t>3</w:t>
      </w:r>
      <w:r w:rsidR="00941997" w:rsidRPr="008B17FE">
        <w:rPr>
          <w:rFonts w:cs="Times New Roman" w:hint="eastAsia"/>
          <w:lang w:eastAsia="zh-CN"/>
        </w:rPr>
        <w:t>）</w:t>
      </w:r>
      <w:r w:rsidR="00B46179" w:rsidRPr="00446341">
        <w:rPr>
          <w:rFonts w:cs="Times New Roman"/>
          <w:lang w:eastAsia="zh-CN"/>
        </w:rPr>
        <w:t>当抑制与诱导作用同时存在时，</w:t>
      </w:r>
      <w:r w:rsidR="00B46179" w:rsidRPr="00446341">
        <w:rPr>
          <w:rFonts w:cs="Times New Roman"/>
          <w:lang w:eastAsia="zh-CN"/>
        </w:rPr>
        <w:t xml:space="preserve"> </w:t>
      </w:r>
      <w:r w:rsidR="00B46179" w:rsidRPr="00446341">
        <w:rPr>
          <w:rFonts w:cs="Times New Roman"/>
          <w:lang w:eastAsia="zh-CN"/>
        </w:rPr>
        <w:t>是否分别评估了抑制和诱导机制引起的药物间作用</w:t>
      </w:r>
      <w:r w:rsidR="00F941E9" w:rsidRPr="00446341">
        <w:rPr>
          <w:rFonts w:cs="Times New Roman"/>
          <w:lang w:eastAsia="zh-CN"/>
        </w:rPr>
        <w:t>（</w:t>
      </w:r>
      <w:r w:rsidR="00B46179" w:rsidRPr="00446341">
        <w:rPr>
          <w:rFonts w:cs="Times New Roman"/>
          <w:lang w:eastAsia="zh-CN"/>
        </w:rPr>
        <w:t>该方法可以对其在体内的酶抑制或诱导作用做保守估计</w:t>
      </w:r>
      <w:r w:rsidR="00C47636" w:rsidRPr="008B17FE">
        <w:rPr>
          <w:rFonts w:cs="Times New Roman" w:hint="eastAsia"/>
          <w:lang w:eastAsia="zh-CN"/>
        </w:rPr>
        <w:t>；</w:t>
      </w:r>
      <w:r w:rsidR="00941997" w:rsidRPr="008B17FE">
        <w:rPr>
          <w:rFonts w:cs="Times New Roman"/>
          <w:lang w:eastAsia="zh-CN"/>
        </w:rPr>
        <w:t>4</w:t>
      </w:r>
      <w:r w:rsidR="00941997" w:rsidRPr="008B17FE">
        <w:rPr>
          <w:rFonts w:cs="Times New Roman" w:hint="eastAsia"/>
          <w:lang w:eastAsia="zh-CN"/>
        </w:rPr>
        <w:t>）</w:t>
      </w:r>
      <w:r w:rsidR="00B46179" w:rsidRPr="00446341">
        <w:rPr>
          <w:rFonts w:cs="Times New Roman"/>
          <w:lang w:eastAsia="zh-CN"/>
        </w:rPr>
        <w:t>针对</w:t>
      </w:r>
      <w:r w:rsidR="00B46179" w:rsidRPr="00446341">
        <w:rPr>
          <w:rFonts w:cs="Times New Roman"/>
          <w:lang w:eastAsia="zh-CN"/>
        </w:rPr>
        <w:t xml:space="preserve">DDI </w:t>
      </w:r>
      <w:r w:rsidR="00B46179" w:rsidRPr="00446341">
        <w:rPr>
          <w:rFonts w:cs="Times New Roman"/>
          <w:lang w:eastAsia="zh-CN"/>
        </w:rPr>
        <w:t>的试验模拟是否使用了试验药的临床最大剂量</w:t>
      </w:r>
      <w:r w:rsidR="00C47636" w:rsidRPr="008B17FE">
        <w:rPr>
          <w:rFonts w:cs="Times New Roman" w:hint="eastAsia"/>
          <w:lang w:eastAsia="zh-CN"/>
        </w:rPr>
        <w:t>；</w:t>
      </w:r>
      <w:r w:rsidR="00941997" w:rsidRPr="008B17FE">
        <w:rPr>
          <w:rFonts w:cs="Times New Roman"/>
          <w:lang w:eastAsia="zh-CN"/>
        </w:rPr>
        <w:t>5</w:t>
      </w:r>
      <w:r w:rsidR="00941997" w:rsidRPr="008B17FE">
        <w:rPr>
          <w:rFonts w:cs="Times New Roman" w:hint="eastAsia"/>
          <w:lang w:eastAsia="zh-CN"/>
        </w:rPr>
        <w:t>）</w:t>
      </w:r>
      <w:r w:rsidR="00B46179" w:rsidRPr="00446341">
        <w:rPr>
          <w:rFonts w:cs="Times New Roman"/>
          <w:lang w:eastAsia="zh-CN"/>
        </w:rPr>
        <w:t>对于高度不确定性的参数，是否进行了敏感性分析</w:t>
      </w:r>
      <w:r w:rsidR="00941997" w:rsidRPr="008B17FE">
        <w:rPr>
          <w:rFonts w:cs="Times New Roman" w:hint="eastAsia"/>
          <w:lang w:eastAsia="zh-CN"/>
        </w:rPr>
        <w:t>等。</w:t>
      </w:r>
    </w:p>
    <w:p w14:paraId="6FC41E0E" w14:textId="08F88836" w:rsidR="00B46179" w:rsidRPr="00446341" w:rsidRDefault="00B46179" w:rsidP="00593FAB">
      <w:pPr>
        <w:spacing w:after="0"/>
        <w:ind w:firstLine="640"/>
        <w:rPr>
          <w:rFonts w:cs="Times New Roman"/>
          <w:lang w:eastAsia="zh-CN"/>
        </w:rPr>
      </w:pPr>
      <w:r w:rsidRPr="00446341">
        <w:rPr>
          <w:rFonts w:cs="Times New Roman"/>
          <w:lang w:eastAsia="zh-CN"/>
        </w:rPr>
        <w:t>由于并不完全了解其他机制引起的药物</w:t>
      </w:r>
      <w:r w:rsidR="00C47636" w:rsidRPr="008B17FE">
        <w:rPr>
          <w:rFonts w:cs="Times New Roman" w:hint="eastAsia"/>
          <w:lang w:eastAsia="zh-CN"/>
        </w:rPr>
        <w:t>相互</w:t>
      </w:r>
      <w:r w:rsidRPr="00446341">
        <w:rPr>
          <w:rFonts w:cs="Times New Roman"/>
          <w:lang w:eastAsia="zh-CN"/>
        </w:rPr>
        <w:t>作用的机理，对生物学知识的缺乏以及对某些生理参数的不可及，使用</w:t>
      </w:r>
      <w:r w:rsidRPr="00446341">
        <w:rPr>
          <w:rFonts w:cs="Times New Roman"/>
          <w:lang w:eastAsia="zh-CN"/>
        </w:rPr>
        <w:t>PBPK</w:t>
      </w:r>
      <w:r w:rsidRPr="00446341">
        <w:rPr>
          <w:rFonts w:cs="Times New Roman"/>
          <w:lang w:eastAsia="zh-CN"/>
        </w:rPr>
        <w:t>模型进行其他机制引起的药物</w:t>
      </w:r>
      <w:r w:rsidR="00C47636" w:rsidRPr="008B17FE">
        <w:rPr>
          <w:rFonts w:cs="Times New Roman" w:hint="eastAsia"/>
          <w:lang w:eastAsia="zh-CN"/>
        </w:rPr>
        <w:t>相互</w:t>
      </w:r>
      <w:r w:rsidRPr="00446341">
        <w:rPr>
          <w:rFonts w:cs="Times New Roman"/>
          <w:lang w:eastAsia="zh-CN"/>
        </w:rPr>
        <w:t>作用时的预测性仍需进行确认。但一般需要明确药物间可能存在的作用机制，对于各个机制所对应的关键模型以及关键参数需要基于体内数据进行验证，例如</w:t>
      </w:r>
      <w:r w:rsidR="00C47636" w:rsidRPr="008B17FE">
        <w:rPr>
          <w:rFonts w:cs="Times New Roman" w:hint="eastAsia"/>
          <w:lang w:eastAsia="zh-CN"/>
        </w:rPr>
        <w:t>若</w:t>
      </w:r>
      <w:r w:rsidRPr="00446341">
        <w:rPr>
          <w:rFonts w:cs="Times New Roman"/>
          <w:lang w:eastAsia="zh-CN"/>
        </w:rPr>
        <w:t>药物间相互作用是由胃内</w:t>
      </w:r>
      <w:r w:rsidRPr="00446341">
        <w:rPr>
          <w:rFonts w:cs="Times New Roman"/>
          <w:lang w:eastAsia="zh-CN"/>
        </w:rPr>
        <w:t>pH</w:t>
      </w:r>
      <w:r w:rsidRPr="00446341">
        <w:rPr>
          <w:rFonts w:cs="Times New Roman"/>
          <w:lang w:eastAsia="zh-CN"/>
        </w:rPr>
        <w:t>改变引起的，则需要对吸收模型以及与吸收相关的理化参数包括颗粒大小，溶解度做合理估计，如可能，需要使用食物</w:t>
      </w:r>
      <w:r w:rsidRPr="00446341">
        <w:rPr>
          <w:rFonts w:cs="Times New Roman"/>
          <w:lang w:eastAsia="zh-CN"/>
        </w:rPr>
        <w:t>-</w:t>
      </w:r>
      <w:r w:rsidRPr="00446341">
        <w:rPr>
          <w:rFonts w:cs="Times New Roman"/>
          <w:lang w:eastAsia="zh-CN"/>
        </w:rPr>
        <w:t>药物相互作用的</w:t>
      </w:r>
      <w:r w:rsidRPr="00446341">
        <w:rPr>
          <w:rFonts w:cs="Times New Roman"/>
          <w:lang w:eastAsia="zh-CN"/>
        </w:rPr>
        <w:t>PK</w:t>
      </w:r>
      <w:r w:rsidRPr="00446341">
        <w:rPr>
          <w:rFonts w:cs="Times New Roman"/>
          <w:lang w:eastAsia="zh-CN"/>
        </w:rPr>
        <w:t>数据或者不同剂型下的</w:t>
      </w:r>
      <w:r w:rsidRPr="00446341">
        <w:rPr>
          <w:rFonts w:cs="Times New Roman"/>
          <w:lang w:eastAsia="zh-CN"/>
        </w:rPr>
        <w:t>PK</w:t>
      </w:r>
      <w:r w:rsidRPr="00446341">
        <w:rPr>
          <w:rFonts w:cs="Times New Roman"/>
          <w:lang w:eastAsia="zh-CN"/>
        </w:rPr>
        <w:t>数据对模型进</w:t>
      </w:r>
      <w:r w:rsidRPr="00446341">
        <w:rPr>
          <w:rFonts w:cs="Times New Roman"/>
          <w:lang w:eastAsia="zh-CN"/>
        </w:rPr>
        <w:lastRenderedPageBreak/>
        <w:t>行验证。对于由疾病合并其他机制共同引起的药物间相互作用，则需要不仅验证模型在疾病人群中对在</w:t>
      </w:r>
      <w:proofErr w:type="gramStart"/>
      <w:r w:rsidRPr="00446341">
        <w:rPr>
          <w:rFonts w:cs="Times New Roman"/>
          <w:lang w:eastAsia="zh-CN"/>
        </w:rPr>
        <w:t>研</w:t>
      </w:r>
      <w:proofErr w:type="gramEnd"/>
      <w:r w:rsidRPr="00446341">
        <w:rPr>
          <w:rFonts w:cs="Times New Roman"/>
          <w:lang w:eastAsia="zh-CN"/>
        </w:rPr>
        <w:t>药物一般情况下</w:t>
      </w:r>
      <w:r w:rsidRPr="00446341">
        <w:rPr>
          <w:rFonts w:cs="Times New Roman"/>
          <w:lang w:eastAsia="zh-CN"/>
        </w:rPr>
        <w:t>PK</w:t>
      </w:r>
      <w:r w:rsidRPr="00446341">
        <w:rPr>
          <w:rFonts w:cs="Times New Roman"/>
          <w:lang w:eastAsia="zh-CN"/>
        </w:rPr>
        <w:t>的预测性，同时也要对其他机制引起的药物间相</w:t>
      </w:r>
      <w:r w:rsidR="009C40A3" w:rsidRPr="00446341">
        <w:rPr>
          <w:rFonts w:cs="Times New Roman"/>
          <w:lang w:eastAsia="zh-CN"/>
        </w:rPr>
        <w:t>互</w:t>
      </w:r>
      <w:r w:rsidRPr="00446341">
        <w:rPr>
          <w:rFonts w:cs="Times New Roman"/>
          <w:lang w:eastAsia="zh-CN"/>
        </w:rPr>
        <w:t>作用做验证。</w:t>
      </w:r>
      <w:r w:rsidRPr="00446341">
        <w:rPr>
          <w:rFonts w:cs="Times New Roman"/>
          <w:lang w:eastAsia="zh-CN"/>
        </w:rPr>
        <w:t xml:space="preserve"> </w:t>
      </w:r>
      <w:r w:rsidRPr="00446341">
        <w:rPr>
          <w:rFonts w:cs="Times New Roman"/>
          <w:lang w:eastAsia="zh-CN"/>
        </w:rPr>
        <w:t>对于高度不确定性的参数，</w:t>
      </w:r>
      <w:r w:rsidRPr="00446341">
        <w:rPr>
          <w:rFonts w:cs="Times New Roman"/>
          <w:lang w:eastAsia="zh-CN"/>
        </w:rPr>
        <w:t xml:space="preserve"> </w:t>
      </w:r>
      <w:r w:rsidRPr="00446341">
        <w:rPr>
          <w:rFonts w:cs="Times New Roman"/>
          <w:lang w:eastAsia="zh-CN"/>
        </w:rPr>
        <w:t>需要进行敏感性分析</w:t>
      </w:r>
      <w:r w:rsidR="000E0DE4" w:rsidRPr="00446341">
        <w:rPr>
          <w:rFonts w:cs="Times New Roman"/>
          <w:lang w:eastAsia="zh-CN"/>
        </w:rPr>
        <w:t>。</w:t>
      </w:r>
    </w:p>
    <w:p w14:paraId="2A68071E" w14:textId="77777777" w:rsidR="008663B1" w:rsidRDefault="008663B1" w:rsidP="00593FAB">
      <w:pPr>
        <w:spacing w:after="0"/>
        <w:ind w:firstLineChars="0"/>
        <w:jc w:val="left"/>
        <w:rPr>
          <w:rFonts w:cs="Times New Roman"/>
          <w:lang w:eastAsia="zh-CN"/>
        </w:rPr>
        <w:sectPr w:rsidR="008663B1" w:rsidSect="00721D10">
          <w:pgSz w:w="12240" w:h="15840"/>
          <w:pgMar w:top="1440" w:right="1440" w:bottom="1440" w:left="1440" w:header="720" w:footer="720" w:gutter="0"/>
          <w:lnNumType w:countBy="1" w:restart="continuous"/>
          <w:cols w:space="720"/>
          <w:docGrid w:linePitch="435"/>
        </w:sectPr>
      </w:pPr>
    </w:p>
    <w:p w14:paraId="180FE6CA" w14:textId="77777777" w:rsidR="00597B75" w:rsidRPr="009E464F" w:rsidRDefault="00597B75" w:rsidP="00593FAB">
      <w:pPr>
        <w:pStyle w:val="2"/>
      </w:pPr>
      <w:bookmarkStart w:id="82" w:name="_Toc50395981"/>
      <w:r w:rsidRPr="008663B1">
        <w:lastRenderedPageBreak/>
        <w:t>附录</w:t>
      </w:r>
      <w:r w:rsidR="00477824" w:rsidRPr="008663B1">
        <w:t>3</w:t>
      </w:r>
      <w:r w:rsidRPr="008663B1">
        <w:t>.</w:t>
      </w:r>
      <w:r w:rsidRPr="009E464F">
        <w:t xml:space="preserve"> </w:t>
      </w:r>
      <w:r w:rsidRPr="009E464F">
        <w:t>体外评估代谢酶</w:t>
      </w:r>
      <w:proofErr w:type="gramStart"/>
      <w:r w:rsidRPr="009E464F">
        <w:t>介</w:t>
      </w:r>
      <w:proofErr w:type="gramEnd"/>
      <w:r w:rsidRPr="009E464F">
        <w:t>导的药物相互作用</w:t>
      </w:r>
      <w:bookmarkEnd w:id="82"/>
    </w:p>
    <w:p w14:paraId="6AE166E1" w14:textId="77777777" w:rsidR="0069044B" w:rsidRDefault="00182B35" w:rsidP="00593FAB">
      <w:pPr>
        <w:spacing w:after="0"/>
        <w:ind w:firstLine="640"/>
        <w:rPr>
          <w:rFonts w:cs="Times New Roman"/>
          <w:lang w:eastAsia="zh-CN"/>
        </w:rPr>
      </w:pPr>
      <w:r w:rsidRPr="009E464F">
        <w:rPr>
          <w:rFonts w:cs="Times New Roman"/>
          <w:lang w:eastAsia="zh-CN"/>
        </w:rPr>
        <w:t>无论在</w:t>
      </w:r>
      <w:proofErr w:type="gramStart"/>
      <w:r w:rsidRPr="009E464F">
        <w:rPr>
          <w:rFonts w:cs="Times New Roman"/>
          <w:lang w:eastAsia="zh-CN"/>
        </w:rPr>
        <w:t>研</w:t>
      </w:r>
      <w:proofErr w:type="gramEnd"/>
      <w:r w:rsidRPr="009E464F">
        <w:rPr>
          <w:rFonts w:cs="Times New Roman"/>
          <w:lang w:eastAsia="zh-CN"/>
        </w:rPr>
        <w:t>药物是</w:t>
      </w:r>
      <w:r w:rsidRPr="009E464F">
        <w:rPr>
          <w:rFonts w:cs="Times New Roman"/>
          <w:lang w:eastAsia="zh-CN"/>
        </w:rPr>
        <w:t>DDI</w:t>
      </w:r>
      <w:proofErr w:type="gramStart"/>
      <w:r w:rsidR="00A159F2" w:rsidRPr="009E464F">
        <w:rPr>
          <w:rFonts w:cs="Times New Roman"/>
          <w:lang w:eastAsia="zh-CN"/>
        </w:rPr>
        <w:t>受变药</w:t>
      </w:r>
      <w:proofErr w:type="gramEnd"/>
      <w:r w:rsidRPr="009E464F">
        <w:rPr>
          <w:rFonts w:cs="Times New Roman"/>
          <w:lang w:eastAsia="zh-CN"/>
        </w:rPr>
        <w:t>还是</w:t>
      </w:r>
      <w:r w:rsidR="00A159F2" w:rsidRPr="009E464F">
        <w:rPr>
          <w:rFonts w:cs="Times New Roman"/>
          <w:lang w:eastAsia="zh-CN"/>
        </w:rPr>
        <w:t>促变药</w:t>
      </w:r>
      <w:r w:rsidRPr="009E464F">
        <w:rPr>
          <w:rFonts w:cs="Times New Roman"/>
          <w:lang w:eastAsia="zh-CN"/>
        </w:rPr>
        <w:t>，体外</w:t>
      </w:r>
      <w:r w:rsidRPr="009E464F">
        <w:rPr>
          <w:rFonts w:cs="Times New Roman"/>
          <w:lang w:eastAsia="zh-CN"/>
        </w:rPr>
        <w:t>DDI</w:t>
      </w:r>
      <w:r w:rsidRPr="009E464F">
        <w:rPr>
          <w:rFonts w:cs="Times New Roman"/>
          <w:lang w:eastAsia="zh-CN"/>
        </w:rPr>
        <w:t>试验应遵循以下通用原则：</w:t>
      </w:r>
    </w:p>
    <w:p w14:paraId="08B38963" w14:textId="418E46E0" w:rsidR="0069044B" w:rsidRDefault="00182B35"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1</w:t>
      </w:r>
      <w:r w:rsidRPr="009E464F">
        <w:rPr>
          <w:rFonts w:cs="Times New Roman"/>
          <w:lang w:eastAsia="zh-CN"/>
        </w:rPr>
        <w:t>）因实验室和系统样品间差异较大，</w:t>
      </w:r>
      <w:r w:rsidR="005B4CC0" w:rsidRPr="009E464F">
        <w:rPr>
          <w:rFonts w:cs="Times New Roman"/>
          <w:lang w:eastAsia="zh-CN"/>
        </w:rPr>
        <w:t>试验</w:t>
      </w:r>
      <w:r w:rsidR="00D32DEB" w:rsidRPr="009E464F">
        <w:rPr>
          <w:rFonts w:cs="Times New Roman"/>
          <w:lang w:eastAsia="zh-CN"/>
        </w:rPr>
        <w:t>应</w:t>
      </w:r>
      <w:r w:rsidRPr="009E464F">
        <w:rPr>
          <w:rFonts w:cs="Times New Roman"/>
          <w:lang w:eastAsia="zh-CN"/>
        </w:rPr>
        <w:t>合理选择阳性对照药物</w:t>
      </w:r>
      <w:r w:rsidR="00D32DEB" w:rsidRPr="009E464F">
        <w:rPr>
          <w:rFonts w:cs="Times New Roman"/>
          <w:lang w:eastAsia="zh-CN"/>
        </w:rPr>
        <w:t>（以经过验证的</w:t>
      </w:r>
      <w:r w:rsidR="00B23D5C">
        <w:rPr>
          <w:rFonts w:cs="Times New Roman" w:hint="eastAsia"/>
          <w:lang w:eastAsia="zh-CN"/>
        </w:rPr>
        <w:t>探</w:t>
      </w:r>
      <w:r w:rsidR="00B23D5C" w:rsidRPr="009E464F">
        <w:rPr>
          <w:rFonts w:cs="Times New Roman"/>
          <w:lang w:eastAsia="zh-CN"/>
        </w:rPr>
        <w:t>针</w:t>
      </w:r>
      <w:r w:rsidR="00D32DEB" w:rsidRPr="009E464F">
        <w:rPr>
          <w:rFonts w:cs="Times New Roman"/>
          <w:lang w:eastAsia="zh-CN"/>
        </w:rPr>
        <w:t>底物、强抑制</w:t>
      </w:r>
      <w:r w:rsidR="00D32DEB" w:rsidRPr="009E464F">
        <w:rPr>
          <w:rFonts w:cs="Times New Roman"/>
          <w:lang w:eastAsia="zh-CN"/>
        </w:rPr>
        <w:t>/</w:t>
      </w:r>
      <w:r w:rsidR="00D32DEB" w:rsidRPr="009E464F">
        <w:rPr>
          <w:rFonts w:cs="Times New Roman"/>
          <w:lang w:eastAsia="zh-CN"/>
        </w:rPr>
        <w:t>诱导剂）</w:t>
      </w:r>
      <w:r w:rsidRPr="009E464F">
        <w:rPr>
          <w:rFonts w:cs="Times New Roman"/>
          <w:lang w:eastAsia="zh-CN"/>
        </w:rPr>
        <w:t>并证明其已知作用；</w:t>
      </w:r>
    </w:p>
    <w:p w14:paraId="6775A52B" w14:textId="77777777" w:rsidR="0069044B" w:rsidRDefault="00D32DEB"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2</w:t>
      </w:r>
      <w:r w:rsidRPr="009E464F">
        <w:rPr>
          <w:rFonts w:cs="Times New Roman"/>
          <w:lang w:eastAsia="zh-CN"/>
        </w:rPr>
        <w:t>）</w:t>
      </w:r>
      <w:r w:rsidR="009D5C8E" w:rsidRPr="009E464F">
        <w:rPr>
          <w:rFonts w:cs="Times New Roman"/>
          <w:lang w:eastAsia="zh-CN"/>
        </w:rPr>
        <w:t>体外试验</w:t>
      </w:r>
      <w:r w:rsidRPr="009E464F">
        <w:rPr>
          <w:rFonts w:cs="Times New Roman"/>
          <w:lang w:eastAsia="zh-CN"/>
        </w:rPr>
        <w:t>系统可靠且可重</w:t>
      </w:r>
      <w:r w:rsidR="009375DD" w:rsidRPr="009E464F">
        <w:rPr>
          <w:rFonts w:cs="Times New Roman"/>
          <w:lang w:eastAsia="zh-CN"/>
        </w:rPr>
        <w:t>现</w:t>
      </w:r>
      <w:r w:rsidRPr="009E464F">
        <w:rPr>
          <w:rFonts w:cs="Times New Roman"/>
          <w:lang w:eastAsia="zh-CN"/>
        </w:rPr>
        <w:t>；</w:t>
      </w:r>
    </w:p>
    <w:p w14:paraId="10023520" w14:textId="77777777" w:rsidR="0069044B" w:rsidRDefault="00182B35" w:rsidP="00593FAB">
      <w:pPr>
        <w:spacing w:after="0"/>
        <w:ind w:firstLine="640"/>
        <w:rPr>
          <w:rFonts w:cs="Times New Roman"/>
          <w:lang w:eastAsia="zh-CN"/>
        </w:rPr>
      </w:pPr>
      <w:r w:rsidRPr="009E464F">
        <w:rPr>
          <w:rFonts w:cs="Times New Roman"/>
          <w:lang w:eastAsia="zh-CN"/>
        </w:rPr>
        <w:t>（</w:t>
      </w:r>
      <w:r w:rsidR="00D32DEB" w:rsidRPr="009E464F">
        <w:rPr>
          <w:rFonts w:cs="Times New Roman"/>
          <w:lang w:eastAsia="zh-CN"/>
        </w:rPr>
        <w:t>3</w:t>
      </w:r>
      <w:r w:rsidRPr="009E464F">
        <w:rPr>
          <w:rFonts w:cs="Times New Roman"/>
          <w:lang w:eastAsia="zh-CN"/>
        </w:rPr>
        <w:t>）一般情况下，代谢物生成反应应在线性条件下完成；</w:t>
      </w:r>
    </w:p>
    <w:p w14:paraId="3515A2CF" w14:textId="0A41CF41" w:rsidR="00177346" w:rsidRPr="009E464F" w:rsidRDefault="00182B35" w:rsidP="00593FAB">
      <w:pPr>
        <w:spacing w:after="0"/>
        <w:ind w:firstLine="640"/>
        <w:rPr>
          <w:rFonts w:cs="Times New Roman"/>
          <w:lang w:eastAsia="zh-CN"/>
        </w:rPr>
      </w:pPr>
      <w:r w:rsidRPr="009E464F">
        <w:rPr>
          <w:rFonts w:cs="Times New Roman"/>
          <w:lang w:eastAsia="zh-CN"/>
        </w:rPr>
        <w:t>（</w:t>
      </w:r>
      <w:r w:rsidR="00D32DEB" w:rsidRPr="009E464F">
        <w:rPr>
          <w:rFonts w:cs="Times New Roman"/>
          <w:lang w:eastAsia="zh-CN"/>
        </w:rPr>
        <w:t>4</w:t>
      </w:r>
      <w:r w:rsidRPr="009E464F">
        <w:rPr>
          <w:rFonts w:cs="Times New Roman"/>
          <w:lang w:eastAsia="zh-CN"/>
        </w:rPr>
        <w:t>）如有必要，应考虑开展</w:t>
      </w:r>
      <w:proofErr w:type="gramStart"/>
      <w:r w:rsidRPr="009E464F">
        <w:rPr>
          <w:rFonts w:cs="Times New Roman"/>
          <w:lang w:eastAsia="zh-CN"/>
        </w:rPr>
        <w:t>预</w:t>
      </w:r>
      <w:r w:rsidR="005B4CC0" w:rsidRPr="009E464F">
        <w:rPr>
          <w:rFonts w:cs="Times New Roman"/>
          <w:lang w:eastAsia="zh-CN"/>
        </w:rPr>
        <w:t>试验</w:t>
      </w:r>
      <w:proofErr w:type="gramEnd"/>
      <w:r w:rsidRPr="009E464F">
        <w:rPr>
          <w:rFonts w:cs="Times New Roman"/>
          <w:lang w:eastAsia="zh-CN"/>
        </w:rPr>
        <w:t>来辅助试验设计。</w:t>
      </w:r>
    </w:p>
    <w:p w14:paraId="1A13A75C" w14:textId="4FD308B4" w:rsidR="002F500A" w:rsidRPr="009E464F" w:rsidRDefault="003274EA" w:rsidP="003274EA">
      <w:pPr>
        <w:spacing w:after="0"/>
        <w:ind w:firstLine="640"/>
        <w:rPr>
          <w:rFonts w:cs="Times New Roman"/>
          <w:lang w:eastAsia="zh-CN"/>
        </w:rPr>
      </w:pPr>
      <w:r>
        <w:rPr>
          <w:rFonts w:cs="Times New Roman"/>
          <w:lang w:eastAsia="zh-CN"/>
        </w:rPr>
        <w:t>1.</w:t>
      </w:r>
      <w:r w:rsidR="00B23D5C">
        <w:rPr>
          <w:rFonts w:cs="Times New Roman" w:hint="eastAsia"/>
          <w:lang w:eastAsia="zh-CN"/>
        </w:rPr>
        <w:t>评估</w:t>
      </w:r>
      <w:r w:rsidR="002F500A" w:rsidRPr="009E464F">
        <w:rPr>
          <w:rFonts w:cs="Times New Roman"/>
          <w:lang w:eastAsia="zh-CN"/>
        </w:rPr>
        <w:t>在</w:t>
      </w:r>
      <w:proofErr w:type="gramStart"/>
      <w:r w:rsidR="002F500A" w:rsidRPr="009E464F">
        <w:rPr>
          <w:rFonts w:cs="Times New Roman"/>
          <w:lang w:eastAsia="zh-CN"/>
        </w:rPr>
        <w:t>研</w:t>
      </w:r>
      <w:proofErr w:type="gramEnd"/>
      <w:r w:rsidR="002F500A" w:rsidRPr="009E464F">
        <w:rPr>
          <w:rFonts w:cs="Times New Roman"/>
          <w:lang w:eastAsia="zh-CN"/>
        </w:rPr>
        <w:t>药物</w:t>
      </w:r>
      <w:r w:rsidR="00B23D5C">
        <w:rPr>
          <w:rFonts w:cs="Times New Roman" w:hint="eastAsia"/>
          <w:lang w:eastAsia="zh-CN"/>
        </w:rPr>
        <w:t>是否</w:t>
      </w:r>
      <w:r w:rsidR="002F500A" w:rsidRPr="009E464F">
        <w:rPr>
          <w:rFonts w:cs="Times New Roman"/>
          <w:lang w:eastAsia="zh-CN"/>
        </w:rPr>
        <w:t>为代谢酶底物</w:t>
      </w:r>
    </w:p>
    <w:p w14:paraId="7C51371A" w14:textId="77777777" w:rsidR="00B23D5C" w:rsidRPr="009E464F" w:rsidRDefault="00B23D5C" w:rsidP="003274EA">
      <w:pPr>
        <w:spacing w:after="0"/>
        <w:ind w:firstLine="640"/>
        <w:rPr>
          <w:rFonts w:cs="Times New Roman"/>
          <w:lang w:eastAsia="zh-CN"/>
        </w:rPr>
      </w:pPr>
      <w:r w:rsidRPr="009E464F">
        <w:rPr>
          <w:rFonts w:cs="Times New Roman"/>
          <w:lang w:eastAsia="zh-CN"/>
        </w:rPr>
        <w:t>多种源自人体肝脏的体外系统可用于考察药物潜在的药物相互作用，包括：</w:t>
      </w:r>
    </w:p>
    <w:p w14:paraId="52BBCFDD" w14:textId="0CCB60B5" w:rsidR="00B23D5C" w:rsidRPr="009E464F" w:rsidRDefault="003274EA" w:rsidP="003274EA">
      <w:pPr>
        <w:pStyle w:val="ad"/>
        <w:spacing w:line="360" w:lineRule="auto"/>
        <w:rPr>
          <w:rFonts w:eastAsia="仿宋_GB2312" w:cs="Times New Roman"/>
          <w:kern w:val="0"/>
          <w:sz w:val="32"/>
        </w:rPr>
      </w:pPr>
      <w:r w:rsidRPr="003274EA">
        <w:rPr>
          <w:rFonts w:ascii="微软雅黑" w:eastAsia="微软雅黑" w:hAnsi="微软雅黑" w:cs="Times New Roman" w:hint="eastAsia"/>
          <w:kern w:val="0"/>
          <w:szCs w:val="21"/>
        </w:rPr>
        <w:t>●</w:t>
      </w:r>
      <w:r>
        <w:rPr>
          <w:rFonts w:ascii="微软雅黑" w:eastAsia="微软雅黑" w:hAnsi="微软雅黑" w:cs="Times New Roman" w:hint="eastAsia"/>
          <w:kern w:val="0"/>
          <w:szCs w:val="21"/>
        </w:rPr>
        <w:t xml:space="preserve"> </w:t>
      </w:r>
      <w:r w:rsidR="00B23D5C" w:rsidRPr="009E464F">
        <w:rPr>
          <w:rFonts w:eastAsia="仿宋_GB2312" w:cs="Times New Roman"/>
          <w:kern w:val="0"/>
          <w:sz w:val="32"/>
        </w:rPr>
        <w:t>亚细胞的人肝组织组分，如微粒体系统，肝组织匀浆</w:t>
      </w:r>
      <w:r w:rsidR="00B23D5C" w:rsidRPr="009E464F">
        <w:rPr>
          <w:rFonts w:eastAsia="仿宋_GB2312" w:cs="Times New Roman"/>
          <w:kern w:val="0"/>
          <w:sz w:val="32"/>
        </w:rPr>
        <w:t>9000 g</w:t>
      </w:r>
      <w:r w:rsidR="00B23D5C" w:rsidRPr="009E464F">
        <w:rPr>
          <w:rFonts w:eastAsia="仿宋_GB2312" w:cs="Times New Roman"/>
          <w:kern w:val="0"/>
          <w:sz w:val="32"/>
        </w:rPr>
        <w:t>离心后的上清液（</w:t>
      </w:r>
      <w:r w:rsidR="00B23D5C" w:rsidRPr="009E464F">
        <w:rPr>
          <w:rFonts w:eastAsia="仿宋_GB2312" w:cs="Times New Roman"/>
          <w:kern w:val="0"/>
          <w:sz w:val="32"/>
        </w:rPr>
        <w:t>S9</w:t>
      </w:r>
      <w:r w:rsidR="00B23D5C" w:rsidRPr="009E464F">
        <w:rPr>
          <w:rFonts w:eastAsia="仿宋_GB2312" w:cs="Times New Roman"/>
          <w:kern w:val="0"/>
          <w:sz w:val="32"/>
        </w:rPr>
        <w:t>）和</w:t>
      </w:r>
      <w:proofErr w:type="gramStart"/>
      <w:r w:rsidR="00B23D5C" w:rsidRPr="009E464F">
        <w:rPr>
          <w:rFonts w:eastAsia="仿宋_GB2312" w:cs="Times New Roman"/>
          <w:kern w:val="0"/>
          <w:sz w:val="32"/>
        </w:rPr>
        <w:t>胞浆</w:t>
      </w:r>
      <w:proofErr w:type="gramEnd"/>
      <w:r w:rsidR="00B23D5C" w:rsidRPr="009E464F">
        <w:rPr>
          <w:rFonts w:eastAsia="仿宋_GB2312" w:cs="Times New Roman"/>
          <w:kern w:val="0"/>
          <w:sz w:val="32"/>
        </w:rPr>
        <w:t>（必要时加入合适辅因子）；</w:t>
      </w:r>
    </w:p>
    <w:p w14:paraId="0A222F06" w14:textId="38D815FD" w:rsidR="00B23D5C" w:rsidRPr="009E464F" w:rsidRDefault="003274EA" w:rsidP="003274EA">
      <w:pPr>
        <w:pStyle w:val="ad"/>
        <w:spacing w:line="360" w:lineRule="auto"/>
        <w:rPr>
          <w:rFonts w:eastAsia="仿宋_GB2312" w:cs="Times New Roman"/>
          <w:kern w:val="0"/>
          <w:sz w:val="32"/>
        </w:rPr>
      </w:pPr>
      <w:r w:rsidRPr="003274EA">
        <w:rPr>
          <w:rFonts w:ascii="微软雅黑" w:eastAsia="微软雅黑" w:hAnsi="微软雅黑" w:cs="Times New Roman" w:hint="eastAsia"/>
          <w:kern w:val="0"/>
          <w:szCs w:val="21"/>
        </w:rPr>
        <w:t>●</w:t>
      </w:r>
      <w:r>
        <w:rPr>
          <w:rFonts w:ascii="微软雅黑" w:eastAsia="微软雅黑" w:hAnsi="微软雅黑" w:cs="Times New Roman" w:hint="eastAsia"/>
          <w:kern w:val="0"/>
          <w:szCs w:val="21"/>
        </w:rPr>
        <w:t xml:space="preserve"> </w:t>
      </w:r>
      <w:r w:rsidR="00B23D5C" w:rsidRPr="009E464F">
        <w:rPr>
          <w:rFonts w:eastAsia="仿宋_GB2312" w:cs="Times New Roman"/>
          <w:kern w:val="0"/>
          <w:sz w:val="32"/>
        </w:rPr>
        <w:t>源于多种表达系统的重组</w:t>
      </w:r>
      <w:r w:rsidR="00B23D5C" w:rsidRPr="009E464F">
        <w:rPr>
          <w:rFonts w:eastAsia="仿宋_GB2312" w:cs="Times New Roman"/>
          <w:kern w:val="0"/>
          <w:sz w:val="32"/>
        </w:rPr>
        <w:t>CYP</w:t>
      </w:r>
      <w:r w:rsidR="00B23D5C" w:rsidRPr="009E464F">
        <w:rPr>
          <w:rFonts w:eastAsia="仿宋_GB2312" w:cs="Times New Roman"/>
          <w:kern w:val="0"/>
          <w:sz w:val="32"/>
        </w:rPr>
        <w:t>酶或非</w:t>
      </w:r>
      <w:r w:rsidR="00B23D5C" w:rsidRPr="009E464F">
        <w:rPr>
          <w:rFonts w:eastAsia="仿宋_GB2312" w:cs="Times New Roman"/>
          <w:kern w:val="0"/>
          <w:sz w:val="32"/>
        </w:rPr>
        <w:t>CYP</w:t>
      </w:r>
      <w:r w:rsidR="00B23D5C" w:rsidRPr="009E464F">
        <w:rPr>
          <w:rFonts w:eastAsia="仿宋_GB2312" w:cs="Times New Roman"/>
          <w:kern w:val="0"/>
          <w:sz w:val="32"/>
        </w:rPr>
        <w:t>酶，可以用于考察单一药物代谢产物的产生和特定同工酶的参与；</w:t>
      </w:r>
    </w:p>
    <w:p w14:paraId="5C72B592" w14:textId="1BDCCE9B" w:rsidR="00B23D5C" w:rsidRPr="009E464F" w:rsidRDefault="003274EA" w:rsidP="003274EA">
      <w:pPr>
        <w:pStyle w:val="ad"/>
        <w:spacing w:line="360" w:lineRule="auto"/>
        <w:rPr>
          <w:rFonts w:eastAsia="仿宋_GB2312" w:cs="Times New Roman"/>
          <w:kern w:val="0"/>
          <w:sz w:val="32"/>
        </w:rPr>
      </w:pPr>
      <w:r w:rsidRPr="003274EA">
        <w:rPr>
          <w:rFonts w:ascii="微软雅黑" w:eastAsia="微软雅黑" w:hAnsi="微软雅黑" w:cs="Times New Roman" w:hint="eastAsia"/>
          <w:kern w:val="0"/>
          <w:szCs w:val="21"/>
        </w:rPr>
        <w:t>●</w:t>
      </w:r>
      <w:r>
        <w:rPr>
          <w:rFonts w:ascii="微软雅黑" w:eastAsia="微软雅黑" w:hAnsi="微软雅黑" w:cs="Times New Roman" w:hint="eastAsia"/>
          <w:kern w:val="0"/>
          <w:szCs w:val="21"/>
        </w:rPr>
        <w:t xml:space="preserve"> </w:t>
      </w:r>
      <w:r w:rsidR="00B23D5C" w:rsidRPr="009E464F">
        <w:rPr>
          <w:rFonts w:eastAsia="仿宋_GB2312" w:cs="Times New Roman"/>
          <w:kern w:val="0"/>
          <w:sz w:val="32"/>
        </w:rPr>
        <w:t>人肝组织，包括新鲜制备的肝细胞和冷冻保存（</w:t>
      </w:r>
      <w:r w:rsidR="00B23D5C" w:rsidRPr="009E464F">
        <w:rPr>
          <w:rFonts w:eastAsia="仿宋_GB2312" w:cs="Times New Roman"/>
          <w:kern w:val="0"/>
          <w:sz w:val="32"/>
        </w:rPr>
        <w:t>Cryopreserved</w:t>
      </w:r>
      <w:r w:rsidR="00B23D5C" w:rsidRPr="009E464F">
        <w:rPr>
          <w:rFonts w:eastAsia="仿宋_GB2312" w:cs="Times New Roman"/>
          <w:kern w:val="0"/>
          <w:sz w:val="32"/>
        </w:rPr>
        <w:t>）的肝细胞，它们可以保存细胞及酶结构并包含完整的</w:t>
      </w:r>
      <w:proofErr w:type="gramStart"/>
      <w:r w:rsidR="00B23D5C" w:rsidRPr="009E464F">
        <w:rPr>
          <w:rFonts w:eastAsia="仿宋_GB2312" w:cs="Times New Roman"/>
          <w:kern w:val="0"/>
          <w:sz w:val="32"/>
        </w:rPr>
        <w:t>Ⅰ</w:t>
      </w:r>
      <w:r w:rsidR="00B23D5C" w:rsidRPr="009E464F">
        <w:rPr>
          <w:rFonts w:eastAsia="仿宋_GB2312" w:cs="Times New Roman"/>
          <w:kern w:val="0"/>
          <w:sz w:val="32"/>
        </w:rPr>
        <w:t>相和</w:t>
      </w:r>
      <w:r w:rsidR="00B23D5C" w:rsidRPr="009E464F">
        <w:rPr>
          <w:rFonts w:eastAsia="仿宋_GB2312" w:cs="Times New Roman"/>
          <w:kern w:val="0"/>
          <w:sz w:val="32"/>
        </w:rPr>
        <w:t>Ⅱ</w:t>
      </w:r>
      <w:r w:rsidR="00B23D5C" w:rsidRPr="009E464F">
        <w:rPr>
          <w:rFonts w:eastAsia="仿宋_GB2312" w:cs="Times New Roman"/>
          <w:kern w:val="0"/>
          <w:sz w:val="32"/>
        </w:rPr>
        <w:t>相</w:t>
      </w:r>
      <w:proofErr w:type="gramEnd"/>
      <w:r w:rsidR="00B23D5C" w:rsidRPr="009E464F">
        <w:rPr>
          <w:rFonts w:eastAsia="仿宋_GB2312" w:cs="Times New Roman"/>
          <w:kern w:val="0"/>
          <w:sz w:val="32"/>
        </w:rPr>
        <w:t>药物代谢酶。</w:t>
      </w:r>
    </w:p>
    <w:p w14:paraId="2C68673C" w14:textId="6560AFA3" w:rsidR="0060548E" w:rsidRDefault="0060548E" w:rsidP="00593FAB">
      <w:pPr>
        <w:spacing w:after="0"/>
        <w:ind w:firstLine="640"/>
        <w:rPr>
          <w:rFonts w:cs="Times New Roman"/>
          <w:lang w:eastAsia="zh-CN"/>
        </w:rPr>
      </w:pPr>
      <w:r w:rsidRPr="0060548E">
        <w:rPr>
          <w:rFonts w:cs="Times New Roman" w:hint="eastAsia"/>
          <w:lang w:eastAsia="zh-CN"/>
        </w:rPr>
        <w:lastRenderedPageBreak/>
        <w:t>目前</w:t>
      </w:r>
      <w:r w:rsidR="0052760B" w:rsidRPr="0060548E">
        <w:rPr>
          <w:rFonts w:cs="Times New Roman" w:hint="eastAsia"/>
          <w:lang w:eastAsia="zh-CN"/>
        </w:rPr>
        <w:t>鉴定代谢药物的</w:t>
      </w:r>
      <w:r w:rsidR="0052760B" w:rsidRPr="0060548E">
        <w:rPr>
          <w:rFonts w:cs="Times New Roman" w:hint="eastAsia"/>
          <w:lang w:eastAsia="zh-CN"/>
        </w:rPr>
        <w:t>CYP</w:t>
      </w:r>
      <w:r w:rsidR="0052760B" w:rsidRPr="0060548E">
        <w:rPr>
          <w:rFonts w:cs="Times New Roman" w:hint="eastAsia"/>
          <w:lang w:eastAsia="zh-CN"/>
        </w:rPr>
        <w:t>同工酶</w:t>
      </w:r>
      <w:r w:rsidR="0052760B">
        <w:rPr>
          <w:rFonts w:cs="Times New Roman" w:hint="eastAsia"/>
          <w:lang w:eastAsia="zh-CN"/>
        </w:rPr>
        <w:t>的</w:t>
      </w:r>
      <w:r w:rsidR="0052760B">
        <w:rPr>
          <w:rFonts w:cs="Times New Roman"/>
          <w:lang w:eastAsia="zh-CN"/>
        </w:rPr>
        <w:t>常用</w:t>
      </w:r>
      <w:r w:rsidRPr="0060548E">
        <w:rPr>
          <w:rFonts w:cs="Times New Roman" w:hint="eastAsia"/>
          <w:lang w:eastAsia="zh-CN"/>
        </w:rPr>
        <w:t>方法：①使用化学品、药物或抗体在孵育体系（例如加入混和人肝微粒体）中作为某个同工酶的抑制剂；②使用单独的人源重组</w:t>
      </w:r>
      <w:r w:rsidRPr="0060548E">
        <w:rPr>
          <w:rFonts w:cs="Times New Roman" w:hint="eastAsia"/>
          <w:lang w:eastAsia="zh-CN"/>
        </w:rPr>
        <w:t>CYP</w:t>
      </w:r>
      <w:r w:rsidRPr="0060548E">
        <w:rPr>
          <w:rFonts w:cs="Times New Roman" w:hint="eastAsia"/>
          <w:lang w:eastAsia="zh-CN"/>
        </w:rPr>
        <w:t>同工酶。</w:t>
      </w:r>
      <w:r w:rsidR="0052760B">
        <w:rPr>
          <w:rFonts w:cs="Times New Roman" w:hint="eastAsia"/>
          <w:lang w:eastAsia="zh-CN"/>
        </w:rPr>
        <w:t xml:space="preserve"> </w:t>
      </w:r>
    </w:p>
    <w:p w14:paraId="33DE3BF5" w14:textId="28F62195" w:rsidR="0060548E" w:rsidRDefault="00240140" w:rsidP="003274EA">
      <w:pPr>
        <w:spacing w:after="0"/>
        <w:ind w:firstLine="640"/>
        <w:rPr>
          <w:rFonts w:cs="Times New Roman"/>
          <w:lang w:eastAsia="zh-CN"/>
        </w:rPr>
      </w:pPr>
      <w:r w:rsidRPr="009E464F">
        <w:rPr>
          <w:rFonts w:cs="Times New Roman"/>
          <w:lang w:eastAsia="zh-CN"/>
        </w:rPr>
        <w:t>在</w:t>
      </w:r>
      <w:r w:rsidR="00753424">
        <w:rPr>
          <w:rFonts w:cs="Times New Roman" w:hint="eastAsia"/>
          <w:lang w:eastAsia="zh-CN"/>
        </w:rPr>
        <w:t>确定药物</w:t>
      </w:r>
      <w:proofErr w:type="gramStart"/>
      <w:r w:rsidR="00E4666A">
        <w:rPr>
          <w:rFonts w:cs="Times New Roman" w:hint="eastAsia"/>
          <w:lang w:eastAsia="zh-CN"/>
        </w:rPr>
        <w:t>是否为</w:t>
      </w:r>
      <w:r w:rsidR="00E4666A">
        <w:rPr>
          <w:rFonts w:cs="Times New Roman"/>
          <w:lang w:eastAsia="zh-CN"/>
        </w:rPr>
        <w:t>酶</w:t>
      </w:r>
      <w:r w:rsidR="00E4666A">
        <w:rPr>
          <w:rFonts w:cs="Times New Roman" w:hint="eastAsia"/>
          <w:lang w:eastAsia="zh-CN"/>
        </w:rPr>
        <w:t>的</w:t>
      </w:r>
      <w:proofErr w:type="gramEnd"/>
      <w:r w:rsidR="00E4666A">
        <w:rPr>
          <w:rFonts w:cs="Times New Roman"/>
          <w:lang w:eastAsia="zh-CN"/>
        </w:rPr>
        <w:t>底物</w:t>
      </w:r>
      <w:r w:rsidR="00E4666A">
        <w:rPr>
          <w:rFonts w:cs="Times New Roman" w:hint="eastAsia"/>
          <w:lang w:eastAsia="zh-CN"/>
        </w:rPr>
        <w:t>研究</w:t>
      </w:r>
      <w:r w:rsidRPr="009E464F">
        <w:rPr>
          <w:rFonts w:cs="Times New Roman"/>
          <w:lang w:eastAsia="zh-CN"/>
        </w:rPr>
        <w:t>时</w:t>
      </w:r>
      <w:r w:rsidR="00E4666A">
        <w:rPr>
          <w:rFonts w:cs="Times New Roman" w:hint="eastAsia"/>
          <w:lang w:eastAsia="zh-CN"/>
        </w:rPr>
        <w:t>，</w:t>
      </w:r>
      <w:r w:rsidRPr="009E464F">
        <w:rPr>
          <w:rFonts w:cs="Times New Roman"/>
          <w:lang w:eastAsia="zh-CN"/>
        </w:rPr>
        <w:t>应考虑以下</w:t>
      </w:r>
      <w:r w:rsidR="00D110AC">
        <w:rPr>
          <w:rFonts w:cs="Times New Roman" w:hint="eastAsia"/>
          <w:lang w:eastAsia="zh-CN"/>
        </w:rPr>
        <w:t>事项</w:t>
      </w:r>
      <w:r w:rsidR="00881E2E" w:rsidRPr="009E464F">
        <w:rPr>
          <w:rFonts w:cs="Times New Roman"/>
          <w:lang w:eastAsia="zh-CN"/>
        </w:rPr>
        <w:t>：</w:t>
      </w:r>
    </w:p>
    <w:p w14:paraId="5F8F0E26" w14:textId="7B5E8F62" w:rsidR="0069044B" w:rsidRDefault="00D834F5" w:rsidP="003274EA">
      <w:pPr>
        <w:spacing w:after="0"/>
        <w:ind w:firstLine="640"/>
        <w:rPr>
          <w:rFonts w:cs="Times New Roman"/>
          <w:lang w:eastAsia="zh-CN"/>
        </w:rPr>
      </w:pPr>
      <w:r w:rsidRPr="009E464F">
        <w:rPr>
          <w:rFonts w:cs="Times New Roman"/>
          <w:lang w:eastAsia="zh-CN"/>
        </w:rPr>
        <w:t>（</w:t>
      </w:r>
      <w:r w:rsidRPr="009E464F">
        <w:rPr>
          <w:rFonts w:cs="Times New Roman"/>
          <w:lang w:eastAsia="zh-CN"/>
        </w:rPr>
        <w:t>1</w:t>
      </w:r>
      <w:r w:rsidRPr="009E464F">
        <w:rPr>
          <w:rFonts w:cs="Times New Roman"/>
          <w:lang w:eastAsia="zh-CN"/>
        </w:rPr>
        <w:t>）</w:t>
      </w:r>
      <w:r w:rsidR="00D110AC">
        <w:rPr>
          <w:rFonts w:cs="Times New Roman" w:hint="eastAsia"/>
          <w:lang w:eastAsia="zh-CN"/>
        </w:rPr>
        <w:t>建议</w:t>
      </w:r>
      <w:r w:rsidR="00881E2E" w:rsidRPr="009E464F">
        <w:rPr>
          <w:rFonts w:cs="Times New Roman"/>
          <w:lang w:eastAsia="zh-CN"/>
        </w:rPr>
        <w:t>同时使用以上两种方法确定药物代谢的特定同工酶</w:t>
      </w:r>
      <w:r w:rsidRPr="009E464F">
        <w:rPr>
          <w:rFonts w:cs="Times New Roman"/>
          <w:lang w:eastAsia="zh-CN"/>
        </w:rPr>
        <w:t>。</w:t>
      </w:r>
    </w:p>
    <w:p w14:paraId="0D6E5E8C" w14:textId="76A2610A" w:rsidR="0069044B" w:rsidRDefault="0052760B" w:rsidP="003274EA">
      <w:pPr>
        <w:spacing w:after="0"/>
        <w:ind w:firstLine="640"/>
        <w:rPr>
          <w:rFonts w:cs="Times New Roman"/>
          <w:lang w:eastAsia="zh-CN"/>
        </w:rPr>
      </w:pPr>
      <w:r>
        <w:rPr>
          <w:rFonts w:cs="Times New Roman" w:hint="eastAsia"/>
          <w:lang w:eastAsia="zh-CN"/>
        </w:rPr>
        <w:t>（</w:t>
      </w:r>
      <w:r w:rsidR="00D834F5" w:rsidRPr="009E464F">
        <w:rPr>
          <w:rFonts w:cs="Times New Roman"/>
          <w:lang w:eastAsia="zh-CN"/>
        </w:rPr>
        <w:t>2</w:t>
      </w:r>
      <w:r>
        <w:rPr>
          <w:rFonts w:cs="Times New Roman" w:hint="eastAsia"/>
          <w:lang w:eastAsia="zh-CN"/>
        </w:rPr>
        <w:t>）</w:t>
      </w:r>
      <w:r w:rsidR="00881E2E" w:rsidRPr="009E464F">
        <w:rPr>
          <w:rFonts w:cs="Times New Roman"/>
          <w:lang w:eastAsia="zh-CN"/>
        </w:rPr>
        <w:t>使用人</w:t>
      </w:r>
      <w:r w:rsidR="00141E55" w:rsidRPr="009E464F">
        <w:rPr>
          <w:rFonts w:cs="Times New Roman"/>
          <w:lang w:eastAsia="zh-CN"/>
        </w:rPr>
        <w:t>源</w:t>
      </w:r>
      <w:r w:rsidR="00881E2E" w:rsidRPr="009E464F">
        <w:rPr>
          <w:rFonts w:cs="Times New Roman"/>
          <w:lang w:eastAsia="zh-CN"/>
        </w:rPr>
        <w:t>重组</w:t>
      </w:r>
      <w:r w:rsidR="00881E2E" w:rsidRPr="009E464F">
        <w:rPr>
          <w:rFonts w:cs="Times New Roman"/>
          <w:lang w:eastAsia="zh-CN"/>
        </w:rPr>
        <w:t>CYP</w:t>
      </w:r>
      <w:r w:rsidR="00881E2E" w:rsidRPr="009E464F">
        <w:rPr>
          <w:rFonts w:cs="Times New Roman"/>
          <w:lang w:eastAsia="zh-CN"/>
        </w:rPr>
        <w:t>同工酶时，应考虑</w:t>
      </w:r>
      <w:r>
        <w:rPr>
          <w:rFonts w:cs="Times New Roman" w:hint="eastAsia"/>
          <w:lang w:eastAsia="zh-CN"/>
        </w:rPr>
        <w:t>其</w:t>
      </w:r>
      <w:r w:rsidR="00881E2E" w:rsidRPr="009E464F">
        <w:rPr>
          <w:rFonts w:cs="Times New Roman"/>
          <w:lang w:eastAsia="zh-CN"/>
        </w:rPr>
        <w:t>和人肝脏之间</w:t>
      </w:r>
      <w:r w:rsidR="00881E2E" w:rsidRPr="009E464F">
        <w:rPr>
          <w:rFonts w:cs="Times New Roman"/>
          <w:lang w:eastAsia="zh-CN"/>
        </w:rPr>
        <w:t>CYP</w:t>
      </w:r>
      <w:proofErr w:type="gramStart"/>
      <w:r w:rsidR="00881E2E" w:rsidRPr="009E464F">
        <w:rPr>
          <w:rFonts w:cs="Times New Roman"/>
          <w:lang w:eastAsia="zh-CN"/>
        </w:rPr>
        <w:t>酶表达</w:t>
      </w:r>
      <w:proofErr w:type="gramEnd"/>
      <w:r w:rsidR="00881E2E" w:rsidRPr="009E464F">
        <w:rPr>
          <w:rFonts w:cs="Times New Roman"/>
          <w:lang w:eastAsia="zh-CN"/>
        </w:rPr>
        <w:t>量和活性的差别。</w:t>
      </w:r>
    </w:p>
    <w:p w14:paraId="2063941B" w14:textId="6D7078EC" w:rsidR="0069044B" w:rsidRDefault="00D834F5" w:rsidP="003274EA">
      <w:pPr>
        <w:spacing w:after="0"/>
        <w:ind w:firstLine="640"/>
        <w:rPr>
          <w:rFonts w:cs="Times New Roman"/>
          <w:lang w:eastAsia="zh-CN"/>
        </w:rPr>
      </w:pPr>
      <w:r w:rsidRPr="009E464F">
        <w:rPr>
          <w:rFonts w:cs="Times New Roman"/>
          <w:lang w:eastAsia="zh-CN"/>
        </w:rPr>
        <w:t>（</w:t>
      </w:r>
      <w:r w:rsidR="000D604E">
        <w:rPr>
          <w:rFonts w:cs="Times New Roman"/>
          <w:lang w:eastAsia="zh-CN"/>
        </w:rPr>
        <w:t>3</w:t>
      </w:r>
      <w:r w:rsidRPr="009E464F">
        <w:rPr>
          <w:rFonts w:cs="Times New Roman"/>
          <w:lang w:eastAsia="zh-CN"/>
        </w:rPr>
        <w:t>）</w:t>
      </w:r>
      <w:r w:rsidR="00881E2E" w:rsidRPr="009E464F">
        <w:rPr>
          <w:rFonts w:cs="Times New Roman"/>
          <w:lang w:eastAsia="zh-CN"/>
        </w:rPr>
        <w:t>当测定单个</w:t>
      </w:r>
      <w:r w:rsidR="00881E2E" w:rsidRPr="009E464F">
        <w:rPr>
          <w:rFonts w:cs="Times New Roman"/>
          <w:lang w:eastAsia="zh-CN"/>
        </w:rPr>
        <w:t>CYP</w:t>
      </w:r>
      <w:r w:rsidR="00881E2E" w:rsidRPr="009E464F">
        <w:rPr>
          <w:rFonts w:cs="Times New Roman"/>
          <w:lang w:eastAsia="zh-CN"/>
        </w:rPr>
        <w:t>同工酶对在</w:t>
      </w:r>
      <w:proofErr w:type="gramStart"/>
      <w:r w:rsidR="00881E2E" w:rsidRPr="009E464F">
        <w:rPr>
          <w:rFonts w:cs="Times New Roman"/>
          <w:lang w:eastAsia="zh-CN"/>
        </w:rPr>
        <w:t>研</w:t>
      </w:r>
      <w:proofErr w:type="gramEnd"/>
      <w:r w:rsidR="00881E2E" w:rsidRPr="009E464F">
        <w:rPr>
          <w:rFonts w:cs="Times New Roman"/>
          <w:lang w:eastAsia="zh-CN"/>
        </w:rPr>
        <w:t>药物总代谢的作用程度时，应优先测定</w:t>
      </w:r>
      <w:r w:rsidR="00CA1B88" w:rsidRPr="009E464F">
        <w:rPr>
          <w:rFonts w:cs="Times New Roman"/>
          <w:lang w:eastAsia="zh-CN"/>
        </w:rPr>
        <w:t>原形药物</w:t>
      </w:r>
      <w:r w:rsidR="00881E2E" w:rsidRPr="009E464F">
        <w:rPr>
          <w:rFonts w:cs="Times New Roman"/>
          <w:lang w:eastAsia="zh-CN"/>
        </w:rPr>
        <w:t>的减少，而</w:t>
      </w:r>
      <w:r w:rsidR="0052760B">
        <w:rPr>
          <w:rFonts w:cs="Times New Roman" w:hint="eastAsia"/>
          <w:lang w:eastAsia="zh-CN"/>
        </w:rPr>
        <w:t>非</w:t>
      </w:r>
      <w:r w:rsidR="00881E2E" w:rsidRPr="009E464F">
        <w:rPr>
          <w:rFonts w:cs="Times New Roman"/>
          <w:lang w:eastAsia="zh-CN"/>
        </w:rPr>
        <w:t>代谢物的生成。</w:t>
      </w:r>
    </w:p>
    <w:p w14:paraId="52095198" w14:textId="73429D4A" w:rsidR="0069044B" w:rsidRDefault="00D834F5" w:rsidP="003274EA">
      <w:pPr>
        <w:spacing w:after="0"/>
        <w:ind w:firstLine="640"/>
        <w:rPr>
          <w:rFonts w:cs="Times New Roman"/>
          <w:lang w:eastAsia="zh-CN"/>
        </w:rPr>
      </w:pPr>
      <w:r w:rsidRPr="009E464F">
        <w:rPr>
          <w:rFonts w:cs="Times New Roman"/>
          <w:lang w:eastAsia="zh-CN"/>
        </w:rPr>
        <w:t>（</w:t>
      </w:r>
      <w:r w:rsidR="000D604E">
        <w:rPr>
          <w:rFonts w:cs="Times New Roman"/>
          <w:lang w:eastAsia="zh-CN"/>
        </w:rPr>
        <w:t>4</w:t>
      </w:r>
      <w:r w:rsidRPr="009E464F">
        <w:rPr>
          <w:rFonts w:cs="Times New Roman"/>
          <w:lang w:eastAsia="zh-CN"/>
        </w:rPr>
        <w:t>）</w:t>
      </w:r>
      <w:r w:rsidR="00881E2E" w:rsidRPr="009E464F">
        <w:rPr>
          <w:rFonts w:cs="Times New Roman"/>
          <w:lang w:eastAsia="zh-CN"/>
        </w:rPr>
        <w:t>当测定单个</w:t>
      </w:r>
      <w:r w:rsidR="00881E2E" w:rsidRPr="009E464F">
        <w:rPr>
          <w:rFonts w:cs="Times New Roman"/>
          <w:lang w:eastAsia="zh-CN"/>
        </w:rPr>
        <w:t>CYP</w:t>
      </w:r>
      <w:r w:rsidR="00881E2E" w:rsidRPr="009E464F">
        <w:rPr>
          <w:rFonts w:cs="Times New Roman"/>
          <w:lang w:eastAsia="zh-CN"/>
        </w:rPr>
        <w:t>酶对特定代谢物形成的贡献程度时，应测定该代谢物的形成速率，如果没有代谢物的标准品进行绝对定量分析，可考虑利用代谢物的峰面积进行相对定量分析。</w:t>
      </w:r>
    </w:p>
    <w:p w14:paraId="126E7492" w14:textId="54E9CF54" w:rsidR="0069044B" w:rsidRDefault="00D834F5" w:rsidP="003274EA">
      <w:pPr>
        <w:spacing w:after="0"/>
        <w:ind w:firstLine="640"/>
        <w:rPr>
          <w:rFonts w:cs="Times New Roman"/>
          <w:lang w:eastAsia="zh-CN"/>
        </w:rPr>
      </w:pPr>
      <w:r w:rsidRPr="009E464F">
        <w:rPr>
          <w:rFonts w:cs="Times New Roman"/>
          <w:lang w:eastAsia="zh-CN"/>
        </w:rPr>
        <w:t>（</w:t>
      </w:r>
      <w:r w:rsidR="000D604E">
        <w:rPr>
          <w:rFonts w:cs="Times New Roman"/>
          <w:lang w:eastAsia="zh-CN"/>
        </w:rPr>
        <w:t>5</w:t>
      </w:r>
      <w:r w:rsidRPr="009E464F">
        <w:rPr>
          <w:rFonts w:cs="Times New Roman"/>
          <w:lang w:eastAsia="zh-CN"/>
        </w:rPr>
        <w:t>）</w:t>
      </w:r>
      <w:r w:rsidR="00881E2E" w:rsidRPr="009E464F">
        <w:rPr>
          <w:rFonts w:cs="Times New Roman"/>
          <w:lang w:eastAsia="zh-CN"/>
        </w:rPr>
        <w:t>应建立有效且可重复的分析方法测定</w:t>
      </w:r>
      <w:r w:rsidR="00CA1B88" w:rsidRPr="009E464F">
        <w:rPr>
          <w:rFonts w:cs="Times New Roman"/>
          <w:lang w:eastAsia="zh-CN"/>
        </w:rPr>
        <w:t>原形药物</w:t>
      </w:r>
      <w:r w:rsidR="00881E2E" w:rsidRPr="009E464F">
        <w:rPr>
          <w:rFonts w:cs="Times New Roman"/>
          <w:lang w:eastAsia="zh-CN"/>
        </w:rPr>
        <w:t>和主要代谢物的浓度。</w:t>
      </w:r>
    </w:p>
    <w:p w14:paraId="083D3AE2" w14:textId="382939A6" w:rsidR="0069044B" w:rsidRDefault="00D834F5" w:rsidP="003274EA">
      <w:pPr>
        <w:spacing w:after="0"/>
        <w:ind w:firstLine="640"/>
        <w:rPr>
          <w:rFonts w:cs="Times New Roman"/>
          <w:lang w:eastAsia="zh-CN"/>
        </w:rPr>
      </w:pPr>
      <w:r w:rsidRPr="009E464F">
        <w:rPr>
          <w:rFonts w:cs="Times New Roman"/>
          <w:lang w:eastAsia="zh-CN"/>
        </w:rPr>
        <w:t>（</w:t>
      </w:r>
      <w:r w:rsidR="000D604E">
        <w:rPr>
          <w:rFonts w:cs="Times New Roman"/>
          <w:lang w:eastAsia="zh-CN"/>
        </w:rPr>
        <w:t>6</w:t>
      </w:r>
      <w:r w:rsidRPr="009E464F">
        <w:rPr>
          <w:rFonts w:cs="Times New Roman"/>
          <w:lang w:eastAsia="zh-CN"/>
        </w:rPr>
        <w:t>）</w:t>
      </w:r>
      <w:r w:rsidR="00881E2E" w:rsidRPr="009E464F">
        <w:rPr>
          <w:rFonts w:cs="Times New Roman"/>
          <w:lang w:eastAsia="zh-CN"/>
        </w:rPr>
        <w:t>使用放射性标记的药物，可以利用液相色谱联用放射性检测器和质谱仪分析样品，同时定性和定量测定与药物相关的代谢物。</w:t>
      </w:r>
    </w:p>
    <w:p w14:paraId="604AB332" w14:textId="79935E08" w:rsidR="0069044B" w:rsidRDefault="00D834F5" w:rsidP="00593FAB">
      <w:pPr>
        <w:spacing w:after="0"/>
        <w:ind w:firstLine="640"/>
        <w:rPr>
          <w:rFonts w:cs="Times New Roman"/>
          <w:lang w:eastAsia="zh-CN"/>
        </w:rPr>
      </w:pPr>
      <w:r w:rsidRPr="009E464F">
        <w:rPr>
          <w:rFonts w:cs="Times New Roman"/>
          <w:lang w:eastAsia="zh-CN"/>
        </w:rPr>
        <w:t>（</w:t>
      </w:r>
      <w:r w:rsidR="000D604E">
        <w:rPr>
          <w:rFonts w:cs="Times New Roman"/>
          <w:lang w:eastAsia="zh-CN"/>
        </w:rPr>
        <w:t>7</w:t>
      </w:r>
      <w:r w:rsidRPr="009E464F">
        <w:rPr>
          <w:rFonts w:cs="Times New Roman"/>
          <w:lang w:eastAsia="zh-CN"/>
        </w:rPr>
        <w:t>）</w:t>
      </w:r>
      <w:r w:rsidR="00881E2E" w:rsidRPr="009E464F">
        <w:rPr>
          <w:rFonts w:cs="Times New Roman"/>
          <w:lang w:eastAsia="zh-CN"/>
        </w:rPr>
        <w:t>如果</w:t>
      </w:r>
      <w:r w:rsidR="001A4A8E" w:rsidRPr="009E464F">
        <w:rPr>
          <w:rFonts w:cs="Times New Roman"/>
          <w:lang w:eastAsia="zh-CN"/>
        </w:rPr>
        <w:t>在</w:t>
      </w:r>
      <w:proofErr w:type="gramStart"/>
      <w:r w:rsidR="001A4A8E" w:rsidRPr="009E464F">
        <w:rPr>
          <w:rFonts w:cs="Times New Roman"/>
          <w:lang w:eastAsia="zh-CN"/>
        </w:rPr>
        <w:t>研</w:t>
      </w:r>
      <w:proofErr w:type="gramEnd"/>
      <w:r w:rsidR="001A4A8E" w:rsidRPr="009E464F">
        <w:rPr>
          <w:rFonts w:cs="Times New Roman"/>
          <w:lang w:eastAsia="zh-CN"/>
        </w:rPr>
        <w:t>药物</w:t>
      </w:r>
      <w:r w:rsidR="00881E2E" w:rsidRPr="009E464F">
        <w:rPr>
          <w:rFonts w:cs="Times New Roman"/>
          <w:lang w:eastAsia="zh-CN"/>
        </w:rPr>
        <w:t>每种异构体</w:t>
      </w:r>
      <w:r w:rsidR="0052760B">
        <w:rPr>
          <w:rFonts w:cs="Times New Roman" w:hint="eastAsia"/>
          <w:lang w:eastAsia="zh-CN"/>
        </w:rPr>
        <w:t>具有</w:t>
      </w:r>
      <w:r w:rsidR="0052760B">
        <w:rPr>
          <w:rFonts w:cs="Times New Roman"/>
          <w:lang w:eastAsia="zh-CN"/>
        </w:rPr>
        <w:t>明显的</w:t>
      </w:r>
      <w:r w:rsidR="00881E2E" w:rsidRPr="009E464F">
        <w:rPr>
          <w:rFonts w:cs="Times New Roman"/>
          <w:lang w:eastAsia="zh-CN"/>
        </w:rPr>
        <w:t>不同处置特性（</w:t>
      </w:r>
      <w:proofErr w:type="gramStart"/>
      <w:r w:rsidR="00881E2E" w:rsidRPr="009E464F">
        <w:rPr>
          <w:rFonts w:cs="Times New Roman"/>
          <w:lang w:eastAsia="zh-CN"/>
        </w:rPr>
        <w:t>如两种</w:t>
      </w:r>
      <w:proofErr w:type="gramEnd"/>
      <w:r w:rsidR="00881E2E" w:rsidRPr="009E464F">
        <w:rPr>
          <w:rFonts w:cs="Times New Roman"/>
          <w:lang w:eastAsia="zh-CN"/>
        </w:rPr>
        <w:t>异构体具有不同药理活性），则应分别评价外</w:t>
      </w:r>
      <w:proofErr w:type="gramStart"/>
      <w:r w:rsidR="00881E2E" w:rsidRPr="009E464F">
        <w:rPr>
          <w:rFonts w:cs="Times New Roman"/>
          <w:lang w:eastAsia="zh-CN"/>
        </w:rPr>
        <w:t>消旋药物</w:t>
      </w:r>
      <w:proofErr w:type="gramEnd"/>
      <w:r w:rsidR="00881E2E" w:rsidRPr="009E464F">
        <w:rPr>
          <w:rFonts w:cs="Times New Roman"/>
          <w:lang w:eastAsia="zh-CN"/>
        </w:rPr>
        <w:t>的两种异构体。</w:t>
      </w:r>
    </w:p>
    <w:p w14:paraId="723F2302" w14:textId="7299B7A9" w:rsidR="00597B75" w:rsidRPr="00ED1C86" w:rsidRDefault="00D834F5" w:rsidP="00593FAB">
      <w:pPr>
        <w:spacing w:after="0"/>
        <w:ind w:firstLine="640"/>
        <w:rPr>
          <w:rFonts w:cs="Times New Roman"/>
          <w:lang w:eastAsia="zh-CN"/>
        </w:rPr>
      </w:pPr>
      <w:r w:rsidRPr="009E464F">
        <w:rPr>
          <w:rFonts w:cs="Times New Roman"/>
          <w:lang w:eastAsia="zh-CN"/>
        </w:rPr>
        <w:lastRenderedPageBreak/>
        <w:t>（</w:t>
      </w:r>
      <w:r w:rsidR="000D604E">
        <w:rPr>
          <w:rFonts w:cs="Times New Roman"/>
          <w:lang w:eastAsia="zh-CN"/>
        </w:rPr>
        <w:t>8</w:t>
      </w:r>
      <w:r w:rsidRPr="009E464F">
        <w:rPr>
          <w:rFonts w:cs="Times New Roman"/>
          <w:lang w:eastAsia="zh-CN"/>
        </w:rPr>
        <w:t>）</w:t>
      </w:r>
      <w:r w:rsidR="00881E2E" w:rsidRPr="00ED1C86">
        <w:rPr>
          <w:rFonts w:cs="Times New Roman" w:hint="eastAsia"/>
          <w:lang w:eastAsia="zh-CN"/>
        </w:rPr>
        <w:t>大多数化学抑制剂对单个</w:t>
      </w:r>
      <w:r w:rsidR="00881E2E" w:rsidRPr="00ED1C86">
        <w:rPr>
          <w:rFonts w:cs="Times New Roman"/>
          <w:lang w:eastAsia="zh-CN"/>
        </w:rPr>
        <w:t>CYP</w:t>
      </w:r>
      <w:proofErr w:type="gramStart"/>
      <w:r w:rsidR="00881E2E" w:rsidRPr="00ED1C86">
        <w:rPr>
          <w:rFonts w:cs="Times New Roman" w:hint="eastAsia"/>
          <w:lang w:eastAsia="zh-CN"/>
        </w:rPr>
        <w:t>酶没有</w:t>
      </w:r>
      <w:proofErr w:type="gramEnd"/>
      <w:r w:rsidR="00881E2E" w:rsidRPr="00ED1C86">
        <w:rPr>
          <w:rFonts w:cs="Times New Roman" w:hint="eastAsia"/>
          <w:lang w:eastAsia="zh-CN"/>
        </w:rPr>
        <w:t>特异性。应在相同</w:t>
      </w:r>
      <w:r w:rsidR="005B4CC0" w:rsidRPr="00ED1C86">
        <w:rPr>
          <w:rFonts w:cs="Times New Roman" w:hint="eastAsia"/>
          <w:lang w:eastAsia="zh-CN"/>
        </w:rPr>
        <w:t>试验</w:t>
      </w:r>
      <w:r w:rsidR="00881E2E" w:rsidRPr="00ED1C86">
        <w:rPr>
          <w:rFonts w:cs="Times New Roman" w:hint="eastAsia"/>
          <w:lang w:eastAsia="zh-CN"/>
        </w:rPr>
        <w:t>条件下使用单个</w:t>
      </w:r>
      <w:r w:rsidR="00881E2E" w:rsidRPr="00ED1C86">
        <w:rPr>
          <w:rFonts w:cs="Times New Roman"/>
          <w:lang w:eastAsia="zh-CN"/>
        </w:rPr>
        <w:t>CYP</w:t>
      </w:r>
      <w:r w:rsidR="00881E2E" w:rsidRPr="00ED1C86">
        <w:rPr>
          <w:rFonts w:cs="Times New Roman" w:hint="eastAsia"/>
          <w:lang w:eastAsia="zh-CN"/>
        </w:rPr>
        <w:t>酶的指针底物验证抑制剂的选择性和效能。</w:t>
      </w:r>
    </w:p>
    <w:p w14:paraId="7B2EF8D6" w14:textId="0DE3ADBC" w:rsidR="00BD3B62" w:rsidRPr="009E464F" w:rsidRDefault="003274EA" w:rsidP="003274EA">
      <w:pPr>
        <w:spacing w:after="0"/>
        <w:ind w:firstLine="640"/>
        <w:jc w:val="left"/>
        <w:rPr>
          <w:rFonts w:cs="Times New Roman"/>
          <w:lang w:eastAsia="zh-CN"/>
        </w:rPr>
      </w:pPr>
      <w:r>
        <w:rPr>
          <w:rFonts w:cs="Times New Roman"/>
          <w:lang w:eastAsia="zh-CN"/>
        </w:rPr>
        <w:t>2.</w:t>
      </w:r>
      <w:r w:rsidR="00BD3B62" w:rsidRPr="009E464F">
        <w:rPr>
          <w:rFonts w:cs="Times New Roman"/>
          <w:lang w:eastAsia="zh-CN"/>
        </w:rPr>
        <w:t>评估在</w:t>
      </w:r>
      <w:proofErr w:type="gramStart"/>
      <w:r w:rsidR="00BD3B62" w:rsidRPr="009E464F">
        <w:rPr>
          <w:rFonts w:cs="Times New Roman"/>
          <w:lang w:eastAsia="zh-CN"/>
        </w:rPr>
        <w:t>研</w:t>
      </w:r>
      <w:proofErr w:type="gramEnd"/>
      <w:r w:rsidR="00BD3B62" w:rsidRPr="009E464F">
        <w:rPr>
          <w:rFonts w:cs="Times New Roman"/>
          <w:lang w:eastAsia="zh-CN"/>
        </w:rPr>
        <w:t>药物是否为代谢酶的抑制剂</w:t>
      </w:r>
    </w:p>
    <w:p w14:paraId="540D2659" w14:textId="42B3144D" w:rsidR="00415CB2" w:rsidRPr="009E464F" w:rsidRDefault="00415CB2" w:rsidP="00593FAB">
      <w:pPr>
        <w:spacing w:after="0"/>
        <w:ind w:firstLine="640"/>
        <w:rPr>
          <w:rFonts w:cs="Times New Roman"/>
          <w:lang w:eastAsia="zh-CN"/>
        </w:rPr>
      </w:pPr>
      <w:r w:rsidRPr="009E464F">
        <w:rPr>
          <w:rFonts w:cs="Times New Roman"/>
          <w:lang w:eastAsia="zh-CN"/>
        </w:rPr>
        <w:t>在人肝组分系统中，通常</w:t>
      </w:r>
      <w:r>
        <w:rPr>
          <w:rFonts w:cs="Times New Roman" w:hint="eastAsia"/>
          <w:lang w:eastAsia="zh-CN"/>
        </w:rPr>
        <w:t>采</w:t>
      </w:r>
      <w:r w:rsidRPr="009E464F">
        <w:rPr>
          <w:rFonts w:cs="Times New Roman"/>
          <w:lang w:eastAsia="zh-CN"/>
        </w:rPr>
        <w:t>用指针底物法研究药物对</w:t>
      </w:r>
      <w:r w:rsidRPr="009E464F">
        <w:rPr>
          <w:rFonts w:cs="Times New Roman"/>
          <w:lang w:eastAsia="zh-CN"/>
        </w:rPr>
        <w:t>CYP</w:t>
      </w:r>
      <w:r w:rsidRPr="009E464F">
        <w:rPr>
          <w:rFonts w:cs="Times New Roman"/>
          <w:lang w:eastAsia="zh-CN"/>
        </w:rPr>
        <w:t>酶的抑制机制</w:t>
      </w:r>
      <w:r w:rsidR="00D110AC">
        <w:rPr>
          <w:rFonts w:cs="Times New Roman"/>
          <w:lang w:eastAsia="zh-CN"/>
        </w:rPr>
        <w:t>（</w:t>
      </w:r>
      <w:r w:rsidRPr="009E464F">
        <w:rPr>
          <w:rFonts w:cs="Times New Roman"/>
          <w:lang w:eastAsia="zh-CN"/>
        </w:rPr>
        <w:t>如可逆性或时间依赖性抑制）</w:t>
      </w:r>
      <w:r w:rsidR="00D110AC">
        <w:rPr>
          <w:rFonts w:cs="Times New Roman"/>
          <w:lang w:eastAsia="zh-CN"/>
        </w:rPr>
        <w:t>和抑制强度（如</w:t>
      </w:r>
      <w:r w:rsidRPr="009E464F">
        <w:rPr>
          <w:rFonts w:cs="Times New Roman"/>
          <w:lang w:eastAsia="zh-CN"/>
        </w:rPr>
        <w:t>K</w:t>
      </w:r>
      <w:r w:rsidRPr="009E464F">
        <w:rPr>
          <w:rFonts w:cs="Times New Roman"/>
          <w:vertAlign w:val="subscript"/>
          <w:lang w:eastAsia="zh-CN"/>
        </w:rPr>
        <w:t>i</w:t>
      </w:r>
      <w:r w:rsidRPr="009E464F">
        <w:rPr>
          <w:rFonts w:cs="Times New Roman"/>
          <w:lang w:eastAsia="zh-CN"/>
        </w:rPr>
        <w:t>用于可逆抑制，</w:t>
      </w:r>
      <w:r w:rsidRPr="009E464F">
        <w:rPr>
          <w:rFonts w:cs="Times New Roman"/>
          <w:lang w:eastAsia="zh-CN"/>
        </w:rPr>
        <w:t>K</w:t>
      </w:r>
      <w:r w:rsidRPr="009E464F">
        <w:rPr>
          <w:rFonts w:cs="Times New Roman"/>
          <w:vertAlign w:val="subscript"/>
          <w:lang w:eastAsia="zh-CN"/>
        </w:rPr>
        <w:t>I</w:t>
      </w:r>
      <w:r w:rsidRPr="009E464F">
        <w:rPr>
          <w:rFonts w:cs="Times New Roman"/>
          <w:lang w:eastAsia="zh-CN"/>
        </w:rPr>
        <w:t>和</w:t>
      </w:r>
      <w:proofErr w:type="spellStart"/>
      <w:r w:rsidRPr="009E464F">
        <w:rPr>
          <w:rFonts w:cs="Times New Roman"/>
          <w:lang w:eastAsia="zh-CN"/>
        </w:rPr>
        <w:t>K</w:t>
      </w:r>
      <w:r w:rsidRPr="009E464F">
        <w:rPr>
          <w:rFonts w:cs="Times New Roman"/>
          <w:vertAlign w:val="subscript"/>
          <w:lang w:eastAsia="zh-CN"/>
        </w:rPr>
        <w:t>inact</w:t>
      </w:r>
      <w:proofErr w:type="spellEnd"/>
      <w:r w:rsidRPr="009E464F">
        <w:rPr>
          <w:rFonts w:cs="Times New Roman"/>
          <w:lang w:eastAsia="zh-CN"/>
        </w:rPr>
        <w:t>用于时间依赖性抑制）。</w:t>
      </w:r>
    </w:p>
    <w:p w14:paraId="766D3E7E" w14:textId="71868967" w:rsidR="00D110AC" w:rsidRDefault="00753424" w:rsidP="00593FAB">
      <w:pPr>
        <w:spacing w:after="0"/>
        <w:ind w:firstLine="640"/>
        <w:rPr>
          <w:rFonts w:cs="Times New Roman"/>
          <w:lang w:eastAsia="zh-CN"/>
        </w:rPr>
      </w:pPr>
      <w:r>
        <w:rPr>
          <w:rFonts w:cs="Times New Roman" w:hint="eastAsia"/>
          <w:lang w:eastAsia="zh-CN"/>
        </w:rPr>
        <w:t>当采用</w:t>
      </w:r>
      <w:r w:rsidR="00690675" w:rsidRPr="009E464F">
        <w:rPr>
          <w:rFonts w:cs="Times New Roman"/>
          <w:lang w:eastAsia="zh-CN"/>
        </w:rPr>
        <w:t>体外</w:t>
      </w:r>
      <w:r>
        <w:rPr>
          <w:rFonts w:cs="Times New Roman" w:hint="eastAsia"/>
          <w:lang w:eastAsia="zh-CN"/>
        </w:rPr>
        <w:t>系统研究酶</w:t>
      </w:r>
      <w:r w:rsidR="00690675" w:rsidRPr="009E464F">
        <w:rPr>
          <w:rFonts w:cs="Times New Roman"/>
          <w:lang w:eastAsia="zh-CN"/>
        </w:rPr>
        <w:t>抑制时，应考虑以下</w:t>
      </w:r>
      <w:r w:rsidR="00D110AC">
        <w:rPr>
          <w:rFonts w:cs="Times New Roman" w:hint="eastAsia"/>
          <w:lang w:eastAsia="zh-CN"/>
        </w:rPr>
        <w:t>事项</w:t>
      </w:r>
      <w:r w:rsidR="00690675" w:rsidRPr="009E464F">
        <w:rPr>
          <w:rFonts w:cs="Times New Roman"/>
          <w:lang w:eastAsia="zh-CN"/>
        </w:rPr>
        <w:t>：</w:t>
      </w:r>
    </w:p>
    <w:p w14:paraId="5F567009" w14:textId="43CE0646" w:rsidR="0069044B" w:rsidRDefault="00D834F5"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1</w:t>
      </w:r>
      <w:r w:rsidRPr="009E464F">
        <w:rPr>
          <w:rFonts w:cs="Times New Roman"/>
          <w:lang w:eastAsia="zh-CN"/>
        </w:rPr>
        <w:t>）</w:t>
      </w:r>
      <w:r w:rsidR="00690675" w:rsidRPr="009E464F">
        <w:rPr>
          <w:rFonts w:cs="Times New Roman"/>
          <w:lang w:eastAsia="zh-CN"/>
        </w:rPr>
        <w:t>指针底物（见附</w:t>
      </w:r>
      <w:r w:rsidR="0069044B">
        <w:rPr>
          <w:rFonts w:cs="Times New Roman" w:hint="eastAsia"/>
          <w:lang w:eastAsia="zh-CN"/>
        </w:rPr>
        <w:t>录</w:t>
      </w:r>
      <w:r w:rsidR="00D110AC">
        <w:rPr>
          <w:rFonts w:cs="Times New Roman"/>
          <w:lang w:eastAsia="zh-CN"/>
        </w:rPr>
        <w:t>5</w:t>
      </w:r>
      <w:r w:rsidR="00F667F2">
        <w:rPr>
          <w:rFonts w:cs="Times New Roman" w:hint="eastAsia"/>
          <w:lang w:eastAsia="zh-CN"/>
        </w:rPr>
        <w:t>表</w:t>
      </w:r>
      <w:r w:rsidR="00F667F2">
        <w:rPr>
          <w:rFonts w:cs="Times New Roman" w:hint="eastAsia"/>
          <w:lang w:eastAsia="zh-CN"/>
        </w:rPr>
        <w:t>3</w:t>
      </w:r>
      <w:r w:rsidR="00690675" w:rsidRPr="009E464F">
        <w:rPr>
          <w:rFonts w:cs="Times New Roman"/>
          <w:lang w:eastAsia="zh-CN"/>
        </w:rPr>
        <w:t>）应具有选择性（如主要通过混合的人肝微粒体或单一的重组</w:t>
      </w:r>
      <w:r w:rsidR="00690675" w:rsidRPr="009E464F">
        <w:rPr>
          <w:rFonts w:cs="Times New Roman"/>
          <w:lang w:eastAsia="zh-CN"/>
        </w:rPr>
        <w:t>CYP</w:t>
      </w:r>
      <w:r w:rsidR="00690675" w:rsidRPr="009E464F">
        <w:rPr>
          <w:rFonts w:cs="Times New Roman"/>
          <w:lang w:eastAsia="zh-CN"/>
        </w:rPr>
        <w:t>酶代谢）并且应有简单的代谢途径（理想情况下，药物不连续代谢）。</w:t>
      </w:r>
    </w:p>
    <w:p w14:paraId="6283AC74" w14:textId="54CC4CEF" w:rsidR="0069044B" w:rsidRDefault="003011E0"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2</w:t>
      </w:r>
      <w:r w:rsidRPr="009E464F">
        <w:rPr>
          <w:rFonts w:cs="Times New Roman"/>
          <w:lang w:eastAsia="zh-CN"/>
        </w:rPr>
        <w:t>）</w:t>
      </w:r>
      <w:r w:rsidR="00690675" w:rsidRPr="009E464F">
        <w:rPr>
          <w:rFonts w:cs="Times New Roman"/>
          <w:lang w:eastAsia="zh-CN"/>
        </w:rPr>
        <w:t>指针抑制剂的动力学常数（</w:t>
      </w:r>
      <w:r w:rsidR="00690675" w:rsidRPr="009E464F">
        <w:rPr>
          <w:rFonts w:cs="Times New Roman"/>
          <w:lang w:eastAsia="zh-CN"/>
        </w:rPr>
        <w:t>K</w:t>
      </w:r>
      <w:r w:rsidR="00690675" w:rsidRPr="009E464F">
        <w:rPr>
          <w:rFonts w:cs="Times New Roman"/>
          <w:vertAlign w:val="subscript"/>
          <w:lang w:eastAsia="zh-CN"/>
        </w:rPr>
        <w:t>i</w:t>
      </w:r>
      <w:r w:rsidR="00690675" w:rsidRPr="009E464F">
        <w:rPr>
          <w:rFonts w:cs="Times New Roman"/>
          <w:lang w:eastAsia="zh-CN"/>
        </w:rPr>
        <w:t>，</w:t>
      </w:r>
      <w:r w:rsidR="00690675" w:rsidRPr="009E464F">
        <w:rPr>
          <w:rFonts w:cs="Times New Roman"/>
          <w:lang w:eastAsia="zh-CN"/>
        </w:rPr>
        <w:t>IC</w:t>
      </w:r>
      <w:r w:rsidR="00690675" w:rsidRPr="009E464F">
        <w:rPr>
          <w:rFonts w:cs="Times New Roman"/>
          <w:vertAlign w:val="subscript"/>
          <w:lang w:eastAsia="zh-CN"/>
        </w:rPr>
        <w:t>50</w:t>
      </w:r>
      <w:r w:rsidR="00690675" w:rsidRPr="009E464F">
        <w:rPr>
          <w:rFonts w:cs="Times New Roman"/>
          <w:lang w:eastAsia="zh-CN"/>
        </w:rPr>
        <w:t>，</w:t>
      </w:r>
      <w:r w:rsidR="00690675" w:rsidRPr="009E464F">
        <w:rPr>
          <w:rFonts w:cs="Times New Roman"/>
          <w:lang w:eastAsia="zh-CN"/>
        </w:rPr>
        <w:t>K</w:t>
      </w:r>
      <w:r w:rsidR="00690675" w:rsidRPr="009E464F">
        <w:rPr>
          <w:rFonts w:cs="Times New Roman"/>
          <w:vertAlign w:val="subscript"/>
          <w:lang w:eastAsia="zh-CN"/>
        </w:rPr>
        <w:t>I</w:t>
      </w:r>
      <w:r w:rsidR="00690675" w:rsidRPr="009E464F">
        <w:rPr>
          <w:rFonts w:cs="Times New Roman"/>
          <w:lang w:eastAsia="zh-CN"/>
        </w:rPr>
        <w:t>，和</w:t>
      </w:r>
      <w:r w:rsidR="00690675" w:rsidRPr="009E464F">
        <w:rPr>
          <w:rFonts w:cs="Times New Roman"/>
          <w:lang w:eastAsia="zh-CN"/>
        </w:rPr>
        <w:t>/</w:t>
      </w:r>
      <w:r w:rsidR="00690675" w:rsidRPr="009E464F">
        <w:rPr>
          <w:rFonts w:cs="Times New Roman"/>
          <w:lang w:eastAsia="zh-CN"/>
        </w:rPr>
        <w:t>或</w:t>
      </w:r>
      <w:proofErr w:type="spellStart"/>
      <w:r w:rsidR="00690675" w:rsidRPr="009E464F">
        <w:rPr>
          <w:rFonts w:cs="Times New Roman"/>
          <w:lang w:eastAsia="zh-CN"/>
        </w:rPr>
        <w:t>k</w:t>
      </w:r>
      <w:r w:rsidR="00690675" w:rsidRPr="009E464F">
        <w:rPr>
          <w:rFonts w:cs="Times New Roman"/>
          <w:vertAlign w:val="subscript"/>
          <w:lang w:eastAsia="zh-CN"/>
        </w:rPr>
        <w:t>inact</w:t>
      </w:r>
      <w:proofErr w:type="spellEnd"/>
      <w:r w:rsidR="00690675" w:rsidRPr="009E464F">
        <w:rPr>
          <w:rFonts w:cs="Times New Roman"/>
          <w:lang w:eastAsia="zh-CN"/>
        </w:rPr>
        <w:t>）应与文献报道的值或研究者内部的参考值接近。体外代谢系统可以是混合人肝微粒体（如混合</w:t>
      </w:r>
      <w:r w:rsidR="00690675" w:rsidRPr="009E464F">
        <w:rPr>
          <w:rFonts w:cs="Times New Roman"/>
          <w:lang w:eastAsia="zh-CN"/>
        </w:rPr>
        <w:t>10</w:t>
      </w:r>
      <w:r w:rsidR="00690675" w:rsidRPr="009E464F">
        <w:rPr>
          <w:rFonts w:cs="Times New Roman"/>
          <w:lang w:eastAsia="zh-CN"/>
        </w:rPr>
        <w:t>个以上供体的肝脏微粒体），混合冻存人肝细胞（如混合</w:t>
      </w:r>
      <w:r w:rsidR="00690675" w:rsidRPr="009E464F">
        <w:rPr>
          <w:rFonts w:cs="Times New Roman"/>
          <w:lang w:eastAsia="zh-CN"/>
        </w:rPr>
        <w:t>10</w:t>
      </w:r>
      <w:r w:rsidR="00690675" w:rsidRPr="009E464F">
        <w:rPr>
          <w:rFonts w:cs="Times New Roman"/>
          <w:lang w:eastAsia="zh-CN"/>
        </w:rPr>
        <w:t>个以上供体的肝细胞）或重组</w:t>
      </w:r>
      <w:r w:rsidR="00690675" w:rsidRPr="009E464F">
        <w:rPr>
          <w:rFonts w:cs="Times New Roman"/>
          <w:lang w:eastAsia="zh-CN"/>
        </w:rPr>
        <w:t>CYP</w:t>
      </w:r>
      <w:r w:rsidR="00690675" w:rsidRPr="009E464F">
        <w:rPr>
          <w:rFonts w:cs="Times New Roman"/>
          <w:lang w:eastAsia="zh-CN"/>
        </w:rPr>
        <w:t>酶。为了获得抑制参数，可以考虑将富含人血浆的原代肝细胞作为模拟真实生理条件的体外研究系统。</w:t>
      </w:r>
    </w:p>
    <w:p w14:paraId="708359E3" w14:textId="661FE552" w:rsidR="0069044B" w:rsidRDefault="003011E0"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3</w:t>
      </w:r>
      <w:r w:rsidRPr="009E464F">
        <w:rPr>
          <w:rFonts w:cs="Times New Roman"/>
          <w:lang w:eastAsia="zh-CN"/>
        </w:rPr>
        <w:t>）</w:t>
      </w:r>
      <w:r w:rsidR="00690675" w:rsidRPr="009E464F">
        <w:rPr>
          <w:rFonts w:cs="Times New Roman"/>
          <w:lang w:eastAsia="zh-CN"/>
        </w:rPr>
        <w:t>在</w:t>
      </w:r>
      <w:proofErr w:type="gramStart"/>
      <w:r w:rsidR="00690675" w:rsidRPr="009E464F">
        <w:rPr>
          <w:rFonts w:cs="Times New Roman"/>
          <w:lang w:eastAsia="zh-CN"/>
        </w:rPr>
        <w:t>研</w:t>
      </w:r>
      <w:proofErr w:type="gramEnd"/>
      <w:r w:rsidR="00690675" w:rsidRPr="009E464F">
        <w:rPr>
          <w:rFonts w:cs="Times New Roman"/>
          <w:lang w:eastAsia="zh-CN"/>
        </w:rPr>
        <w:t>药物的浓度应该选择尽可能高以达到最大抑制作用，从而能够发现临床相关的抑制作用</w:t>
      </w:r>
      <w:r w:rsidR="00D110AC">
        <w:rPr>
          <w:rFonts w:cs="Times New Roman" w:hint="eastAsia"/>
          <w:lang w:eastAsia="zh-CN"/>
        </w:rPr>
        <w:t>，</w:t>
      </w:r>
      <w:r w:rsidR="00690675" w:rsidRPr="009E464F">
        <w:rPr>
          <w:rFonts w:cs="Times New Roman"/>
          <w:lang w:eastAsia="zh-CN"/>
        </w:rPr>
        <w:t>但不应超过药物的溶解度极限且不应</w:t>
      </w:r>
      <w:r w:rsidR="00834E48" w:rsidRPr="009E464F">
        <w:rPr>
          <w:rFonts w:cs="Times New Roman" w:hint="eastAsia"/>
          <w:lang w:eastAsia="zh-CN"/>
        </w:rPr>
        <w:t>影响</w:t>
      </w:r>
      <w:r w:rsidR="00690675" w:rsidRPr="009E464F">
        <w:rPr>
          <w:rFonts w:cs="Times New Roman"/>
          <w:lang w:eastAsia="zh-CN"/>
        </w:rPr>
        <w:t>细胞模型</w:t>
      </w:r>
      <w:r w:rsidR="00834E48" w:rsidRPr="009E464F">
        <w:rPr>
          <w:rFonts w:cs="Times New Roman" w:hint="eastAsia"/>
          <w:lang w:eastAsia="zh-CN"/>
        </w:rPr>
        <w:t>的评价</w:t>
      </w:r>
      <w:r w:rsidR="00690675" w:rsidRPr="009E464F">
        <w:rPr>
          <w:rFonts w:cs="Times New Roman"/>
          <w:lang w:eastAsia="zh-CN"/>
        </w:rPr>
        <w:t>（如细胞毒性）。</w:t>
      </w:r>
    </w:p>
    <w:p w14:paraId="0DB559D5" w14:textId="6BB5E758" w:rsidR="0069044B" w:rsidRDefault="003011E0" w:rsidP="00593FAB">
      <w:pPr>
        <w:spacing w:after="0"/>
        <w:ind w:firstLine="640"/>
        <w:rPr>
          <w:rFonts w:cs="Times New Roman"/>
          <w:lang w:eastAsia="zh-CN"/>
        </w:rPr>
      </w:pPr>
      <w:r w:rsidRPr="009E464F">
        <w:rPr>
          <w:rFonts w:cs="Times New Roman"/>
          <w:lang w:eastAsia="zh-CN"/>
        </w:rPr>
        <w:lastRenderedPageBreak/>
        <w:t>（</w:t>
      </w:r>
      <w:r w:rsidRPr="009E464F">
        <w:rPr>
          <w:rFonts w:cs="Times New Roman"/>
          <w:lang w:eastAsia="zh-CN"/>
        </w:rPr>
        <w:t>4</w:t>
      </w:r>
      <w:r w:rsidRPr="009E464F">
        <w:rPr>
          <w:rFonts w:cs="Times New Roman"/>
          <w:lang w:eastAsia="zh-CN"/>
        </w:rPr>
        <w:t>）</w:t>
      </w:r>
      <w:r w:rsidR="00690675" w:rsidRPr="009E464F">
        <w:rPr>
          <w:rFonts w:cs="Times New Roman"/>
          <w:lang w:eastAsia="zh-CN"/>
        </w:rPr>
        <w:t>建议采用体外孵育体系中的游离药物浓度，可以通过</w:t>
      </w:r>
      <w:r w:rsidR="005B4CC0" w:rsidRPr="009E464F">
        <w:rPr>
          <w:rFonts w:cs="Times New Roman"/>
          <w:lang w:eastAsia="zh-CN"/>
        </w:rPr>
        <w:t>试验</w:t>
      </w:r>
      <w:r w:rsidR="00690675" w:rsidRPr="009E464F">
        <w:rPr>
          <w:rFonts w:cs="Times New Roman"/>
          <w:lang w:eastAsia="zh-CN"/>
        </w:rPr>
        <w:t>测定或者利用数学模型进行估算。有</w:t>
      </w:r>
      <w:r w:rsidR="00D110AC">
        <w:rPr>
          <w:rFonts w:cs="Times New Roman" w:hint="eastAsia"/>
          <w:lang w:eastAsia="zh-CN"/>
        </w:rPr>
        <w:t>时</w:t>
      </w:r>
      <w:r w:rsidR="00690675" w:rsidRPr="009E464F">
        <w:rPr>
          <w:rFonts w:cs="Times New Roman"/>
          <w:lang w:eastAsia="zh-CN"/>
        </w:rPr>
        <w:t>获得精确的微粒体孵育体系中游离药物分数（</w:t>
      </w:r>
      <w:proofErr w:type="spellStart"/>
      <w:r w:rsidR="00690675" w:rsidRPr="009E464F">
        <w:rPr>
          <w:rFonts w:cs="Times New Roman"/>
          <w:lang w:eastAsia="zh-CN"/>
        </w:rPr>
        <w:t>fu</w:t>
      </w:r>
      <w:r w:rsidR="00690675" w:rsidRPr="009E464F">
        <w:rPr>
          <w:rFonts w:cs="Times New Roman"/>
          <w:vertAlign w:val="subscript"/>
          <w:lang w:eastAsia="zh-CN"/>
        </w:rPr>
        <w:t>mic</w:t>
      </w:r>
      <w:proofErr w:type="spellEnd"/>
      <w:r w:rsidR="00690675" w:rsidRPr="009E464F">
        <w:rPr>
          <w:rFonts w:cs="Times New Roman"/>
          <w:lang w:eastAsia="zh-CN"/>
        </w:rPr>
        <w:t>）</w:t>
      </w:r>
      <w:r w:rsidR="00ED1C86">
        <w:rPr>
          <w:rFonts w:cs="Times New Roman" w:hint="eastAsia"/>
          <w:lang w:eastAsia="zh-CN"/>
        </w:rPr>
        <w:t>则</w:t>
      </w:r>
      <w:r w:rsidR="00690675" w:rsidRPr="009E464F">
        <w:rPr>
          <w:rFonts w:cs="Times New Roman"/>
          <w:lang w:eastAsia="zh-CN"/>
        </w:rPr>
        <w:t>非常重要。如孵育体系中游离抑制剂浓度明显低于总浓度时（可能因为药物与蛋白发生共价结合或药物吸附在试管壁上），</w:t>
      </w:r>
      <w:r w:rsidR="00F667F2">
        <w:rPr>
          <w:rFonts w:cs="Times New Roman" w:hint="eastAsia"/>
          <w:lang w:eastAsia="zh-CN"/>
        </w:rPr>
        <w:t>则有</w:t>
      </w:r>
      <w:r w:rsidR="00690675" w:rsidRPr="009E464F">
        <w:rPr>
          <w:rFonts w:cs="Times New Roman"/>
          <w:lang w:eastAsia="zh-CN"/>
        </w:rPr>
        <w:t>必要测定</w:t>
      </w:r>
      <w:proofErr w:type="spellStart"/>
      <w:r w:rsidR="00690675" w:rsidRPr="009E464F">
        <w:rPr>
          <w:rFonts w:cs="Times New Roman"/>
          <w:lang w:eastAsia="zh-CN"/>
        </w:rPr>
        <w:t>fu</w:t>
      </w:r>
      <w:r w:rsidR="00690675" w:rsidRPr="009E464F">
        <w:rPr>
          <w:rFonts w:cs="Times New Roman"/>
          <w:vertAlign w:val="subscript"/>
          <w:lang w:eastAsia="zh-CN"/>
        </w:rPr>
        <w:t>mic</w:t>
      </w:r>
      <w:proofErr w:type="spellEnd"/>
      <w:r w:rsidR="00690675" w:rsidRPr="009E464F">
        <w:rPr>
          <w:rFonts w:cs="Times New Roman"/>
          <w:lang w:eastAsia="zh-CN"/>
        </w:rPr>
        <w:t>。</w:t>
      </w:r>
    </w:p>
    <w:p w14:paraId="38B3C3C7" w14:textId="4CA69CA8" w:rsidR="0069044B" w:rsidRDefault="003011E0"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5</w:t>
      </w:r>
      <w:r w:rsidRPr="009E464F">
        <w:rPr>
          <w:rFonts w:cs="Times New Roman"/>
          <w:lang w:eastAsia="zh-CN"/>
        </w:rPr>
        <w:t>）</w:t>
      </w:r>
      <w:r w:rsidR="00690675" w:rsidRPr="009E464F">
        <w:rPr>
          <w:rFonts w:cs="Times New Roman"/>
          <w:lang w:eastAsia="zh-CN"/>
        </w:rPr>
        <w:t>应使用指针底物检测</w:t>
      </w:r>
      <w:r w:rsidR="00690675" w:rsidRPr="009E464F">
        <w:rPr>
          <w:rFonts w:cs="Times New Roman"/>
          <w:lang w:eastAsia="zh-CN"/>
        </w:rPr>
        <w:t>4~8</w:t>
      </w:r>
      <w:r w:rsidR="00690675" w:rsidRPr="009E464F">
        <w:rPr>
          <w:rFonts w:cs="Times New Roman"/>
          <w:lang w:eastAsia="zh-CN"/>
        </w:rPr>
        <w:t>个不同浓度的在</w:t>
      </w:r>
      <w:proofErr w:type="gramStart"/>
      <w:r w:rsidR="00690675" w:rsidRPr="009E464F">
        <w:rPr>
          <w:rFonts w:cs="Times New Roman"/>
          <w:lang w:eastAsia="zh-CN"/>
        </w:rPr>
        <w:t>研</w:t>
      </w:r>
      <w:proofErr w:type="gramEnd"/>
      <w:r w:rsidR="00690675" w:rsidRPr="009E464F">
        <w:rPr>
          <w:rFonts w:cs="Times New Roman"/>
          <w:lang w:eastAsia="zh-CN"/>
        </w:rPr>
        <w:t>药物的抑制作用</w:t>
      </w:r>
      <w:r w:rsidR="00A36771">
        <w:rPr>
          <w:rFonts w:cs="Times New Roman" w:hint="eastAsia"/>
          <w:lang w:eastAsia="zh-CN"/>
        </w:rPr>
        <w:t>，</w:t>
      </w:r>
      <w:r w:rsidR="00690675" w:rsidRPr="009E464F">
        <w:rPr>
          <w:rFonts w:cs="Times New Roman"/>
          <w:lang w:eastAsia="zh-CN"/>
        </w:rPr>
        <w:t>应首选高浓度（如游离药物</w:t>
      </w:r>
      <w:proofErr w:type="spellStart"/>
      <w:r w:rsidR="00690675" w:rsidRPr="009E464F">
        <w:rPr>
          <w:rFonts w:cs="Times New Roman"/>
          <w:lang w:eastAsia="zh-CN"/>
        </w:rPr>
        <w:t>C</w:t>
      </w:r>
      <w:r w:rsidR="00690675" w:rsidRPr="009E464F">
        <w:rPr>
          <w:rFonts w:cs="Times New Roman"/>
          <w:vertAlign w:val="subscript"/>
          <w:lang w:eastAsia="zh-CN"/>
        </w:rPr>
        <w:t>max</w:t>
      </w:r>
      <w:proofErr w:type="spellEnd"/>
      <w:r w:rsidR="00690675" w:rsidRPr="009E464F">
        <w:rPr>
          <w:rFonts w:cs="Times New Roman"/>
          <w:lang w:eastAsia="zh-CN"/>
        </w:rPr>
        <w:t>的</w:t>
      </w:r>
      <w:r w:rsidR="00690675" w:rsidRPr="009E464F">
        <w:rPr>
          <w:rFonts w:cs="Times New Roman"/>
          <w:lang w:eastAsia="zh-CN"/>
        </w:rPr>
        <w:t>50</w:t>
      </w:r>
      <w:r w:rsidR="00690675" w:rsidRPr="009E464F">
        <w:rPr>
          <w:rFonts w:cs="Times New Roman"/>
          <w:lang w:eastAsia="zh-CN"/>
        </w:rPr>
        <w:t>倍或剂量的</w:t>
      </w:r>
      <w:r w:rsidR="00690675" w:rsidRPr="009E464F">
        <w:rPr>
          <w:rFonts w:cs="Times New Roman"/>
          <w:lang w:eastAsia="zh-CN"/>
        </w:rPr>
        <w:t>0.1</w:t>
      </w:r>
      <w:r w:rsidR="00690675" w:rsidRPr="009E464F">
        <w:rPr>
          <w:rFonts w:cs="Times New Roman"/>
          <w:lang w:eastAsia="zh-CN"/>
        </w:rPr>
        <w:t>倍</w:t>
      </w:r>
      <w:r w:rsidR="00690675" w:rsidRPr="009E464F">
        <w:rPr>
          <w:rFonts w:cs="Times New Roman"/>
          <w:lang w:eastAsia="zh-CN"/>
        </w:rPr>
        <w:t>/250 mL</w:t>
      </w:r>
      <w:r w:rsidR="00690675" w:rsidRPr="009E464F">
        <w:rPr>
          <w:rFonts w:cs="Times New Roman"/>
          <w:lang w:eastAsia="zh-CN"/>
        </w:rPr>
        <w:t>）。如果初始高浓度能抑制特定酶，则应检测较低药物浓度的抑制作用，并计算药物的</w:t>
      </w:r>
      <w:r w:rsidR="00690675" w:rsidRPr="009E464F">
        <w:rPr>
          <w:rFonts w:cs="Times New Roman"/>
          <w:lang w:eastAsia="zh-CN"/>
        </w:rPr>
        <w:t>IC</w:t>
      </w:r>
      <w:r w:rsidR="00690675" w:rsidRPr="009E464F">
        <w:rPr>
          <w:rFonts w:cs="Times New Roman"/>
          <w:vertAlign w:val="subscript"/>
          <w:lang w:eastAsia="zh-CN"/>
        </w:rPr>
        <w:t>50</w:t>
      </w:r>
      <w:r w:rsidR="00690675" w:rsidRPr="009E464F">
        <w:rPr>
          <w:rFonts w:cs="Times New Roman"/>
          <w:lang w:eastAsia="zh-CN"/>
        </w:rPr>
        <w:t>值或</w:t>
      </w:r>
      <w:r w:rsidR="00690675" w:rsidRPr="009E464F">
        <w:rPr>
          <w:rFonts w:cs="Times New Roman"/>
          <w:lang w:eastAsia="zh-CN"/>
        </w:rPr>
        <w:t>K</w:t>
      </w:r>
      <w:r w:rsidR="00690675" w:rsidRPr="009E464F">
        <w:rPr>
          <w:rFonts w:cs="Times New Roman"/>
          <w:vertAlign w:val="subscript"/>
          <w:lang w:eastAsia="zh-CN"/>
        </w:rPr>
        <w:t>i</w:t>
      </w:r>
      <w:r w:rsidR="00690675" w:rsidRPr="009E464F">
        <w:rPr>
          <w:rFonts w:cs="Times New Roman"/>
          <w:lang w:eastAsia="zh-CN"/>
        </w:rPr>
        <w:t>值。</w:t>
      </w:r>
    </w:p>
    <w:p w14:paraId="31F113E9" w14:textId="22F35CEC" w:rsidR="0069044B" w:rsidRDefault="003011E0"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6</w:t>
      </w:r>
      <w:r w:rsidRPr="009E464F">
        <w:rPr>
          <w:rFonts w:cs="Times New Roman"/>
          <w:lang w:eastAsia="zh-CN"/>
        </w:rPr>
        <w:t>）</w:t>
      </w:r>
      <w:r w:rsidR="00690675" w:rsidRPr="009E464F">
        <w:rPr>
          <w:rFonts w:cs="Times New Roman"/>
          <w:lang w:eastAsia="zh-CN"/>
        </w:rPr>
        <w:t>确定药物</w:t>
      </w:r>
      <w:r w:rsidR="00690675" w:rsidRPr="009E464F">
        <w:rPr>
          <w:rFonts w:cs="Times New Roman"/>
          <w:lang w:eastAsia="zh-CN"/>
        </w:rPr>
        <w:t>IC</w:t>
      </w:r>
      <w:r w:rsidR="00690675" w:rsidRPr="009E464F">
        <w:rPr>
          <w:rFonts w:cs="Times New Roman"/>
          <w:vertAlign w:val="subscript"/>
          <w:lang w:eastAsia="zh-CN"/>
        </w:rPr>
        <w:t>50</w:t>
      </w:r>
      <w:r w:rsidR="00690675" w:rsidRPr="009E464F">
        <w:rPr>
          <w:rFonts w:cs="Times New Roman"/>
          <w:lang w:eastAsia="zh-CN"/>
        </w:rPr>
        <w:t>值的</w:t>
      </w:r>
      <w:r w:rsidR="00A36771">
        <w:rPr>
          <w:rFonts w:cs="Times New Roman" w:hint="eastAsia"/>
          <w:lang w:eastAsia="zh-CN"/>
        </w:rPr>
        <w:t>代表性</w:t>
      </w:r>
      <w:r w:rsidR="005B4CC0" w:rsidRPr="009E464F">
        <w:rPr>
          <w:rFonts w:cs="Times New Roman"/>
          <w:lang w:eastAsia="zh-CN"/>
        </w:rPr>
        <w:t>试验</w:t>
      </w:r>
      <w:r w:rsidR="00690675" w:rsidRPr="009E464F">
        <w:rPr>
          <w:rFonts w:cs="Times New Roman"/>
          <w:lang w:eastAsia="zh-CN"/>
        </w:rPr>
        <w:t>包括以</w:t>
      </w:r>
      <w:r w:rsidR="00A36771">
        <w:rPr>
          <w:rFonts w:cs="Times New Roman" w:hint="eastAsia"/>
          <w:lang w:eastAsia="zh-CN"/>
        </w:rPr>
        <w:t>≤</w:t>
      </w:r>
      <w:r w:rsidR="00690675" w:rsidRPr="009E464F">
        <w:rPr>
          <w:rFonts w:cs="Times New Roman"/>
          <w:lang w:eastAsia="zh-CN"/>
        </w:rPr>
        <w:t>指针底物</w:t>
      </w:r>
      <w:r w:rsidR="00690675" w:rsidRPr="009E464F">
        <w:rPr>
          <w:rFonts w:cs="Times New Roman"/>
          <w:lang w:eastAsia="zh-CN"/>
        </w:rPr>
        <w:t>K</w:t>
      </w:r>
      <w:r w:rsidR="00690675" w:rsidRPr="009E464F">
        <w:rPr>
          <w:rFonts w:cs="Times New Roman"/>
          <w:vertAlign w:val="subscript"/>
          <w:lang w:eastAsia="zh-CN"/>
        </w:rPr>
        <w:t>m</w:t>
      </w:r>
      <w:r w:rsidR="00690675" w:rsidRPr="009E464F">
        <w:rPr>
          <w:rFonts w:cs="Times New Roman"/>
          <w:lang w:eastAsia="zh-CN"/>
        </w:rPr>
        <w:t>的浓度进行孵育试验，以使抑制剂的</w:t>
      </w:r>
      <w:r w:rsidR="00690675" w:rsidRPr="009E464F">
        <w:rPr>
          <w:rFonts w:cs="Times New Roman"/>
          <w:lang w:eastAsia="zh-CN"/>
        </w:rPr>
        <w:t>IC</w:t>
      </w:r>
      <w:r w:rsidR="00690675" w:rsidRPr="009E464F">
        <w:rPr>
          <w:rFonts w:cs="Times New Roman"/>
          <w:vertAlign w:val="subscript"/>
          <w:lang w:eastAsia="zh-CN"/>
        </w:rPr>
        <w:t>50</w:t>
      </w:r>
      <w:r w:rsidR="00690675" w:rsidRPr="009E464F">
        <w:rPr>
          <w:rFonts w:cs="Times New Roman"/>
          <w:lang w:eastAsia="zh-CN"/>
        </w:rPr>
        <w:t>与其</w:t>
      </w:r>
      <w:r w:rsidR="00690675" w:rsidRPr="009E464F">
        <w:rPr>
          <w:rFonts w:cs="Times New Roman"/>
          <w:lang w:eastAsia="zh-CN"/>
        </w:rPr>
        <w:t>K</w:t>
      </w:r>
      <w:r w:rsidR="00690675" w:rsidRPr="009E464F">
        <w:rPr>
          <w:rFonts w:cs="Times New Roman"/>
          <w:vertAlign w:val="subscript"/>
          <w:lang w:eastAsia="zh-CN"/>
        </w:rPr>
        <w:t>i</w:t>
      </w:r>
      <w:r w:rsidR="00690675" w:rsidRPr="009E464F">
        <w:rPr>
          <w:rFonts w:cs="Times New Roman"/>
          <w:lang w:eastAsia="zh-CN"/>
        </w:rPr>
        <w:t>值的关联性更强。测定</w:t>
      </w:r>
      <w:r w:rsidR="00690675" w:rsidRPr="009E464F">
        <w:rPr>
          <w:rFonts w:cs="Times New Roman"/>
          <w:lang w:eastAsia="zh-CN"/>
        </w:rPr>
        <w:t>K</w:t>
      </w:r>
      <w:r w:rsidR="00690675" w:rsidRPr="009E464F">
        <w:rPr>
          <w:rFonts w:cs="Times New Roman"/>
          <w:vertAlign w:val="subscript"/>
          <w:lang w:eastAsia="zh-CN"/>
        </w:rPr>
        <w:t>i</w:t>
      </w:r>
      <w:r w:rsidR="00690675" w:rsidRPr="009E464F">
        <w:rPr>
          <w:rFonts w:cs="Times New Roman"/>
          <w:lang w:eastAsia="zh-CN"/>
        </w:rPr>
        <w:t>值时，指针底物和抑制剂的浓度范围应涵盖指针底物的</w:t>
      </w:r>
      <w:r w:rsidR="00690675" w:rsidRPr="009E464F">
        <w:rPr>
          <w:rFonts w:cs="Times New Roman"/>
          <w:lang w:eastAsia="zh-CN"/>
        </w:rPr>
        <w:t>K</w:t>
      </w:r>
      <w:r w:rsidR="00690675" w:rsidRPr="009E464F">
        <w:rPr>
          <w:rFonts w:cs="Times New Roman"/>
          <w:vertAlign w:val="subscript"/>
          <w:lang w:eastAsia="zh-CN"/>
        </w:rPr>
        <w:t>m</w:t>
      </w:r>
      <w:r w:rsidR="00690675" w:rsidRPr="009E464F">
        <w:rPr>
          <w:rFonts w:cs="Times New Roman"/>
          <w:lang w:eastAsia="zh-CN"/>
        </w:rPr>
        <w:t>和抑制剂的</w:t>
      </w:r>
      <w:r w:rsidR="00690675" w:rsidRPr="009E464F">
        <w:rPr>
          <w:rFonts w:cs="Times New Roman"/>
          <w:lang w:eastAsia="zh-CN"/>
        </w:rPr>
        <w:t>K</w:t>
      </w:r>
      <w:r w:rsidR="00690675" w:rsidRPr="009E464F">
        <w:rPr>
          <w:rFonts w:cs="Times New Roman"/>
          <w:vertAlign w:val="subscript"/>
          <w:lang w:eastAsia="zh-CN"/>
        </w:rPr>
        <w:t>i</w:t>
      </w:r>
      <w:r w:rsidR="00690675" w:rsidRPr="009E464F">
        <w:rPr>
          <w:rFonts w:cs="Times New Roman"/>
          <w:lang w:eastAsia="zh-CN"/>
        </w:rPr>
        <w:t>值。</w:t>
      </w:r>
    </w:p>
    <w:p w14:paraId="05268AAE" w14:textId="6232FEA9" w:rsidR="0069044B" w:rsidRDefault="003011E0"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7</w:t>
      </w:r>
      <w:r w:rsidRPr="009E464F">
        <w:rPr>
          <w:rFonts w:cs="Times New Roman"/>
          <w:lang w:eastAsia="zh-CN"/>
        </w:rPr>
        <w:t>）</w:t>
      </w:r>
      <w:r w:rsidR="00690675" w:rsidRPr="009E464F">
        <w:rPr>
          <w:rFonts w:cs="Times New Roman"/>
          <w:lang w:eastAsia="zh-CN"/>
        </w:rPr>
        <w:t>如果体外试验结果表明</w:t>
      </w:r>
      <w:r w:rsidR="00690675" w:rsidRPr="009E464F">
        <w:rPr>
          <w:rFonts w:cs="Times New Roman"/>
          <w:lang w:eastAsia="zh-CN"/>
        </w:rPr>
        <w:t>K</w:t>
      </w:r>
      <w:r w:rsidR="00690675" w:rsidRPr="009E464F">
        <w:rPr>
          <w:rFonts w:cs="Times New Roman"/>
          <w:vertAlign w:val="subscript"/>
          <w:lang w:eastAsia="zh-CN"/>
        </w:rPr>
        <w:t>i</w:t>
      </w:r>
      <w:r w:rsidR="00690675" w:rsidRPr="009E464F">
        <w:rPr>
          <w:rFonts w:cs="Times New Roman"/>
          <w:lang w:eastAsia="zh-CN"/>
        </w:rPr>
        <w:t>将显著高于试验中测定的浓度，则无需对</w:t>
      </w:r>
      <w:r w:rsidR="00690675" w:rsidRPr="009E464F">
        <w:rPr>
          <w:rFonts w:cs="Times New Roman"/>
          <w:lang w:eastAsia="zh-CN"/>
        </w:rPr>
        <w:t>K</w:t>
      </w:r>
      <w:r w:rsidR="00690675" w:rsidRPr="009E464F">
        <w:rPr>
          <w:rFonts w:cs="Times New Roman"/>
          <w:vertAlign w:val="subscript"/>
          <w:lang w:eastAsia="zh-CN"/>
        </w:rPr>
        <w:t>i</w:t>
      </w:r>
      <w:r w:rsidR="00690675" w:rsidRPr="009E464F">
        <w:rPr>
          <w:rFonts w:cs="Times New Roman"/>
          <w:lang w:eastAsia="zh-CN"/>
        </w:rPr>
        <w:t>值进行测定，但需要充分的讨论</w:t>
      </w:r>
      <w:r w:rsidR="00A36771">
        <w:rPr>
          <w:rFonts w:cs="Times New Roman" w:hint="eastAsia"/>
          <w:lang w:eastAsia="zh-CN"/>
        </w:rPr>
        <w:t>以支持</w:t>
      </w:r>
      <w:r w:rsidR="00A36771">
        <w:rPr>
          <w:rFonts w:cs="Times New Roman"/>
          <w:lang w:eastAsia="zh-CN"/>
        </w:rPr>
        <w:t>该决定</w:t>
      </w:r>
      <w:r w:rsidR="00690675" w:rsidRPr="009E464F">
        <w:rPr>
          <w:rFonts w:cs="Times New Roman"/>
          <w:lang w:eastAsia="zh-CN"/>
        </w:rPr>
        <w:t>。如果已通过几种不同</w:t>
      </w:r>
      <w:r w:rsidR="009D5C8E" w:rsidRPr="009E464F">
        <w:rPr>
          <w:rFonts w:cs="Times New Roman"/>
          <w:lang w:eastAsia="zh-CN"/>
        </w:rPr>
        <w:t>体外试验</w:t>
      </w:r>
      <w:r w:rsidR="00690675" w:rsidRPr="009E464F">
        <w:rPr>
          <w:rFonts w:cs="Times New Roman"/>
          <w:lang w:eastAsia="zh-CN"/>
        </w:rPr>
        <w:t>系统或者同一种酶的多个底物（如</w:t>
      </w:r>
      <w:r w:rsidR="00690675" w:rsidRPr="009E464F">
        <w:rPr>
          <w:rFonts w:cs="Times New Roman"/>
          <w:lang w:eastAsia="zh-CN"/>
        </w:rPr>
        <w:t>CYP3A</w:t>
      </w:r>
      <w:r w:rsidR="00690675" w:rsidRPr="009E464F">
        <w:rPr>
          <w:rFonts w:cs="Times New Roman"/>
          <w:lang w:eastAsia="zh-CN"/>
        </w:rPr>
        <w:t>底物）测定了</w:t>
      </w:r>
      <w:r w:rsidR="00690675" w:rsidRPr="009E464F">
        <w:rPr>
          <w:rFonts w:cs="Times New Roman"/>
          <w:lang w:eastAsia="zh-CN"/>
        </w:rPr>
        <w:t>K</w:t>
      </w:r>
      <w:r w:rsidR="00690675" w:rsidRPr="009E464F">
        <w:rPr>
          <w:rFonts w:cs="Times New Roman"/>
          <w:vertAlign w:val="subscript"/>
          <w:lang w:eastAsia="zh-CN"/>
        </w:rPr>
        <w:t>i</w:t>
      </w:r>
      <w:r w:rsidR="00690675" w:rsidRPr="009E464F">
        <w:rPr>
          <w:rFonts w:cs="Times New Roman"/>
          <w:lang w:eastAsia="zh-CN"/>
        </w:rPr>
        <w:t>值，则在进行</w:t>
      </w:r>
      <w:proofErr w:type="gramStart"/>
      <w:r w:rsidR="00690675" w:rsidRPr="009E464F">
        <w:rPr>
          <w:rFonts w:cs="Times New Roman"/>
          <w:lang w:eastAsia="zh-CN"/>
        </w:rPr>
        <w:t>体内结果</w:t>
      </w:r>
      <w:proofErr w:type="gramEnd"/>
      <w:r w:rsidR="00690675" w:rsidRPr="009E464F">
        <w:rPr>
          <w:rFonts w:cs="Times New Roman"/>
          <w:lang w:eastAsia="zh-CN"/>
        </w:rPr>
        <w:t>预测时应采用所获得的最低</w:t>
      </w:r>
      <w:r w:rsidR="00690675" w:rsidRPr="009E464F">
        <w:rPr>
          <w:rFonts w:cs="Times New Roman"/>
          <w:lang w:eastAsia="zh-CN"/>
        </w:rPr>
        <w:t>K</w:t>
      </w:r>
      <w:r w:rsidR="00690675" w:rsidRPr="009E464F">
        <w:rPr>
          <w:rFonts w:cs="Times New Roman"/>
          <w:vertAlign w:val="subscript"/>
          <w:lang w:eastAsia="zh-CN"/>
        </w:rPr>
        <w:t>i</w:t>
      </w:r>
      <w:r w:rsidR="00690675" w:rsidRPr="009E464F">
        <w:rPr>
          <w:rFonts w:cs="Times New Roman"/>
          <w:lang w:eastAsia="zh-CN"/>
        </w:rPr>
        <w:t>值。</w:t>
      </w:r>
    </w:p>
    <w:p w14:paraId="271BCAED" w14:textId="69C0D9BE" w:rsidR="0069044B" w:rsidRDefault="003011E0"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8</w:t>
      </w:r>
      <w:r w:rsidRPr="009E464F">
        <w:rPr>
          <w:rFonts w:cs="Times New Roman"/>
          <w:lang w:eastAsia="zh-CN"/>
        </w:rPr>
        <w:t>）</w:t>
      </w:r>
      <w:r w:rsidR="00690675" w:rsidRPr="009E464F">
        <w:rPr>
          <w:rFonts w:cs="Times New Roman"/>
          <w:lang w:eastAsia="zh-CN"/>
        </w:rPr>
        <w:t>微粒体蛋白浓度通常应低于</w:t>
      </w:r>
      <w:r w:rsidR="00690675" w:rsidRPr="009E464F">
        <w:rPr>
          <w:rFonts w:cs="Times New Roman"/>
          <w:lang w:eastAsia="zh-CN"/>
        </w:rPr>
        <w:t>1 mg/mL</w:t>
      </w:r>
      <w:r w:rsidR="00690675" w:rsidRPr="009E464F">
        <w:rPr>
          <w:rFonts w:cs="Times New Roman"/>
          <w:lang w:eastAsia="zh-CN"/>
        </w:rPr>
        <w:t>。如果化合物和微粒体蛋白的非特异性结合会影响动力学参数的分析，</w:t>
      </w:r>
      <w:r w:rsidR="00A36771">
        <w:rPr>
          <w:rFonts w:cs="Times New Roman" w:hint="eastAsia"/>
          <w:lang w:eastAsia="zh-CN"/>
        </w:rPr>
        <w:t>则</w:t>
      </w:r>
      <w:r w:rsidR="00690675" w:rsidRPr="009E464F">
        <w:rPr>
          <w:rFonts w:cs="Times New Roman"/>
          <w:lang w:eastAsia="zh-CN"/>
        </w:rPr>
        <w:t>应该对微粒体蛋白的非特异性结合进行校正，即利用药物在孵育体系中的游离</w:t>
      </w:r>
      <w:r w:rsidR="00690675" w:rsidRPr="009E464F">
        <w:rPr>
          <w:rFonts w:cs="Times New Roman"/>
          <w:lang w:eastAsia="zh-CN"/>
        </w:rPr>
        <w:lastRenderedPageBreak/>
        <w:t>分数（</w:t>
      </w:r>
      <w:proofErr w:type="spellStart"/>
      <w:r w:rsidR="00690675" w:rsidRPr="009E464F">
        <w:rPr>
          <w:rFonts w:cs="Times New Roman"/>
          <w:lang w:eastAsia="zh-CN"/>
        </w:rPr>
        <w:t>fu</w:t>
      </w:r>
      <w:r w:rsidR="00690675" w:rsidRPr="009E464F">
        <w:rPr>
          <w:rFonts w:cs="Times New Roman"/>
          <w:vertAlign w:val="subscript"/>
          <w:lang w:eastAsia="zh-CN"/>
        </w:rPr>
        <w:t>mic</w:t>
      </w:r>
      <w:proofErr w:type="spellEnd"/>
      <w:r w:rsidR="00690675" w:rsidRPr="009E464F">
        <w:rPr>
          <w:rFonts w:cs="Times New Roman"/>
          <w:lang w:eastAsia="zh-CN"/>
        </w:rPr>
        <w:t>）来校正。</w:t>
      </w:r>
      <w:proofErr w:type="spellStart"/>
      <w:r w:rsidR="00690675" w:rsidRPr="009E464F">
        <w:rPr>
          <w:rFonts w:cs="Times New Roman"/>
          <w:lang w:eastAsia="zh-CN"/>
        </w:rPr>
        <w:t>fu</w:t>
      </w:r>
      <w:r w:rsidR="00690675" w:rsidRPr="009E464F">
        <w:rPr>
          <w:rFonts w:cs="Times New Roman"/>
          <w:vertAlign w:val="subscript"/>
          <w:lang w:eastAsia="zh-CN"/>
        </w:rPr>
        <w:t>mic</w:t>
      </w:r>
      <w:proofErr w:type="spellEnd"/>
      <w:r w:rsidR="00690675" w:rsidRPr="009E464F">
        <w:rPr>
          <w:rFonts w:cs="Times New Roman"/>
          <w:lang w:eastAsia="zh-CN"/>
        </w:rPr>
        <w:t>可以通过</w:t>
      </w:r>
      <w:r w:rsidR="005B4CC0" w:rsidRPr="009E464F">
        <w:rPr>
          <w:rFonts w:cs="Times New Roman"/>
          <w:lang w:eastAsia="zh-CN"/>
        </w:rPr>
        <w:t>试验</w:t>
      </w:r>
      <w:r w:rsidR="00690675" w:rsidRPr="009E464F">
        <w:rPr>
          <w:rFonts w:cs="Times New Roman"/>
          <w:lang w:eastAsia="zh-CN"/>
        </w:rPr>
        <w:t>测定（如使用平衡透析法或超滤法）或使用</w:t>
      </w:r>
      <w:r w:rsidR="00B1657E" w:rsidRPr="009E464F">
        <w:rPr>
          <w:rFonts w:cs="Times New Roman"/>
          <w:lang w:eastAsia="zh-CN"/>
        </w:rPr>
        <w:t>数学模型</w:t>
      </w:r>
      <w:r w:rsidR="00690675" w:rsidRPr="009E464F">
        <w:rPr>
          <w:rFonts w:cs="Times New Roman"/>
          <w:lang w:eastAsia="zh-CN"/>
        </w:rPr>
        <w:t>预测。</w:t>
      </w:r>
    </w:p>
    <w:p w14:paraId="6EA3E302" w14:textId="20A1893B" w:rsidR="0069044B" w:rsidRDefault="003011E0" w:rsidP="00593FAB">
      <w:pPr>
        <w:spacing w:after="0"/>
        <w:ind w:firstLine="640"/>
        <w:rPr>
          <w:rFonts w:cs="Times New Roman"/>
          <w:lang w:eastAsia="zh-CN"/>
        </w:rPr>
      </w:pPr>
      <w:r w:rsidRPr="009E464F">
        <w:rPr>
          <w:rFonts w:cs="Times New Roman"/>
          <w:lang w:eastAsia="zh-CN"/>
        </w:rPr>
        <w:t>（</w:t>
      </w:r>
      <w:r w:rsidR="0069044B">
        <w:rPr>
          <w:rFonts w:cs="Times New Roman"/>
          <w:lang w:eastAsia="zh-CN"/>
        </w:rPr>
        <w:t>9</w:t>
      </w:r>
      <w:r w:rsidRPr="009E464F">
        <w:rPr>
          <w:rFonts w:cs="Times New Roman"/>
          <w:lang w:eastAsia="zh-CN"/>
        </w:rPr>
        <w:t>）</w:t>
      </w:r>
      <w:r w:rsidR="00690675" w:rsidRPr="009E464F">
        <w:rPr>
          <w:rFonts w:cs="Times New Roman"/>
          <w:lang w:eastAsia="zh-CN"/>
        </w:rPr>
        <w:t>一般应避免孵育时指针底物或抑制剂发生显著的减少。</w:t>
      </w:r>
      <w:r w:rsidR="009B0E84">
        <w:rPr>
          <w:rFonts w:cs="Times New Roman" w:hint="eastAsia"/>
          <w:lang w:eastAsia="zh-CN"/>
        </w:rPr>
        <w:t>但</w:t>
      </w:r>
      <w:r w:rsidR="00690675" w:rsidRPr="009E464F">
        <w:rPr>
          <w:rFonts w:cs="Times New Roman"/>
          <w:lang w:eastAsia="zh-CN"/>
        </w:rPr>
        <w:t>当底物</w:t>
      </w:r>
      <w:r w:rsidR="00690675" w:rsidRPr="009E464F">
        <w:rPr>
          <w:rFonts w:cs="Times New Roman"/>
          <w:lang w:eastAsia="zh-CN"/>
        </w:rPr>
        <w:t>K</w:t>
      </w:r>
      <w:r w:rsidR="00690675" w:rsidRPr="009E464F">
        <w:rPr>
          <w:rFonts w:cs="Times New Roman"/>
          <w:vertAlign w:val="subscript"/>
          <w:lang w:eastAsia="zh-CN"/>
        </w:rPr>
        <w:t>m</w:t>
      </w:r>
      <w:r w:rsidR="00690675" w:rsidRPr="009E464F">
        <w:rPr>
          <w:rFonts w:cs="Times New Roman"/>
          <w:lang w:eastAsia="zh-CN"/>
        </w:rPr>
        <w:t>较低</w:t>
      </w:r>
      <w:r w:rsidR="009B0E84">
        <w:rPr>
          <w:rFonts w:cs="Times New Roman" w:hint="eastAsia"/>
          <w:lang w:eastAsia="zh-CN"/>
        </w:rPr>
        <w:t>，</w:t>
      </w:r>
      <w:r w:rsidR="009B0E84">
        <w:rPr>
          <w:rFonts w:cs="Times New Roman"/>
          <w:lang w:eastAsia="zh-CN"/>
        </w:rPr>
        <w:t>难以避免</w:t>
      </w:r>
      <w:r w:rsidR="00690675" w:rsidRPr="009E464F">
        <w:rPr>
          <w:rFonts w:cs="Times New Roman"/>
          <w:lang w:eastAsia="zh-CN"/>
        </w:rPr>
        <w:t>底物浓度较低时</w:t>
      </w:r>
      <w:r w:rsidR="009B0E84">
        <w:rPr>
          <w:rFonts w:cs="Times New Roman" w:hint="eastAsia"/>
          <w:lang w:eastAsia="zh-CN"/>
        </w:rPr>
        <w:t>引起</w:t>
      </w:r>
      <w:r w:rsidR="00690675" w:rsidRPr="009E464F">
        <w:rPr>
          <w:rFonts w:cs="Times New Roman"/>
          <w:lang w:eastAsia="zh-CN"/>
        </w:rPr>
        <w:t>底物耗尽</w:t>
      </w:r>
      <w:r w:rsidR="009B0E84">
        <w:rPr>
          <w:rFonts w:cs="Times New Roman" w:hint="eastAsia"/>
          <w:lang w:eastAsia="zh-CN"/>
        </w:rPr>
        <w:t>，此时</w:t>
      </w:r>
      <w:r w:rsidR="00690675" w:rsidRPr="009E464F">
        <w:rPr>
          <w:rFonts w:cs="Times New Roman"/>
          <w:lang w:eastAsia="zh-CN"/>
        </w:rPr>
        <w:t>测定抑制动力学参数时应考虑底物耗尽的情况。</w:t>
      </w:r>
    </w:p>
    <w:p w14:paraId="60B1A8A1" w14:textId="3E1878B9" w:rsidR="0069044B" w:rsidRDefault="003011E0" w:rsidP="00593FAB">
      <w:pPr>
        <w:spacing w:after="0"/>
        <w:ind w:firstLine="640"/>
        <w:rPr>
          <w:rFonts w:cs="Times New Roman"/>
          <w:lang w:eastAsia="zh-CN"/>
        </w:rPr>
      </w:pPr>
      <w:r w:rsidRPr="009E464F">
        <w:rPr>
          <w:rFonts w:cs="Times New Roman"/>
          <w:lang w:eastAsia="zh-CN"/>
        </w:rPr>
        <w:t>（</w:t>
      </w:r>
      <w:r w:rsidR="0069044B">
        <w:rPr>
          <w:rFonts w:cs="Times New Roman"/>
          <w:lang w:eastAsia="zh-CN"/>
        </w:rPr>
        <w:t>10</w:t>
      </w:r>
      <w:r w:rsidRPr="009E464F">
        <w:rPr>
          <w:rFonts w:cs="Times New Roman"/>
          <w:lang w:eastAsia="zh-CN"/>
        </w:rPr>
        <w:t>）</w:t>
      </w:r>
      <w:r w:rsidR="00690675" w:rsidRPr="009E464F">
        <w:rPr>
          <w:rFonts w:cs="Times New Roman"/>
          <w:lang w:eastAsia="zh-CN"/>
        </w:rPr>
        <w:t>如果在</w:t>
      </w:r>
      <w:proofErr w:type="gramStart"/>
      <w:r w:rsidR="00690675" w:rsidRPr="009E464F">
        <w:rPr>
          <w:rFonts w:cs="Times New Roman"/>
          <w:lang w:eastAsia="zh-CN"/>
        </w:rPr>
        <w:t>研</w:t>
      </w:r>
      <w:proofErr w:type="gramEnd"/>
      <w:r w:rsidR="00690675" w:rsidRPr="009E464F">
        <w:rPr>
          <w:rFonts w:cs="Times New Roman"/>
          <w:lang w:eastAsia="zh-CN"/>
        </w:rPr>
        <w:t>药物可被孵育体系中的代谢酶代谢，应</w:t>
      </w:r>
      <w:r w:rsidR="009B0E84">
        <w:rPr>
          <w:rFonts w:cs="Times New Roman" w:hint="eastAsia"/>
          <w:lang w:eastAsia="zh-CN"/>
        </w:rPr>
        <w:t>尽</w:t>
      </w:r>
      <w:r w:rsidR="00690675" w:rsidRPr="009E464F">
        <w:rPr>
          <w:rFonts w:cs="Times New Roman"/>
          <w:lang w:eastAsia="zh-CN"/>
        </w:rPr>
        <w:t>可能减少在</w:t>
      </w:r>
      <w:proofErr w:type="gramStart"/>
      <w:r w:rsidR="00690675" w:rsidRPr="009E464F">
        <w:rPr>
          <w:rFonts w:cs="Times New Roman"/>
          <w:lang w:eastAsia="zh-CN"/>
        </w:rPr>
        <w:t>研</w:t>
      </w:r>
      <w:proofErr w:type="gramEnd"/>
      <w:r w:rsidR="00690675" w:rsidRPr="009E464F">
        <w:rPr>
          <w:rFonts w:cs="Times New Roman"/>
          <w:lang w:eastAsia="zh-CN"/>
        </w:rPr>
        <w:t>药物被代谢（浓度降低）对于</w:t>
      </w:r>
      <w:r w:rsidR="00690675" w:rsidRPr="009E464F">
        <w:rPr>
          <w:rFonts w:cs="Times New Roman"/>
          <w:lang w:eastAsia="zh-CN"/>
        </w:rPr>
        <w:t>K</w:t>
      </w:r>
      <w:r w:rsidR="00690675" w:rsidRPr="009E464F">
        <w:rPr>
          <w:rFonts w:cs="Times New Roman"/>
          <w:vertAlign w:val="subscript"/>
          <w:lang w:eastAsia="zh-CN"/>
        </w:rPr>
        <w:t>i</w:t>
      </w:r>
      <w:r w:rsidR="00690675" w:rsidRPr="009E464F">
        <w:rPr>
          <w:rFonts w:cs="Times New Roman"/>
          <w:lang w:eastAsia="zh-CN"/>
        </w:rPr>
        <w:t>估值的影响，如有可能，应选择在代谢速率方面明显快于在</w:t>
      </w:r>
      <w:proofErr w:type="gramStart"/>
      <w:r w:rsidR="00690675" w:rsidRPr="009E464F">
        <w:rPr>
          <w:rFonts w:cs="Times New Roman"/>
          <w:lang w:eastAsia="zh-CN"/>
        </w:rPr>
        <w:t>研</w:t>
      </w:r>
      <w:proofErr w:type="gramEnd"/>
      <w:r w:rsidR="00690675" w:rsidRPr="009E464F">
        <w:rPr>
          <w:rFonts w:cs="Times New Roman"/>
          <w:lang w:eastAsia="zh-CN"/>
        </w:rPr>
        <w:t>药物的指针底物进行研究。如果无法实现上述研究条件，则需要对在</w:t>
      </w:r>
      <w:proofErr w:type="gramStart"/>
      <w:r w:rsidR="00690675" w:rsidRPr="009E464F">
        <w:rPr>
          <w:rFonts w:cs="Times New Roman"/>
          <w:lang w:eastAsia="zh-CN"/>
        </w:rPr>
        <w:t>研</w:t>
      </w:r>
      <w:proofErr w:type="gramEnd"/>
      <w:r w:rsidR="00690675" w:rsidRPr="009E464F">
        <w:rPr>
          <w:rFonts w:cs="Times New Roman"/>
          <w:lang w:eastAsia="zh-CN"/>
        </w:rPr>
        <w:t>药物的浓度进行检测和</w:t>
      </w:r>
      <w:r w:rsidR="00690675" w:rsidRPr="009E464F">
        <w:rPr>
          <w:rFonts w:cs="Times New Roman"/>
          <w:lang w:eastAsia="zh-CN"/>
        </w:rPr>
        <w:t>/</w:t>
      </w:r>
      <w:r w:rsidR="00690675" w:rsidRPr="009E464F">
        <w:rPr>
          <w:rFonts w:cs="Times New Roman"/>
          <w:lang w:eastAsia="zh-CN"/>
        </w:rPr>
        <w:t>或在计算时考虑在</w:t>
      </w:r>
      <w:proofErr w:type="gramStart"/>
      <w:r w:rsidR="00690675" w:rsidRPr="009E464F">
        <w:rPr>
          <w:rFonts w:cs="Times New Roman"/>
          <w:lang w:eastAsia="zh-CN"/>
        </w:rPr>
        <w:t>研</w:t>
      </w:r>
      <w:proofErr w:type="gramEnd"/>
      <w:r w:rsidR="00690675" w:rsidRPr="009E464F">
        <w:rPr>
          <w:rFonts w:cs="Times New Roman"/>
          <w:lang w:eastAsia="zh-CN"/>
        </w:rPr>
        <w:t>药物降解所产生的影响。</w:t>
      </w:r>
    </w:p>
    <w:p w14:paraId="6688FCE4" w14:textId="049106B0" w:rsidR="0069044B" w:rsidRDefault="003011E0" w:rsidP="00593FAB">
      <w:pPr>
        <w:spacing w:after="0"/>
        <w:ind w:firstLine="640"/>
        <w:rPr>
          <w:rFonts w:cs="Times New Roman"/>
          <w:lang w:eastAsia="zh-CN"/>
        </w:rPr>
      </w:pPr>
      <w:r w:rsidRPr="009E464F">
        <w:rPr>
          <w:rFonts w:cs="Times New Roman"/>
          <w:lang w:eastAsia="zh-CN"/>
        </w:rPr>
        <w:t>（</w:t>
      </w:r>
      <w:r w:rsidR="0069044B" w:rsidRPr="009E464F">
        <w:rPr>
          <w:rFonts w:cs="Times New Roman"/>
          <w:lang w:eastAsia="zh-CN"/>
        </w:rPr>
        <w:t>1</w:t>
      </w:r>
      <w:r w:rsidR="0069044B">
        <w:rPr>
          <w:rFonts w:cs="Times New Roman"/>
          <w:lang w:eastAsia="zh-CN"/>
        </w:rPr>
        <w:t>1</w:t>
      </w:r>
      <w:r w:rsidRPr="009E464F">
        <w:rPr>
          <w:rFonts w:cs="Times New Roman"/>
          <w:lang w:eastAsia="zh-CN"/>
        </w:rPr>
        <w:t>）</w:t>
      </w:r>
      <w:r w:rsidR="00690675" w:rsidRPr="009E464F">
        <w:rPr>
          <w:rFonts w:cs="Times New Roman"/>
          <w:lang w:eastAsia="zh-CN"/>
        </w:rPr>
        <w:t>因某些有机溶剂可以抑制或诱导酶活性，所以应使用尽可能低浓度的有机溶剂（</w:t>
      </w:r>
      <w:r w:rsidR="00690675" w:rsidRPr="009E464F">
        <w:rPr>
          <w:rFonts w:cs="Times New Roman"/>
          <w:lang w:eastAsia="zh-CN"/>
        </w:rPr>
        <w:t>&lt;1</w:t>
      </w:r>
      <w:r w:rsidR="00690675" w:rsidRPr="009E464F">
        <w:rPr>
          <w:rFonts w:cs="Times New Roman"/>
          <w:lang w:eastAsia="zh-CN"/>
        </w:rPr>
        <w:t>％（</w:t>
      </w:r>
      <w:r w:rsidR="009B0E84">
        <w:rPr>
          <w:rFonts w:cs="Times New Roman" w:hint="eastAsia"/>
          <w:lang w:eastAsia="zh-CN"/>
        </w:rPr>
        <w:t>v</w:t>
      </w:r>
      <w:r w:rsidR="00690675" w:rsidRPr="009E464F">
        <w:rPr>
          <w:rFonts w:cs="Times New Roman"/>
          <w:lang w:eastAsia="zh-CN"/>
        </w:rPr>
        <w:t>/</w:t>
      </w:r>
      <w:r w:rsidR="009B0E84">
        <w:rPr>
          <w:rFonts w:cs="Times New Roman" w:hint="eastAsia"/>
          <w:lang w:eastAsia="zh-CN"/>
        </w:rPr>
        <w:t>v</w:t>
      </w:r>
      <w:r w:rsidR="00690675" w:rsidRPr="009E464F">
        <w:rPr>
          <w:rFonts w:cs="Times New Roman"/>
          <w:lang w:eastAsia="zh-CN"/>
        </w:rPr>
        <w:t>），优选</w:t>
      </w:r>
      <w:r w:rsidR="00690675" w:rsidRPr="009E464F">
        <w:rPr>
          <w:rFonts w:cs="Times New Roman"/>
          <w:lang w:eastAsia="zh-CN"/>
        </w:rPr>
        <w:t>&lt;0.5</w:t>
      </w:r>
      <w:r w:rsidR="00690675" w:rsidRPr="009E464F">
        <w:rPr>
          <w:rFonts w:cs="Times New Roman"/>
          <w:lang w:eastAsia="zh-CN"/>
        </w:rPr>
        <w:t>％）。</w:t>
      </w:r>
      <w:r w:rsidR="005B4CC0" w:rsidRPr="009E464F">
        <w:rPr>
          <w:rFonts w:cs="Times New Roman"/>
          <w:lang w:eastAsia="zh-CN"/>
        </w:rPr>
        <w:t>试验</w:t>
      </w:r>
      <w:r w:rsidR="00690675" w:rsidRPr="009E464F">
        <w:rPr>
          <w:rFonts w:cs="Times New Roman"/>
          <w:lang w:eastAsia="zh-CN"/>
        </w:rPr>
        <w:t>应包括无溶剂对照和溶剂（载体）对照。</w:t>
      </w:r>
    </w:p>
    <w:p w14:paraId="790E7520" w14:textId="105B6B15" w:rsidR="0069044B" w:rsidRDefault="003011E0" w:rsidP="00593FAB">
      <w:pPr>
        <w:spacing w:after="0"/>
        <w:ind w:firstLine="640"/>
        <w:rPr>
          <w:rFonts w:cs="Times New Roman"/>
          <w:lang w:eastAsia="zh-CN"/>
        </w:rPr>
      </w:pPr>
      <w:r w:rsidRPr="009E464F">
        <w:rPr>
          <w:rFonts w:cs="Times New Roman"/>
          <w:lang w:eastAsia="zh-CN"/>
        </w:rPr>
        <w:t>（</w:t>
      </w:r>
      <w:r w:rsidR="0069044B">
        <w:rPr>
          <w:rFonts w:cs="Times New Roman"/>
          <w:lang w:eastAsia="zh-CN"/>
        </w:rPr>
        <w:t>12</w:t>
      </w:r>
      <w:r w:rsidRPr="009E464F">
        <w:rPr>
          <w:rFonts w:cs="Times New Roman"/>
          <w:lang w:eastAsia="zh-CN"/>
        </w:rPr>
        <w:t>）</w:t>
      </w:r>
      <w:r w:rsidR="00690675" w:rsidRPr="009E464F">
        <w:rPr>
          <w:rFonts w:cs="Times New Roman"/>
          <w:lang w:eastAsia="zh-CN"/>
        </w:rPr>
        <w:t>应根据正确的机制（如竞争性</w:t>
      </w:r>
      <w:r w:rsidR="009B0E84">
        <w:rPr>
          <w:rFonts w:cs="Times New Roman" w:hint="eastAsia"/>
          <w:lang w:eastAsia="zh-CN"/>
        </w:rPr>
        <w:t>、</w:t>
      </w:r>
      <w:r w:rsidR="00690675" w:rsidRPr="009E464F">
        <w:rPr>
          <w:rFonts w:cs="Times New Roman"/>
          <w:lang w:eastAsia="zh-CN"/>
        </w:rPr>
        <w:t>非竞争性或</w:t>
      </w:r>
      <w:r w:rsidR="00690675" w:rsidRPr="009E464F">
        <w:rPr>
          <w:rFonts w:cs="Times New Roman"/>
          <w:lang w:eastAsia="zh-CN"/>
        </w:rPr>
        <w:t>TDI</w:t>
      </w:r>
      <w:r w:rsidR="00690675" w:rsidRPr="009E464F">
        <w:rPr>
          <w:rFonts w:cs="Times New Roman"/>
          <w:lang w:eastAsia="zh-CN"/>
        </w:rPr>
        <w:t>）计算体外抑制动力学参数。</w:t>
      </w:r>
    </w:p>
    <w:p w14:paraId="203BF774" w14:textId="5C4437DB" w:rsidR="00BD3B62" w:rsidRPr="009E464F" w:rsidRDefault="003011E0" w:rsidP="00DC6F48">
      <w:pPr>
        <w:spacing w:after="0"/>
        <w:ind w:firstLine="640"/>
        <w:rPr>
          <w:rFonts w:cs="Times New Roman"/>
          <w:lang w:eastAsia="zh-CN"/>
        </w:rPr>
      </w:pPr>
      <w:r w:rsidRPr="009E464F">
        <w:rPr>
          <w:rFonts w:cs="Times New Roman"/>
          <w:lang w:eastAsia="zh-CN"/>
        </w:rPr>
        <w:t>（</w:t>
      </w:r>
      <w:r w:rsidR="0069044B">
        <w:rPr>
          <w:rFonts w:cs="Times New Roman"/>
          <w:lang w:eastAsia="zh-CN"/>
        </w:rPr>
        <w:t>13</w:t>
      </w:r>
      <w:r w:rsidRPr="009E464F">
        <w:rPr>
          <w:rFonts w:cs="Times New Roman"/>
          <w:lang w:eastAsia="zh-CN"/>
        </w:rPr>
        <w:t>）</w:t>
      </w:r>
      <w:r w:rsidR="00690675" w:rsidRPr="009E464F">
        <w:rPr>
          <w:rFonts w:cs="Times New Roman"/>
          <w:lang w:eastAsia="zh-CN"/>
        </w:rPr>
        <w:t>应根据标准的体外研究方案对</w:t>
      </w:r>
      <w:r w:rsidR="00690675" w:rsidRPr="009E464F">
        <w:rPr>
          <w:rFonts w:cs="Times New Roman"/>
          <w:lang w:eastAsia="zh-CN"/>
        </w:rPr>
        <w:t>TDI</w:t>
      </w:r>
      <w:r w:rsidR="00690675" w:rsidRPr="009E464F">
        <w:rPr>
          <w:rFonts w:cs="Times New Roman"/>
          <w:lang w:eastAsia="zh-CN"/>
        </w:rPr>
        <w:t>进行常规筛查，方法</w:t>
      </w:r>
      <w:r w:rsidR="009B0E84">
        <w:rPr>
          <w:rFonts w:cs="Times New Roman" w:hint="eastAsia"/>
          <w:lang w:eastAsia="zh-CN"/>
        </w:rPr>
        <w:t>：</w:t>
      </w:r>
      <w:r w:rsidR="00690675" w:rsidRPr="009E464F">
        <w:rPr>
          <w:rFonts w:cs="Times New Roman"/>
          <w:lang w:eastAsia="zh-CN"/>
        </w:rPr>
        <w:t>在加入任何底物之前，预孵育在</w:t>
      </w:r>
      <w:proofErr w:type="gramStart"/>
      <w:r w:rsidR="00690675" w:rsidRPr="009E464F">
        <w:rPr>
          <w:rFonts w:cs="Times New Roman"/>
          <w:lang w:eastAsia="zh-CN"/>
        </w:rPr>
        <w:t>研</w:t>
      </w:r>
      <w:proofErr w:type="gramEnd"/>
      <w:r w:rsidR="00690675" w:rsidRPr="009E464F">
        <w:rPr>
          <w:rFonts w:cs="Times New Roman"/>
          <w:lang w:eastAsia="zh-CN"/>
        </w:rPr>
        <w:t>药物（如至少</w:t>
      </w:r>
      <w:r w:rsidR="00690675" w:rsidRPr="009E464F">
        <w:rPr>
          <w:rFonts w:cs="Times New Roman"/>
          <w:lang w:eastAsia="zh-CN"/>
        </w:rPr>
        <w:t>30</w:t>
      </w:r>
      <w:r w:rsidR="00690675" w:rsidRPr="009E464F">
        <w:rPr>
          <w:rFonts w:cs="Times New Roman"/>
          <w:lang w:eastAsia="zh-CN"/>
        </w:rPr>
        <w:t>分钟）。任何显著的时间依赖性和辅因子依赖性（如</w:t>
      </w:r>
      <w:r w:rsidR="00690675" w:rsidRPr="009E464F">
        <w:rPr>
          <w:rFonts w:cs="Times New Roman"/>
          <w:lang w:eastAsia="zh-CN"/>
        </w:rPr>
        <w:t>CYP</w:t>
      </w:r>
      <w:r w:rsidR="00690675" w:rsidRPr="009E464F">
        <w:rPr>
          <w:rFonts w:cs="Times New Roman"/>
          <w:lang w:eastAsia="zh-CN"/>
        </w:rPr>
        <w:t>酶代谢必需的</w:t>
      </w:r>
      <w:r w:rsidR="00690675" w:rsidRPr="009E464F">
        <w:rPr>
          <w:rFonts w:cs="Times New Roman"/>
          <w:lang w:eastAsia="zh-CN"/>
        </w:rPr>
        <w:t>NADPH</w:t>
      </w:r>
      <w:r w:rsidR="00690675" w:rsidRPr="009E464F">
        <w:rPr>
          <w:rFonts w:cs="Times New Roman"/>
          <w:lang w:eastAsia="zh-CN"/>
        </w:rPr>
        <w:t>）指针药物的初始代谢产物形成减少则</w:t>
      </w:r>
      <w:r w:rsidR="009B0E84">
        <w:rPr>
          <w:rFonts w:cs="Times New Roman" w:hint="eastAsia"/>
          <w:lang w:eastAsia="zh-CN"/>
        </w:rPr>
        <w:t>提示</w:t>
      </w:r>
      <w:r w:rsidR="00690675" w:rsidRPr="009E464F">
        <w:rPr>
          <w:rFonts w:cs="Times New Roman"/>
          <w:lang w:eastAsia="zh-CN"/>
        </w:rPr>
        <w:t>可能出现了</w:t>
      </w:r>
      <w:r w:rsidR="00690675" w:rsidRPr="009E464F">
        <w:rPr>
          <w:rFonts w:cs="Times New Roman"/>
          <w:lang w:eastAsia="zh-CN"/>
        </w:rPr>
        <w:t>TDI</w:t>
      </w:r>
      <w:r w:rsidR="00690675" w:rsidRPr="009E464F">
        <w:rPr>
          <w:rFonts w:cs="Times New Roman"/>
          <w:lang w:eastAsia="zh-CN"/>
        </w:rPr>
        <w:t>。</w:t>
      </w:r>
      <w:r w:rsidR="009B0E84">
        <w:rPr>
          <w:rFonts w:cs="Times New Roman" w:hint="eastAsia"/>
          <w:lang w:eastAsia="zh-CN"/>
        </w:rPr>
        <w:t>此时</w:t>
      </w:r>
      <w:r w:rsidR="00690675" w:rsidRPr="009E464F">
        <w:rPr>
          <w:rFonts w:cs="Times New Roman"/>
          <w:lang w:eastAsia="zh-CN"/>
        </w:rPr>
        <w:t>应开展体外研究以获得</w:t>
      </w:r>
      <w:r w:rsidR="00690675" w:rsidRPr="009E464F">
        <w:rPr>
          <w:rFonts w:cs="Times New Roman"/>
          <w:lang w:eastAsia="zh-CN"/>
        </w:rPr>
        <w:t>TDI</w:t>
      </w:r>
      <w:r w:rsidR="00690675" w:rsidRPr="009E464F">
        <w:rPr>
          <w:rFonts w:cs="Times New Roman"/>
          <w:lang w:eastAsia="zh-CN"/>
        </w:rPr>
        <w:t>参数（即</w:t>
      </w:r>
      <w:proofErr w:type="spellStart"/>
      <w:r w:rsidR="00690675" w:rsidRPr="009E464F">
        <w:rPr>
          <w:rFonts w:cs="Times New Roman"/>
          <w:lang w:eastAsia="zh-CN"/>
        </w:rPr>
        <w:t>k</w:t>
      </w:r>
      <w:r w:rsidR="002D4D37" w:rsidRPr="0083505F">
        <w:rPr>
          <w:rFonts w:cs="Times New Roman"/>
          <w:vertAlign w:val="subscript"/>
          <w:lang w:eastAsia="zh-CN"/>
        </w:rPr>
        <w:t>inact</w:t>
      </w:r>
      <w:proofErr w:type="spellEnd"/>
      <w:r w:rsidR="00690675" w:rsidRPr="009E464F">
        <w:rPr>
          <w:rFonts w:cs="Times New Roman"/>
          <w:lang w:eastAsia="zh-CN"/>
        </w:rPr>
        <w:t>和</w:t>
      </w:r>
      <w:r w:rsidR="00690675" w:rsidRPr="009E464F">
        <w:rPr>
          <w:rFonts w:cs="Times New Roman"/>
          <w:lang w:eastAsia="zh-CN"/>
        </w:rPr>
        <w:t>K</w:t>
      </w:r>
      <w:r w:rsidR="00690675" w:rsidRPr="009E464F">
        <w:rPr>
          <w:rFonts w:cs="Times New Roman"/>
          <w:vertAlign w:val="subscript"/>
          <w:lang w:eastAsia="zh-CN"/>
        </w:rPr>
        <w:t>I</w:t>
      </w:r>
      <w:r w:rsidR="00690675" w:rsidRPr="009E464F">
        <w:rPr>
          <w:rFonts w:cs="Times New Roman"/>
          <w:lang w:eastAsia="zh-CN"/>
        </w:rPr>
        <w:t>）。</w:t>
      </w:r>
      <w:r w:rsidR="006D7F54" w:rsidRPr="009E464F">
        <w:rPr>
          <w:rFonts w:cs="Times New Roman"/>
          <w:lang w:eastAsia="zh-CN"/>
        </w:rPr>
        <w:t xml:space="preserve">3. </w:t>
      </w:r>
      <w:r w:rsidR="006D7F54" w:rsidRPr="009E464F">
        <w:rPr>
          <w:rFonts w:cs="Times New Roman"/>
          <w:lang w:eastAsia="zh-CN"/>
        </w:rPr>
        <w:t>评估在</w:t>
      </w:r>
      <w:proofErr w:type="gramStart"/>
      <w:r w:rsidR="006D7F54" w:rsidRPr="009E464F">
        <w:rPr>
          <w:rFonts w:cs="Times New Roman"/>
          <w:lang w:eastAsia="zh-CN"/>
        </w:rPr>
        <w:t>研</w:t>
      </w:r>
      <w:proofErr w:type="gramEnd"/>
      <w:r w:rsidR="006D7F54" w:rsidRPr="009E464F">
        <w:rPr>
          <w:rFonts w:cs="Times New Roman"/>
          <w:lang w:eastAsia="zh-CN"/>
        </w:rPr>
        <w:t>药物是否为代谢酶的诱导剂</w:t>
      </w:r>
    </w:p>
    <w:p w14:paraId="3790DAA8" w14:textId="4C35DE4E" w:rsidR="00B04AF8" w:rsidRPr="009E464F" w:rsidRDefault="00F61C6B" w:rsidP="00593FAB">
      <w:pPr>
        <w:spacing w:after="0"/>
        <w:ind w:firstLine="640"/>
        <w:rPr>
          <w:rFonts w:cs="Times New Roman"/>
          <w:lang w:eastAsia="zh-CN"/>
        </w:rPr>
      </w:pPr>
      <w:r>
        <w:rPr>
          <w:rFonts w:cs="Times New Roman" w:hint="eastAsia"/>
          <w:lang w:eastAsia="zh-CN"/>
        </w:rPr>
        <w:lastRenderedPageBreak/>
        <w:t>可选择</w:t>
      </w:r>
      <w:r w:rsidR="00B04AF8" w:rsidRPr="009E464F">
        <w:rPr>
          <w:rFonts w:cs="Times New Roman"/>
          <w:lang w:eastAsia="zh-CN"/>
        </w:rPr>
        <w:t>冷冻保存或新鲜分离的人肝细胞研究在</w:t>
      </w:r>
      <w:proofErr w:type="gramStart"/>
      <w:r w:rsidR="00B04AF8" w:rsidRPr="009E464F">
        <w:rPr>
          <w:rFonts w:cs="Times New Roman"/>
          <w:lang w:eastAsia="zh-CN"/>
        </w:rPr>
        <w:t>研</w:t>
      </w:r>
      <w:proofErr w:type="gramEnd"/>
      <w:r w:rsidR="00B04AF8" w:rsidRPr="009E464F">
        <w:rPr>
          <w:rFonts w:cs="Times New Roman"/>
          <w:lang w:eastAsia="zh-CN"/>
        </w:rPr>
        <w:t>药物诱导</w:t>
      </w:r>
      <w:r w:rsidR="00B04AF8" w:rsidRPr="009E464F">
        <w:rPr>
          <w:rFonts w:cs="Times New Roman"/>
          <w:lang w:eastAsia="zh-CN"/>
        </w:rPr>
        <w:t>CYP</w:t>
      </w:r>
      <w:r>
        <w:rPr>
          <w:rFonts w:cs="Times New Roman"/>
          <w:lang w:eastAsia="zh-CN"/>
        </w:rPr>
        <w:t>酶的能力。其他体外系统（如永生化肝细胞系）或技术手段可</w:t>
      </w:r>
      <w:r w:rsidR="00B04AF8" w:rsidRPr="009E464F">
        <w:rPr>
          <w:rFonts w:cs="Times New Roman"/>
          <w:lang w:eastAsia="zh-CN"/>
        </w:rPr>
        <w:t>提供支持性数据，但需证明这些体系和技术的适用性。可接受的研究终点包括</w:t>
      </w:r>
      <w:r w:rsidR="00B04AF8" w:rsidRPr="009E464F">
        <w:rPr>
          <w:rFonts w:cs="Times New Roman"/>
          <w:lang w:eastAsia="zh-CN"/>
        </w:rPr>
        <w:t>mRNA</w:t>
      </w:r>
      <w:r w:rsidR="00B04AF8" w:rsidRPr="009E464F">
        <w:rPr>
          <w:rFonts w:cs="Times New Roman"/>
          <w:lang w:eastAsia="zh-CN"/>
        </w:rPr>
        <w:t>水平和</w:t>
      </w:r>
      <w:r w:rsidR="00B04AF8" w:rsidRPr="009E464F">
        <w:rPr>
          <w:rFonts w:cs="Times New Roman"/>
          <w:lang w:eastAsia="zh-CN"/>
        </w:rPr>
        <w:t>/</w:t>
      </w:r>
      <w:r w:rsidR="00B04AF8" w:rsidRPr="009E464F">
        <w:rPr>
          <w:rFonts w:cs="Times New Roman"/>
          <w:lang w:eastAsia="zh-CN"/>
        </w:rPr>
        <w:t>或使用指针底物的酶活性水平检测。应通过阳性对照验证系统，证明其中所有主要的</w:t>
      </w:r>
      <w:r w:rsidR="00B04AF8" w:rsidRPr="009E464F">
        <w:rPr>
          <w:rFonts w:cs="Times New Roman"/>
          <w:lang w:eastAsia="zh-CN"/>
        </w:rPr>
        <w:t>CYP</w:t>
      </w:r>
      <w:r w:rsidR="00B04AF8" w:rsidRPr="009E464F">
        <w:rPr>
          <w:rFonts w:cs="Times New Roman"/>
          <w:lang w:eastAsia="zh-CN"/>
        </w:rPr>
        <w:t>酶是有功能的并且可以诱导。</w:t>
      </w:r>
    </w:p>
    <w:p w14:paraId="442C7848" w14:textId="022F26E4" w:rsidR="00F61C6B" w:rsidRDefault="009672AA" w:rsidP="00593FAB">
      <w:pPr>
        <w:spacing w:after="0"/>
        <w:ind w:firstLineChars="212" w:firstLine="678"/>
        <w:rPr>
          <w:rFonts w:cs="Times New Roman"/>
          <w:lang w:eastAsia="zh-CN"/>
        </w:rPr>
      </w:pPr>
      <w:r w:rsidRPr="009E464F">
        <w:rPr>
          <w:rFonts w:cs="Times New Roman"/>
          <w:lang w:eastAsia="zh-CN"/>
        </w:rPr>
        <w:t>当</w:t>
      </w:r>
      <w:r w:rsidR="00753424">
        <w:rPr>
          <w:rFonts w:cs="Times New Roman" w:hint="eastAsia"/>
          <w:lang w:eastAsia="zh-CN"/>
        </w:rPr>
        <w:t>采用</w:t>
      </w:r>
      <w:r w:rsidRPr="009E464F">
        <w:rPr>
          <w:rFonts w:cs="Times New Roman"/>
          <w:lang w:eastAsia="zh-CN"/>
        </w:rPr>
        <w:t>体外系统研究酶诱导时，应该考虑如下</w:t>
      </w:r>
      <w:r w:rsidR="00F61C6B">
        <w:rPr>
          <w:rFonts w:cs="Times New Roman" w:hint="eastAsia"/>
          <w:lang w:eastAsia="zh-CN"/>
        </w:rPr>
        <w:t>事项</w:t>
      </w:r>
      <w:r w:rsidRPr="009E464F">
        <w:rPr>
          <w:rFonts w:cs="Times New Roman"/>
          <w:lang w:eastAsia="zh-CN"/>
        </w:rPr>
        <w:t>：</w:t>
      </w:r>
    </w:p>
    <w:p w14:paraId="3C1C39CF" w14:textId="500D882C" w:rsidR="0069044B" w:rsidRDefault="003011E0" w:rsidP="00593FAB">
      <w:pPr>
        <w:spacing w:after="0"/>
        <w:ind w:firstLineChars="212" w:firstLine="678"/>
        <w:rPr>
          <w:rFonts w:cs="Times New Roman"/>
          <w:lang w:eastAsia="zh-CN"/>
        </w:rPr>
      </w:pPr>
      <w:r w:rsidRPr="009E464F">
        <w:rPr>
          <w:rFonts w:cs="Times New Roman"/>
          <w:lang w:eastAsia="zh-CN"/>
        </w:rPr>
        <w:t>（</w:t>
      </w:r>
      <w:r w:rsidR="0069044B">
        <w:rPr>
          <w:rFonts w:cs="Times New Roman"/>
          <w:lang w:eastAsia="zh-CN"/>
        </w:rPr>
        <w:t>1</w:t>
      </w:r>
      <w:r w:rsidR="00B04AF8">
        <w:rPr>
          <w:rFonts w:cs="Times New Roman" w:hint="eastAsia"/>
          <w:lang w:eastAsia="zh-CN"/>
        </w:rPr>
        <w:t>）</w:t>
      </w:r>
      <w:r w:rsidR="009672AA" w:rsidRPr="009E464F">
        <w:rPr>
          <w:rFonts w:cs="Times New Roman"/>
          <w:lang w:eastAsia="zh-CN"/>
        </w:rPr>
        <w:t>应</w:t>
      </w:r>
      <w:r w:rsidR="00F61C6B">
        <w:rPr>
          <w:rFonts w:cs="Times New Roman" w:hint="eastAsia"/>
          <w:lang w:eastAsia="zh-CN"/>
        </w:rPr>
        <w:t>采用</w:t>
      </w:r>
      <w:r w:rsidR="009672AA" w:rsidRPr="009E464F">
        <w:rPr>
          <w:rFonts w:cs="Times New Roman"/>
          <w:lang w:eastAsia="zh-CN"/>
        </w:rPr>
        <w:t>反映预期或实际观察到的人血浆药物浓度或肠内药物浓度（对于</w:t>
      </w:r>
      <w:r w:rsidR="009672AA" w:rsidRPr="009E464F">
        <w:rPr>
          <w:rFonts w:cs="Times New Roman"/>
          <w:lang w:eastAsia="zh-CN"/>
        </w:rPr>
        <w:t>CYP3A4</w:t>
      </w:r>
      <w:r w:rsidR="009672AA" w:rsidRPr="009E464F">
        <w:rPr>
          <w:rFonts w:cs="Times New Roman"/>
          <w:lang w:eastAsia="zh-CN"/>
        </w:rPr>
        <w:t>比较重要的药物浓度）。药物浓度范围应涵盖药物治疗浓度。在药物溶解度允许的情况下，该药物浓度范围应包括至少一个比体内最大的非结合稳态血药浓度高一个数量级的药物浓度。应对每个药物浓度进行三次重复平行</w:t>
      </w:r>
      <w:r w:rsidR="005B4CC0" w:rsidRPr="009E464F">
        <w:rPr>
          <w:rFonts w:cs="Times New Roman"/>
          <w:lang w:eastAsia="zh-CN"/>
        </w:rPr>
        <w:t>试验</w:t>
      </w:r>
      <w:r w:rsidR="009672AA" w:rsidRPr="009E464F">
        <w:rPr>
          <w:rFonts w:cs="Times New Roman"/>
          <w:lang w:eastAsia="zh-CN"/>
        </w:rPr>
        <w:t>。此外，还应</w:t>
      </w:r>
      <w:proofErr w:type="gramStart"/>
      <w:r w:rsidR="009672AA" w:rsidRPr="009E464F">
        <w:rPr>
          <w:rFonts w:cs="Times New Roman"/>
          <w:lang w:eastAsia="zh-CN"/>
        </w:rPr>
        <w:t>测定非</w:t>
      </w:r>
      <w:proofErr w:type="gramEnd"/>
      <w:r w:rsidR="009672AA" w:rsidRPr="009E464F">
        <w:rPr>
          <w:rFonts w:cs="Times New Roman"/>
          <w:lang w:eastAsia="zh-CN"/>
        </w:rPr>
        <w:t>结合在</w:t>
      </w:r>
      <w:proofErr w:type="gramStart"/>
      <w:r w:rsidR="009672AA" w:rsidRPr="009E464F">
        <w:rPr>
          <w:rFonts w:cs="Times New Roman"/>
          <w:lang w:eastAsia="zh-CN"/>
        </w:rPr>
        <w:t>研</w:t>
      </w:r>
      <w:proofErr w:type="gramEnd"/>
      <w:r w:rsidR="009672AA" w:rsidRPr="009E464F">
        <w:rPr>
          <w:rFonts w:cs="Times New Roman"/>
          <w:lang w:eastAsia="zh-CN"/>
        </w:rPr>
        <w:t>药物的浓度，以帮助预测临床药物相互作用。</w:t>
      </w:r>
    </w:p>
    <w:p w14:paraId="02A1DB50" w14:textId="5D42EAE6" w:rsidR="0069044B" w:rsidRDefault="003011E0" w:rsidP="00593FAB">
      <w:pPr>
        <w:spacing w:after="0"/>
        <w:ind w:firstLineChars="212" w:firstLine="678"/>
        <w:rPr>
          <w:rFonts w:cs="Times New Roman"/>
          <w:lang w:eastAsia="zh-CN"/>
        </w:rPr>
      </w:pPr>
      <w:r w:rsidRPr="009E464F">
        <w:rPr>
          <w:rFonts w:cs="Times New Roman"/>
          <w:lang w:eastAsia="zh-CN"/>
        </w:rPr>
        <w:t>（</w:t>
      </w:r>
      <w:r w:rsidR="0069044B">
        <w:rPr>
          <w:rFonts w:cs="Times New Roman"/>
          <w:lang w:eastAsia="zh-CN"/>
        </w:rPr>
        <w:t>2</w:t>
      </w:r>
      <w:r w:rsidRPr="009E464F">
        <w:rPr>
          <w:rFonts w:cs="Times New Roman"/>
          <w:lang w:eastAsia="zh-CN"/>
        </w:rPr>
        <w:t>）</w:t>
      </w:r>
      <w:r w:rsidR="009672AA" w:rsidRPr="009E464F">
        <w:rPr>
          <w:rFonts w:cs="Times New Roman"/>
          <w:lang w:eastAsia="zh-CN"/>
        </w:rPr>
        <w:t>建议至少使用</w:t>
      </w:r>
      <w:r w:rsidR="00F61C6B">
        <w:rPr>
          <w:rFonts w:cs="Times New Roman" w:hint="eastAsia"/>
          <w:lang w:eastAsia="zh-CN"/>
        </w:rPr>
        <w:t>3</w:t>
      </w:r>
      <w:r w:rsidR="009672AA" w:rsidRPr="009E464F">
        <w:rPr>
          <w:rFonts w:cs="Times New Roman"/>
          <w:lang w:eastAsia="zh-CN"/>
        </w:rPr>
        <w:t>名供体的肝细胞。如果来源于供体的细胞对阳性对照无法产生满意的应答并且在孵育开始时细胞活力＜</w:t>
      </w:r>
      <w:r w:rsidR="009672AA" w:rsidRPr="009E464F">
        <w:rPr>
          <w:rFonts w:cs="Times New Roman"/>
          <w:lang w:eastAsia="zh-CN"/>
        </w:rPr>
        <w:t>80%</w:t>
      </w:r>
      <w:r w:rsidR="009672AA" w:rsidRPr="009E464F">
        <w:rPr>
          <w:rFonts w:cs="Times New Roman"/>
          <w:lang w:eastAsia="zh-CN"/>
        </w:rPr>
        <w:t>，或如果在孵育结束时的细胞活力明显有别于来自其他供体的结果，则应当采用一名新供者的肝细胞进行替换。对每一供体的诱导研究结果应该单独进行评价，并且应当挑选对某一代谢</w:t>
      </w:r>
      <w:proofErr w:type="gramStart"/>
      <w:r w:rsidR="009672AA" w:rsidRPr="009E464F">
        <w:rPr>
          <w:rFonts w:cs="Times New Roman"/>
          <w:lang w:eastAsia="zh-CN"/>
        </w:rPr>
        <w:t>酶表现</w:t>
      </w:r>
      <w:proofErr w:type="gramEnd"/>
      <w:r w:rsidR="009672AA" w:rsidRPr="009E464F">
        <w:rPr>
          <w:rFonts w:cs="Times New Roman"/>
          <w:lang w:eastAsia="zh-CN"/>
        </w:rPr>
        <w:t>出最明显诱导效应的供体肝细胞来估算可能的最大诱导作用。如果与上述浓度的在</w:t>
      </w:r>
      <w:proofErr w:type="gramStart"/>
      <w:r w:rsidR="009672AA" w:rsidRPr="009E464F">
        <w:rPr>
          <w:rFonts w:cs="Times New Roman"/>
          <w:lang w:eastAsia="zh-CN"/>
        </w:rPr>
        <w:t>研</w:t>
      </w:r>
      <w:proofErr w:type="gramEnd"/>
      <w:r w:rsidR="009672AA" w:rsidRPr="009E464F">
        <w:rPr>
          <w:rFonts w:cs="Times New Roman"/>
          <w:lang w:eastAsia="zh-CN"/>
        </w:rPr>
        <w:t>药物进行孵育后导致</w:t>
      </w:r>
      <w:r w:rsidR="009672AA" w:rsidRPr="009E464F">
        <w:rPr>
          <w:rFonts w:cs="Times New Roman"/>
          <w:lang w:eastAsia="zh-CN"/>
        </w:rPr>
        <w:t>mRNA</w:t>
      </w:r>
      <w:r w:rsidR="009672AA" w:rsidRPr="009E464F">
        <w:rPr>
          <w:rFonts w:cs="Times New Roman"/>
          <w:lang w:eastAsia="zh-CN"/>
        </w:rPr>
        <w:t>水平升高超过本底</w:t>
      </w:r>
      <w:r w:rsidR="009672AA" w:rsidRPr="009E464F">
        <w:rPr>
          <w:rFonts w:cs="Times New Roman"/>
          <w:lang w:eastAsia="zh-CN"/>
        </w:rPr>
        <w:t>100%</w:t>
      </w:r>
      <w:r w:rsidR="009672AA" w:rsidRPr="009E464F">
        <w:rPr>
          <w:rFonts w:cs="Times New Roman"/>
          <w:lang w:eastAsia="zh-CN"/>
        </w:rPr>
        <w:t>并且该升高是浓度依赖的，那么该体外诱导结果可以视为阳性。为</w:t>
      </w:r>
      <w:r w:rsidR="009672AA" w:rsidRPr="009E464F">
        <w:rPr>
          <w:rFonts w:cs="Times New Roman"/>
          <w:lang w:eastAsia="zh-CN"/>
        </w:rPr>
        <w:lastRenderedPageBreak/>
        <w:t>保证诱导试验方法有足够的灵敏度，对于</w:t>
      </w:r>
      <w:r w:rsidR="009672AA" w:rsidRPr="009E464F">
        <w:rPr>
          <w:rFonts w:cs="Times New Roman"/>
          <w:lang w:eastAsia="zh-CN"/>
        </w:rPr>
        <w:t>mRNA</w:t>
      </w:r>
      <w:r w:rsidR="009672AA" w:rsidRPr="009E464F">
        <w:rPr>
          <w:rFonts w:cs="Times New Roman"/>
          <w:lang w:eastAsia="zh-CN"/>
        </w:rPr>
        <w:t>水平出现浓度依赖性升高＜</w:t>
      </w:r>
      <w:r w:rsidR="009672AA" w:rsidRPr="009E464F">
        <w:rPr>
          <w:rFonts w:cs="Times New Roman"/>
          <w:lang w:eastAsia="zh-CN"/>
        </w:rPr>
        <w:t>100%</w:t>
      </w:r>
      <w:r w:rsidR="009672AA" w:rsidRPr="009E464F">
        <w:rPr>
          <w:rFonts w:cs="Times New Roman"/>
          <w:lang w:eastAsia="zh-CN"/>
        </w:rPr>
        <w:t>的观察结果并且这个升高幅度小于阳性对照</w:t>
      </w:r>
      <w:r w:rsidR="009672AA" w:rsidRPr="009E464F">
        <w:rPr>
          <w:rFonts w:cs="Times New Roman"/>
          <w:lang w:eastAsia="zh-CN"/>
        </w:rPr>
        <w:t>mRNA</w:t>
      </w:r>
      <w:r w:rsidR="009672AA" w:rsidRPr="009E464F">
        <w:rPr>
          <w:rFonts w:cs="Times New Roman"/>
          <w:lang w:eastAsia="zh-CN"/>
        </w:rPr>
        <w:t>水平升幅</w:t>
      </w:r>
      <w:r w:rsidR="009672AA" w:rsidRPr="009E464F">
        <w:rPr>
          <w:rFonts w:cs="Times New Roman"/>
          <w:lang w:eastAsia="zh-CN"/>
        </w:rPr>
        <w:t>20%</w:t>
      </w:r>
      <w:r w:rsidR="009672AA" w:rsidRPr="009E464F">
        <w:rPr>
          <w:rFonts w:cs="Times New Roman"/>
          <w:lang w:eastAsia="zh-CN"/>
        </w:rPr>
        <w:t>的情况下（如</w:t>
      </w:r>
      <w:r w:rsidR="009672AA" w:rsidRPr="009E464F">
        <w:rPr>
          <w:rFonts w:cs="Times New Roman"/>
          <w:lang w:eastAsia="zh-CN"/>
        </w:rPr>
        <w:t xml:space="preserve">20 </w:t>
      </w:r>
      <w:proofErr w:type="spellStart"/>
      <w:r w:rsidR="009672AA" w:rsidRPr="009E464F">
        <w:rPr>
          <w:rFonts w:cs="Times New Roman"/>
          <w:lang w:eastAsia="zh-CN"/>
        </w:rPr>
        <w:t>μM</w:t>
      </w:r>
      <w:proofErr w:type="spellEnd"/>
      <w:r w:rsidR="009672AA" w:rsidRPr="009E464F">
        <w:rPr>
          <w:rFonts w:cs="Times New Roman"/>
          <w:lang w:eastAsia="zh-CN"/>
        </w:rPr>
        <w:t>的利福平作为阳性对照），才可认为诱导结果为阴性。如果至少有一个供体肝细胞的研究结果超过预定阈值，则应考虑该药物为体外诱导剂，并开展后续评估。</w:t>
      </w:r>
    </w:p>
    <w:p w14:paraId="3DE4D099" w14:textId="022FCC8F" w:rsidR="0069044B" w:rsidRDefault="003011E0" w:rsidP="00593FAB">
      <w:pPr>
        <w:spacing w:after="0"/>
        <w:ind w:firstLineChars="212" w:firstLine="678"/>
        <w:rPr>
          <w:rFonts w:cs="Times New Roman"/>
          <w:lang w:eastAsia="zh-CN"/>
        </w:rPr>
      </w:pPr>
      <w:r w:rsidRPr="009E464F">
        <w:rPr>
          <w:rFonts w:cs="Times New Roman"/>
          <w:lang w:eastAsia="zh-CN"/>
        </w:rPr>
        <w:t>（</w:t>
      </w:r>
      <w:r w:rsidR="0069044B">
        <w:rPr>
          <w:rFonts w:cs="Times New Roman"/>
          <w:lang w:eastAsia="zh-CN"/>
        </w:rPr>
        <w:t>3</w:t>
      </w:r>
      <w:r w:rsidRPr="009E464F">
        <w:rPr>
          <w:rFonts w:cs="Times New Roman"/>
          <w:lang w:eastAsia="zh-CN"/>
        </w:rPr>
        <w:t>）</w:t>
      </w:r>
      <w:r w:rsidR="009672AA" w:rsidRPr="009E464F">
        <w:rPr>
          <w:rFonts w:cs="Times New Roman"/>
          <w:lang w:eastAsia="zh-CN"/>
        </w:rPr>
        <w:t>应证明所用</w:t>
      </w:r>
      <w:r w:rsidR="005B4CC0" w:rsidRPr="009E464F">
        <w:rPr>
          <w:rFonts w:cs="Times New Roman"/>
          <w:lang w:eastAsia="zh-CN"/>
        </w:rPr>
        <w:t>试验</w:t>
      </w:r>
      <w:r w:rsidR="009672AA" w:rsidRPr="009E464F">
        <w:rPr>
          <w:rFonts w:cs="Times New Roman"/>
          <w:lang w:eastAsia="zh-CN"/>
        </w:rPr>
        <w:t>方法均能准确评估在</w:t>
      </w:r>
      <w:proofErr w:type="gramStart"/>
      <w:r w:rsidR="009672AA" w:rsidRPr="009E464F">
        <w:rPr>
          <w:rFonts w:cs="Times New Roman"/>
          <w:lang w:eastAsia="zh-CN"/>
        </w:rPr>
        <w:t>研</w:t>
      </w:r>
      <w:proofErr w:type="gramEnd"/>
      <w:r w:rsidR="009672AA" w:rsidRPr="009E464F">
        <w:rPr>
          <w:rFonts w:cs="Times New Roman"/>
          <w:lang w:eastAsia="zh-CN"/>
        </w:rPr>
        <w:t>药物的诱导潜力，避免出现假阴性的预测。</w:t>
      </w:r>
    </w:p>
    <w:p w14:paraId="18CA769B" w14:textId="446B27BA" w:rsidR="0069044B" w:rsidRDefault="003011E0" w:rsidP="00593FAB">
      <w:pPr>
        <w:spacing w:after="0"/>
        <w:ind w:firstLineChars="212" w:firstLine="678"/>
        <w:rPr>
          <w:rFonts w:cs="Times New Roman"/>
          <w:lang w:eastAsia="zh-CN"/>
        </w:rPr>
      </w:pPr>
      <w:r w:rsidRPr="009E464F">
        <w:rPr>
          <w:rFonts w:cs="Times New Roman"/>
          <w:lang w:eastAsia="zh-CN"/>
        </w:rPr>
        <w:t>（</w:t>
      </w:r>
      <w:r w:rsidR="0069044B">
        <w:rPr>
          <w:rFonts w:cs="Times New Roman"/>
          <w:lang w:eastAsia="zh-CN"/>
        </w:rPr>
        <w:t>4</w:t>
      </w:r>
      <w:r w:rsidRPr="009E464F">
        <w:rPr>
          <w:rFonts w:cs="Times New Roman"/>
          <w:lang w:eastAsia="zh-CN"/>
        </w:rPr>
        <w:t>）</w:t>
      </w:r>
      <w:r w:rsidR="009672AA" w:rsidRPr="009E464F">
        <w:rPr>
          <w:rFonts w:cs="Times New Roman"/>
          <w:lang w:eastAsia="zh-CN"/>
        </w:rPr>
        <w:t>为达到完全诱导，在</w:t>
      </w:r>
      <w:proofErr w:type="gramStart"/>
      <w:r w:rsidR="009672AA" w:rsidRPr="009E464F">
        <w:rPr>
          <w:rFonts w:cs="Times New Roman"/>
          <w:lang w:eastAsia="zh-CN"/>
        </w:rPr>
        <w:t>研</w:t>
      </w:r>
      <w:proofErr w:type="gramEnd"/>
      <w:r w:rsidR="009672AA" w:rsidRPr="009E464F">
        <w:rPr>
          <w:rFonts w:cs="Times New Roman"/>
          <w:lang w:eastAsia="zh-CN"/>
        </w:rPr>
        <w:t>药物应孵育</w:t>
      </w:r>
      <w:r w:rsidR="009672AA" w:rsidRPr="009E464F">
        <w:rPr>
          <w:rFonts w:cs="Times New Roman"/>
          <w:lang w:eastAsia="zh-CN"/>
        </w:rPr>
        <w:t>48~72h</w:t>
      </w:r>
      <w:r w:rsidR="009672AA" w:rsidRPr="009E464F">
        <w:rPr>
          <w:rFonts w:cs="Times New Roman"/>
          <w:lang w:eastAsia="zh-CN"/>
        </w:rPr>
        <w:t>。孵育过程包括每日添加在</w:t>
      </w:r>
      <w:proofErr w:type="gramStart"/>
      <w:r w:rsidR="009672AA" w:rsidRPr="009E464F">
        <w:rPr>
          <w:rFonts w:cs="Times New Roman"/>
          <w:lang w:eastAsia="zh-CN"/>
        </w:rPr>
        <w:t>研</w:t>
      </w:r>
      <w:proofErr w:type="gramEnd"/>
      <w:r w:rsidR="009672AA" w:rsidRPr="009E464F">
        <w:rPr>
          <w:rFonts w:cs="Times New Roman"/>
          <w:lang w:eastAsia="zh-CN"/>
        </w:rPr>
        <w:t>药物，并定期更换含药培养液。当指针能检测到酶诱导而不引起细胞毒性时，为孵育的最佳时间。应对孵育时间的缩短给出合理的说明。</w:t>
      </w:r>
    </w:p>
    <w:p w14:paraId="554A6C47" w14:textId="2171FB8C" w:rsidR="006C3CFA" w:rsidRDefault="003011E0" w:rsidP="00593FAB">
      <w:pPr>
        <w:spacing w:after="0"/>
        <w:ind w:firstLineChars="212" w:firstLine="678"/>
        <w:rPr>
          <w:rFonts w:cs="Times New Roman"/>
          <w:lang w:eastAsia="zh-CN"/>
        </w:rPr>
      </w:pPr>
      <w:r w:rsidRPr="009E464F">
        <w:rPr>
          <w:rFonts w:cs="Times New Roman"/>
          <w:lang w:eastAsia="zh-CN"/>
        </w:rPr>
        <w:t>（</w:t>
      </w:r>
      <w:r w:rsidR="0069044B">
        <w:rPr>
          <w:rFonts w:cs="Times New Roman"/>
          <w:lang w:eastAsia="zh-CN"/>
        </w:rPr>
        <w:t>5</w:t>
      </w:r>
      <w:r w:rsidRPr="009E464F">
        <w:rPr>
          <w:rFonts w:cs="Times New Roman"/>
          <w:lang w:eastAsia="zh-CN"/>
        </w:rPr>
        <w:t>）</w:t>
      </w:r>
      <w:r w:rsidR="009672AA" w:rsidRPr="009E464F">
        <w:rPr>
          <w:rFonts w:cs="Times New Roman"/>
          <w:lang w:eastAsia="zh-CN"/>
        </w:rPr>
        <w:t>孵育体系中</w:t>
      </w:r>
      <w:r w:rsidR="00F61C6B">
        <w:rPr>
          <w:rFonts w:cs="Times New Roman" w:hint="eastAsia"/>
          <w:lang w:eastAsia="zh-CN"/>
        </w:rPr>
        <w:t>在</w:t>
      </w:r>
      <w:proofErr w:type="gramStart"/>
      <w:r w:rsidR="00F61C6B">
        <w:rPr>
          <w:rFonts w:cs="Times New Roman"/>
          <w:lang w:eastAsia="zh-CN"/>
        </w:rPr>
        <w:t>研</w:t>
      </w:r>
      <w:proofErr w:type="gramEnd"/>
      <w:r w:rsidR="009672AA" w:rsidRPr="009E464F">
        <w:rPr>
          <w:rFonts w:cs="Times New Roman"/>
          <w:lang w:eastAsia="zh-CN"/>
        </w:rPr>
        <w:t>药物的</w:t>
      </w:r>
      <w:r w:rsidR="00944639">
        <w:rPr>
          <w:rFonts w:cs="Times New Roman" w:hint="eastAsia"/>
          <w:lang w:eastAsia="zh-CN"/>
        </w:rPr>
        <w:t>实际</w:t>
      </w:r>
      <w:r w:rsidR="009672AA" w:rsidRPr="009E464F">
        <w:rPr>
          <w:rFonts w:cs="Times New Roman"/>
          <w:lang w:eastAsia="zh-CN"/>
        </w:rPr>
        <w:t>浓度对于</w:t>
      </w:r>
      <w:r w:rsidR="00944639">
        <w:rPr>
          <w:rFonts w:cs="Times New Roman" w:hint="eastAsia"/>
          <w:lang w:eastAsia="zh-CN"/>
        </w:rPr>
        <w:t>将</w:t>
      </w:r>
      <w:r w:rsidR="009672AA" w:rsidRPr="009E464F">
        <w:rPr>
          <w:rFonts w:cs="Times New Roman"/>
          <w:lang w:eastAsia="zh-CN"/>
        </w:rPr>
        <w:t>体外结果</w:t>
      </w:r>
      <w:r w:rsidR="00944639">
        <w:rPr>
          <w:rFonts w:cs="Times New Roman" w:hint="eastAsia"/>
          <w:lang w:eastAsia="zh-CN"/>
        </w:rPr>
        <w:t>推导</w:t>
      </w:r>
      <w:r w:rsidR="00944639">
        <w:rPr>
          <w:rFonts w:cs="Times New Roman"/>
          <w:lang w:eastAsia="zh-CN"/>
        </w:rPr>
        <w:t>至</w:t>
      </w:r>
      <w:r w:rsidR="009672AA" w:rsidRPr="009E464F">
        <w:rPr>
          <w:rFonts w:cs="Times New Roman"/>
          <w:lang w:eastAsia="zh-CN"/>
        </w:rPr>
        <w:t>体内情况非常重要。因此，除非</w:t>
      </w:r>
      <w:r w:rsidR="00CA1B88" w:rsidRPr="009E464F">
        <w:rPr>
          <w:rFonts w:cs="Times New Roman"/>
          <w:lang w:eastAsia="zh-CN"/>
        </w:rPr>
        <w:t>原形药物</w:t>
      </w:r>
      <w:r w:rsidR="009672AA" w:rsidRPr="009E464F">
        <w:rPr>
          <w:rFonts w:cs="Times New Roman"/>
          <w:lang w:eastAsia="zh-CN"/>
        </w:rPr>
        <w:t>由于体外代谢、降解或溶酶体捕获造成的损失可以忽略（或在诱导测定之前可定量测定系统中</w:t>
      </w:r>
      <w:r w:rsidR="00CA1B88" w:rsidRPr="009E464F">
        <w:rPr>
          <w:rFonts w:cs="Times New Roman"/>
          <w:lang w:eastAsia="zh-CN"/>
        </w:rPr>
        <w:t>原形药物</w:t>
      </w:r>
      <w:r w:rsidR="009672AA" w:rsidRPr="009E464F">
        <w:rPr>
          <w:rFonts w:cs="Times New Roman"/>
          <w:lang w:eastAsia="zh-CN"/>
        </w:rPr>
        <w:t>的损失并且通过添加药量或改变介质进行补偿），应在培养的最后一天的若干时间点测量培养液中</w:t>
      </w:r>
      <w:r w:rsidR="00CA1B88" w:rsidRPr="009E464F">
        <w:rPr>
          <w:rFonts w:cs="Times New Roman"/>
          <w:lang w:eastAsia="zh-CN"/>
        </w:rPr>
        <w:t>原形药物</w:t>
      </w:r>
      <w:r w:rsidR="009672AA" w:rsidRPr="009E464F">
        <w:rPr>
          <w:rFonts w:cs="Times New Roman"/>
          <w:lang w:eastAsia="zh-CN"/>
        </w:rPr>
        <w:t>的浓度。</w:t>
      </w:r>
    </w:p>
    <w:p w14:paraId="01D5482E" w14:textId="77777777" w:rsidR="008663B1" w:rsidRDefault="008663B1" w:rsidP="00593FAB">
      <w:pPr>
        <w:spacing w:after="0"/>
        <w:ind w:firstLineChars="0"/>
        <w:jc w:val="left"/>
        <w:rPr>
          <w:rFonts w:cs="Times New Roman"/>
          <w:lang w:eastAsia="zh-CN"/>
        </w:rPr>
        <w:sectPr w:rsidR="008663B1" w:rsidSect="00721D10">
          <w:pgSz w:w="12240" w:h="15840"/>
          <w:pgMar w:top="1440" w:right="1440" w:bottom="1440" w:left="1440" w:header="720" w:footer="720" w:gutter="0"/>
          <w:lnNumType w:countBy="1" w:restart="continuous"/>
          <w:cols w:space="720"/>
          <w:docGrid w:linePitch="435"/>
        </w:sectPr>
      </w:pPr>
    </w:p>
    <w:p w14:paraId="6C6EED22" w14:textId="77777777" w:rsidR="00FB41B6" w:rsidRPr="009E464F" w:rsidRDefault="00FB41B6" w:rsidP="00593FAB">
      <w:pPr>
        <w:pStyle w:val="2"/>
      </w:pPr>
      <w:bookmarkStart w:id="83" w:name="_Toc50395982"/>
      <w:r>
        <w:lastRenderedPageBreak/>
        <w:t>附录</w:t>
      </w:r>
      <w:r>
        <w:t>4</w:t>
      </w:r>
      <w:r w:rsidRPr="009E464F">
        <w:t xml:space="preserve">. </w:t>
      </w:r>
      <w:r w:rsidRPr="009E464F">
        <w:t>体外评估转运体</w:t>
      </w:r>
      <w:proofErr w:type="gramStart"/>
      <w:r w:rsidRPr="009E464F">
        <w:t>介</w:t>
      </w:r>
      <w:proofErr w:type="gramEnd"/>
      <w:r w:rsidRPr="009E464F">
        <w:t>导的药物相互作用</w:t>
      </w:r>
      <w:bookmarkEnd w:id="83"/>
    </w:p>
    <w:p w14:paraId="1A7531C1" w14:textId="0A34F412" w:rsidR="00753424" w:rsidRPr="0083505F" w:rsidRDefault="00753424" w:rsidP="008663B1">
      <w:pPr>
        <w:spacing w:after="0"/>
        <w:ind w:firstLine="640"/>
        <w:rPr>
          <w:rFonts w:cs="Times New Roman"/>
          <w:lang w:eastAsia="zh-CN"/>
        </w:rPr>
      </w:pPr>
      <w:r>
        <w:rPr>
          <w:rFonts w:cs="Times New Roman" w:hint="eastAsia"/>
          <w:lang w:eastAsia="zh-CN"/>
        </w:rPr>
        <w:t>1</w:t>
      </w:r>
      <w:r w:rsidR="008663B1">
        <w:rPr>
          <w:rFonts w:cs="Times New Roman" w:hint="eastAsia"/>
          <w:lang w:eastAsia="zh-CN"/>
        </w:rPr>
        <w:t>.</w:t>
      </w:r>
      <w:r w:rsidRPr="0083505F">
        <w:rPr>
          <w:rFonts w:cs="Times New Roman" w:hint="eastAsia"/>
          <w:lang w:eastAsia="zh-CN"/>
        </w:rPr>
        <w:t>体外</w:t>
      </w:r>
      <w:r w:rsidR="0069044B">
        <w:rPr>
          <w:rFonts w:cs="Times New Roman" w:hint="eastAsia"/>
          <w:lang w:eastAsia="zh-CN"/>
        </w:rPr>
        <w:t>试验</w:t>
      </w:r>
      <w:r w:rsidRPr="0083505F">
        <w:rPr>
          <w:rFonts w:cs="Times New Roman" w:hint="eastAsia"/>
          <w:lang w:eastAsia="zh-CN"/>
        </w:rPr>
        <w:t>系统</w:t>
      </w:r>
    </w:p>
    <w:p w14:paraId="1D0280BF" w14:textId="4F2BA1A9" w:rsidR="00753424" w:rsidRPr="0083505F" w:rsidRDefault="00753424" w:rsidP="00593FAB">
      <w:pPr>
        <w:spacing w:after="0"/>
        <w:ind w:firstLine="640"/>
        <w:rPr>
          <w:rFonts w:cs="Times New Roman"/>
          <w:lang w:eastAsia="zh-CN"/>
        </w:rPr>
      </w:pPr>
      <w:r w:rsidRPr="0083505F">
        <w:rPr>
          <w:rFonts w:cs="Times New Roman" w:hint="eastAsia"/>
          <w:lang w:eastAsia="zh-CN"/>
        </w:rPr>
        <w:t>应选择适用于特定转运体的体外检测系统，如膜囊泡系统，基于极化细胞的外排转运体双向测定法或基于细胞的吸收转运体测定法。体外模型的选择取决于研究的目的和</w:t>
      </w:r>
      <w:proofErr w:type="gramStart"/>
      <w:r w:rsidRPr="0083505F">
        <w:rPr>
          <w:rFonts w:cs="Times New Roman" w:hint="eastAsia"/>
          <w:lang w:eastAsia="zh-CN"/>
        </w:rPr>
        <w:t>要</w:t>
      </w:r>
      <w:proofErr w:type="gramEnd"/>
      <w:r w:rsidRPr="0083505F">
        <w:rPr>
          <w:rFonts w:cs="Times New Roman" w:hint="eastAsia"/>
          <w:lang w:eastAsia="zh-CN"/>
        </w:rPr>
        <w:t>解决的问题。表</w:t>
      </w:r>
      <w:r w:rsidRPr="0083505F">
        <w:rPr>
          <w:rFonts w:cs="Times New Roman"/>
          <w:lang w:eastAsia="zh-CN"/>
        </w:rPr>
        <w:t>1</w:t>
      </w:r>
      <w:r w:rsidRPr="0083505F">
        <w:rPr>
          <w:rFonts w:cs="Times New Roman" w:hint="eastAsia"/>
          <w:lang w:eastAsia="zh-CN"/>
        </w:rPr>
        <w:t>总结了当</w:t>
      </w:r>
      <w:r w:rsidR="00E4666A" w:rsidRPr="0083505F">
        <w:rPr>
          <w:rFonts w:cs="Times New Roman" w:hint="eastAsia"/>
          <w:lang w:eastAsia="zh-CN"/>
        </w:rPr>
        <w:t>在</w:t>
      </w:r>
      <w:proofErr w:type="gramStart"/>
      <w:r w:rsidR="00E4666A" w:rsidRPr="0083505F">
        <w:rPr>
          <w:rFonts w:cs="Times New Roman" w:hint="eastAsia"/>
          <w:lang w:eastAsia="zh-CN"/>
        </w:rPr>
        <w:t>研</w:t>
      </w:r>
      <w:proofErr w:type="gramEnd"/>
      <w:r w:rsidR="00E4666A" w:rsidRPr="0083505F">
        <w:rPr>
          <w:rFonts w:cs="Times New Roman" w:hint="eastAsia"/>
          <w:lang w:eastAsia="zh-CN"/>
        </w:rPr>
        <w:t>药物</w:t>
      </w:r>
      <w:r w:rsidRPr="0083505F">
        <w:rPr>
          <w:rFonts w:cs="Times New Roman" w:hint="eastAsia"/>
          <w:lang w:eastAsia="zh-CN"/>
        </w:rPr>
        <w:t>作为特异性转运体的底物或抑制剂时，用于研究转运体</w:t>
      </w:r>
      <w:proofErr w:type="gramStart"/>
      <w:r w:rsidR="00E4666A" w:rsidRPr="0083505F">
        <w:rPr>
          <w:rFonts w:cs="Times New Roman" w:hint="eastAsia"/>
          <w:lang w:eastAsia="zh-CN"/>
        </w:rPr>
        <w:t>介</w:t>
      </w:r>
      <w:proofErr w:type="gramEnd"/>
      <w:r w:rsidR="00E4666A" w:rsidRPr="0083505F">
        <w:rPr>
          <w:rFonts w:cs="Times New Roman" w:hint="eastAsia"/>
          <w:lang w:eastAsia="zh-CN"/>
        </w:rPr>
        <w:t>导的药物相互作用潜力的体外系统</w:t>
      </w:r>
      <w:r w:rsidRPr="0083505F">
        <w:rPr>
          <w:rFonts w:cs="Times New Roman" w:hint="eastAsia"/>
          <w:lang w:eastAsia="zh-CN"/>
        </w:rPr>
        <w:t>。</w:t>
      </w:r>
    </w:p>
    <w:p w14:paraId="0411EBBE" w14:textId="23D75F57" w:rsidR="00753424" w:rsidRPr="0083505F" w:rsidRDefault="00753424" w:rsidP="0083505F">
      <w:pPr>
        <w:adjustRightInd w:val="0"/>
        <w:snapToGrid w:val="0"/>
        <w:spacing w:after="0" w:line="500" w:lineRule="exact"/>
        <w:ind w:firstLine="482"/>
        <w:jc w:val="center"/>
        <w:rPr>
          <w:rFonts w:cs="Times New Roman"/>
          <w:b/>
          <w:sz w:val="24"/>
          <w:szCs w:val="24"/>
          <w:lang w:eastAsia="zh-CN"/>
        </w:rPr>
      </w:pPr>
      <w:r w:rsidRPr="0083505F">
        <w:rPr>
          <w:rFonts w:cs="Times New Roman" w:hint="eastAsia"/>
          <w:b/>
          <w:sz w:val="24"/>
          <w:szCs w:val="24"/>
          <w:lang w:eastAsia="zh-CN"/>
        </w:rPr>
        <w:t>表</w:t>
      </w:r>
      <w:r w:rsidRPr="0083505F">
        <w:rPr>
          <w:rFonts w:cs="Times New Roman"/>
          <w:b/>
          <w:sz w:val="24"/>
          <w:szCs w:val="24"/>
          <w:lang w:eastAsia="zh-CN"/>
        </w:rPr>
        <w:t>1</w:t>
      </w:r>
      <w:r w:rsidR="00ED1C86" w:rsidRPr="0083505F">
        <w:rPr>
          <w:rFonts w:cs="Times New Roman"/>
          <w:b/>
          <w:sz w:val="24"/>
          <w:szCs w:val="24"/>
          <w:lang w:eastAsia="zh-CN"/>
        </w:rPr>
        <w:t xml:space="preserve"> </w:t>
      </w:r>
      <w:r w:rsidRPr="0083505F">
        <w:rPr>
          <w:rFonts w:cs="Times New Roman" w:hint="eastAsia"/>
          <w:b/>
          <w:sz w:val="24"/>
          <w:szCs w:val="24"/>
          <w:lang w:eastAsia="zh-CN"/>
        </w:rPr>
        <w:t>转运体</w:t>
      </w:r>
      <w:proofErr w:type="gramStart"/>
      <w:r w:rsidR="00E4666A" w:rsidRPr="0083505F">
        <w:rPr>
          <w:rFonts w:cs="Times New Roman" w:hint="eastAsia"/>
          <w:b/>
          <w:sz w:val="24"/>
          <w:szCs w:val="24"/>
          <w:lang w:eastAsia="zh-CN"/>
        </w:rPr>
        <w:t>介</w:t>
      </w:r>
      <w:proofErr w:type="gramEnd"/>
      <w:r w:rsidR="00E4666A" w:rsidRPr="0083505F">
        <w:rPr>
          <w:rFonts w:cs="Times New Roman" w:hint="eastAsia"/>
          <w:b/>
          <w:sz w:val="24"/>
          <w:szCs w:val="24"/>
          <w:lang w:eastAsia="zh-CN"/>
        </w:rPr>
        <w:t>导的药物相互作用的体外系统</w:t>
      </w:r>
    </w:p>
    <w:tbl>
      <w:tblPr>
        <w:tblStyle w:val="af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892"/>
        <w:gridCol w:w="4261"/>
      </w:tblGrid>
      <w:tr w:rsidR="00753424" w:rsidRPr="00492CCB" w14:paraId="4662053C" w14:textId="77777777" w:rsidTr="0083505F">
        <w:trPr>
          <w:trHeight w:val="311"/>
          <w:jc w:val="center"/>
        </w:trPr>
        <w:tc>
          <w:tcPr>
            <w:tcW w:w="3369" w:type="dxa"/>
            <w:tcBorders>
              <w:top w:val="single" w:sz="8" w:space="0" w:color="auto"/>
              <w:bottom w:val="single" w:sz="4" w:space="0" w:color="auto"/>
            </w:tcBorders>
          </w:tcPr>
          <w:p w14:paraId="3E8D8F05" w14:textId="77777777" w:rsidR="00753424" w:rsidRPr="0083505F" w:rsidRDefault="00753424" w:rsidP="0083505F">
            <w:pPr>
              <w:adjustRightInd w:val="0"/>
              <w:snapToGrid w:val="0"/>
              <w:spacing w:line="240" w:lineRule="auto"/>
              <w:ind w:firstLine="420"/>
              <w:jc w:val="center"/>
              <w:rPr>
                <w:rFonts w:cs="Times New Roman"/>
                <w:kern w:val="0"/>
                <w:sz w:val="21"/>
                <w:szCs w:val="21"/>
              </w:rPr>
            </w:pPr>
            <w:r w:rsidRPr="0083505F">
              <w:rPr>
                <w:rFonts w:cs="Times New Roman" w:hint="eastAsia"/>
                <w:sz w:val="21"/>
                <w:szCs w:val="21"/>
              </w:rPr>
              <w:t>转运体</w:t>
            </w:r>
          </w:p>
        </w:tc>
        <w:tc>
          <w:tcPr>
            <w:tcW w:w="5153" w:type="dxa"/>
            <w:gridSpan w:val="2"/>
            <w:tcBorders>
              <w:top w:val="single" w:sz="8" w:space="0" w:color="auto"/>
              <w:bottom w:val="single" w:sz="4" w:space="0" w:color="auto"/>
            </w:tcBorders>
          </w:tcPr>
          <w:p w14:paraId="57B49918" w14:textId="77777777" w:rsidR="00753424" w:rsidRPr="0083505F" w:rsidRDefault="00753424" w:rsidP="0083505F">
            <w:pPr>
              <w:adjustRightInd w:val="0"/>
              <w:snapToGrid w:val="0"/>
              <w:spacing w:line="240" w:lineRule="auto"/>
              <w:ind w:firstLine="420"/>
              <w:jc w:val="center"/>
              <w:rPr>
                <w:rFonts w:cs="Times New Roman"/>
                <w:kern w:val="0"/>
                <w:sz w:val="21"/>
                <w:szCs w:val="21"/>
              </w:rPr>
            </w:pPr>
            <w:r w:rsidRPr="0083505F">
              <w:rPr>
                <w:rFonts w:cs="Times New Roman" w:hint="eastAsia"/>
                <w:sz w:val="21"/>
                <w:szCs w:val="21"/>
              </w:rPr>
              <w:t>体外系统</w:t>
            </w:r>
          </w:p>
        </w:tc>
      </w:tr>
      <w:tr w:rsidR="00753424" w:rsidRPr="00492CCB" w14:paraId="0C8B3C8B" w14:textId="77777777" w:rsidTr="0083505F">
        <w:trPr>
          <w:jc w:val="center"/>
        </w:trPr>
        <w:tc>
          <w:tcPr>
            <w:tcW w:w="8522" w:type="dxa"/>
            <w:gridSpan w:val="3"/>
            <w:tcBorders>
              <w:top w:val="single" w:sz="4" w:space="0" w:color="auto"/>
            </w:tcBorders>
          </w:tcPr>
          <w:p w14:paraId="396FAEA2" w14:textId="77777777" w:rsidR="00753424" w:rsidRPr="0083505F" w:rsidRDefault="00753424" w:rsidP="0083505F">
            <w:pPr>
              <w:adjustRightInd w:val="0"/>
              <w:snapToGrid w:val="0"/>
              <w:spacing w:line="240" w:lineRule="auto"/>
              <w:ind w:firstLine="420"/>
              <w:rPr>
                <w:rFonts w:cs="Times New Roman"/>
                <w:kern w:val="0"/>
                <w:sz w:val="21"/>
                <w:szCs w:val="21"/>
              </w:rPr>
            </w:pPr>
            <w:r w:rsidRPr="0083505F">
              <w:rPr>
                <w:rFonts w:cs="Times New Roman"/>
                <w:sz w:val="21"/>
                <w:szCs w:val="21"/>
              </w:rPr>
              <w:t>ABC</w:t>
            </w:r>
            <w:r w:rsidRPr="0083505F">
              <w:rPr>
                <w:rFonts w:cs="Times New Roman" w:hint="eastAsia"/>
                <w:sz w:val="21"/>
                <w:szCs w:val="21"/>
              </w:rPr>
              <w:t>转运体</w:t>
            </w:r>
          </w:p>
        </w:tc>
      </w:tr>
      <w:tr w:rsidR="00753424" w:rsidRPr="00492CCB" w14:paraId="3179DE4B" w14:textId="77777777" w:rsidTr="0083505F">
        <w:trPr>
          <w:jc w:val="center"/>
        </w:trPr>
        <w:tc>
          <w:tcPr>
            <w:tcW w:w="3369" w:type="dxa"/>
            <w:tcBorders>
              <w:bottom w:val="single" w:sz="4" w:space="0" w:color="auto"/>
            </w:tcBorders>
          </w:tcPr>
          <w:p w14:paraId="549E631B" w14:textId="2554213E" w:rsidR="00753424" w:rsidRPr="0083505F" w:rsidRDefault="00753424" w:rsidP="0083505F">
            <w:pPr>
              <w:adjustRightInd w:val="0"/>
              <w:snapToGrid w:val="0"/>
              <w:spacing w:line="240" w:lineRule="auto"/>
              <w:ind w:leftChars="220" w:left="704" w:firstLine="420"/>
              <w:rPr>
                <w:rFonts w:cs="Times New Roman"/>
                <w:kern w:val="0"/>
                <w:sz w:val="21"/>
                <w:szCs w:val="21"/>
              </w:rPr>
            </w:pPr>
            <w:r w:rsidRPr="0083505F">
              <w:rPr>
                <w:rFonts w:cs="Times New Roman"/>
                <w:sz w:val="21"/>
                <w:szCs w:val="21"/>
              </w:rPr>
              <w:t>BCRP</w:t>
            </w:r>
            <w:r w:rsidR="00E4666A" w:rsidRPr="0083505F">
              <w:rPr>
                <w:rFonts w:cs="Times New Roman" w:hint="eastAsia"/>
                <w:sz w:val="21"/>
                <w:szCs w:val="21"/>
              </w:rPr>
              <w:t>，</w:t>
            </w:r>
            <w:r w:rsidRPr="0083505F">
              <w:rPr>
                <w:rFonts w:cs="Times New Roman"/>
                <w:sz w:val="21"/>
                <w:szCs w:val="21"/>
              </w:rPr>
              <w:t>P-</w:t>
            </w:r>
            <w:proofErr w:type="spellStart"/>
            <w:r w:rsidRPr="0083505F">
              <w:rPr>
                <w:rFonts w:cs="Times New Roman"/>
                <w:sz w:val="21"/>
                <w:szCs w:val="21"/>
              </w:rPr>
              <w:t>gp</w:t>
            </w:r>
            <w:proofErr w:type="spellEnd"/>
          </w:p>
        </w:tc>
        <w:tc>
          <w:tcPr>
            <w:tcW w:w="5153" w:type="dxa"/>
            <w:gridSpan w:val="2"/>
            <w:tcBorders>
              <w:bottom w:val="single" w:sz="4" w:space="0" w:color="auto"/>
            </w:tcBorders>
          </w:tcPr>
          <w:p w14:paraId="5B4CEF01" w14:textId="77777777" w:rsidR="00753424" w:rsidRPr="0083505F" w:rsidRDefault="00753424" w:rsidP="0083505F">
            <w:pPr>
              <w:adjustRightInd w:val="0"/>
              <w:snapToGrid w:val="0"/>
              <w:spacing w:line="240" w:lineRule="auto"/>
              <w:ind w:firstLine="420"/>
              <w:rPr>
                <w:rFonts w:cs="Times New Roman"/>
                <w:kern w:val="0"/>
                <w:sz w:val="21"/>
                <w:szCs w:val="21"/>
              </w:rPr>
            </w:pPr>
            <w:r w:rsidRPr="0083505F">
              <w:rPr>
                <w:rFonts w:cs="Times New Roman"/>
                <w:sz w:val="21"/>
                <w:szCs w:val="21"/>
              </w:rPr>
              <w:t xml:space="preserve">Caco-2 </w:t>
            </w:r>
            <w:r w:rsidRPr="0083505F">
              <w:rPr>
                <w:rFonts w:cs="Times New Roman" w:hint="eastAsia"/>
                <w:sz w:val="21"/>
                <w:szCs w:val="21"/>
              </w:rPr>
              <w:t>细胞，商品化的或组织内的膜囊泡，基因敲除细胞，转染的细胞（</w:t>
            </w:r>
            <w:r w:rsidRPr="0083505F">
              <w:rPr>
                <w:rFonts w:cs="Times New Roman"/>
                <w:sz w:val="21"/>
                <w:szCs w:val="21"/>
              </w:rPr>
              <w:t>MDCK</w:t>
            </w:r>
            <w:r w:rsidRPr="0083505F">
              <w:rPr>
                <w:rFonts w:cs="Times New Roman" w:hint="eastAsia"/>
                <w:sz w:val="21"/>
                <w:szCs w:val="21"/>
              </w:rPr>
              <w:t>，</w:t>
            </w:r>
            <w:r w:rsidRPr="0083505F">
              <w:rPr>
                <w:rFonts w:cs="Times New Roman"/>
                <w:sz w:val="21"/>
                <w:szCs w:val="21"/>
              </w:rPr>
              <w:t>LLC-PK1</w:t>
            </w:r>
            <w:r w:rsidRPr="0083505F">
              <w:rPr>
                <w:rFonts w:cs="Times New Roman" w:hint="eastAsia"/>
                <w:sz w:val="21"/>
                <w:szCs w:val="21"/>
              </w:rPr>
              <w:t>等）</w:t>
            </w:r>
          </w:p>
        </w:tc>
      </w:tr>
      <w:tr w:rsidR="00753424" w:rsidRPr="00492CCB" w14:paraId="77E9FC84" w14:textId="77777777" w:rsidTr="0083505F">
        <w:trPr>
          <w:jc w:val="center"/>
        </w:trPr>
        <w:tc>
          <w:tcPr>
            <w:tcW w:w="8522" w:type="dxa"/>
            <w:gridSpan w:val="3"/>
            <w:tcBorders>
              <w:top w:val="single" w:sz="4" w:space="0" w:color="auto"/>
            </w:tcBorders>
          </w:tcPr>
          <w:p w14:paraId="2B51B06C" w14:textId="77777777" w:rsidR="00753424" w:rsidRPr="0083505F" w:rsidRDefault="00753424" w:rsidP="0083505F">
            <w:pPr>
              <w:adjustRightInd w:val="0"/>
              <w:snapToGrid w:val="0"/>
              <w:spacing w:line="240" w:lineRule="auto"/>
              <w:ind w:firstLine="420"/>
              <w:rPr>
                <w:rFonts w:cs="Times New Roman"/>
                <w:kern w:val="0"/>
                <w:sz w:val="21"/>
                <w:szCs w:val="21"/>
              </w:rPr>
            </w:pPr>
            <w:r w:rsidRPr="0083505F">
              <w:rPr>
                <w:rFonts w:cs="Times New Roman" w:hint="eastAsia"/>
                <w:sz w:val="21"/>
                <w:szCs w:val="21"/>
              </w:rPr>
              <w:t>溶质载体（</w:t>
            </w:r>
            <w:r w:rsidRPr="0083505F">
              <w:rPr>
                <w:rFonts w:cs="Times New Roman"/>
                <w:sz w:val="21"/>
                <w:szCs w:val="21"/>
              </w:rPr>
              <w:t>SLC</w:t>
            </w:r>
            <w:r w:rsidRPr="0083505F">
              <w:rPr>
                <w:rFonts w:cs="Times New Roman" w:hint="eastAsia"/>
                <w:sz w:val="21"/>
                <w:szCs w:val="21"/>
              </w:rPr>
              <w:t>）转运体</w:t>
            </w:r>
          </w:p>
        </w:tc>
      </w:tr>
      <w:tr w:rsidR="00753424" w:rsidRPr="00492CCB" w14:paraId="3EB55A4D" w14:textId="77777777" w:rsidTr="0083505F">
        <w:trPr>
          <w:jc w:val="center"/>
        </w:trPr>
        <w:tc>
          <w:tcPr>
            <w:tcW w:w="3369" w:type="dxa"/>
          </w:tcPr>
          <w:p w14:paraId="668959A0" w14:textId="77777777" w:rsidR="00753424" w:rsidRPr="0083505F" w:rsidRDefault="00753424" w:rsidP="0083505F">
            <w:pPr>
              <w:adjustRightInd w:val="0"/>
              <w:snapToGrid w:val="0"/>
              <w:spacing w:line="240" w:lineRule="auto"/>
              <w:ind w:firstLine="420"/>
              <w:rPr>
                <w:rFonts w:cs="Times New Roman"/>
                <w:kern w:val="0"/>
                <w:sz w:val="21"/>
                <w:szCs w:val="21"/>
              </w:rPr>
            </w:pPr>
            <w:r w:rsidRPr="0083505F">
              <w:rPr>
                <w:rFonts w:cs="Times New Roman"/>
                <w:sz w:val="21"/>
                <w:szCs w:val="21"/>
              </w:rPr>
              <w:t>OATPs</w:t>
            </w:r>
          </w:p>
        </w:tc>
        <w:tc>
          <w:tcPr>
            <w:tcW w:w="5153" w:type="dxa"/>
            <w:gridSpan w:val="2"/>
          </w:tcPr>
          <w:p w14:paraId="3E402AC3" w14:textId="77777777" w:rsidR="00753424" w:rsidRPr="0083505F" w:rsidRDefault="00753424" w:rsidP="0083505F">
            <w:pPr>
              <w:adjustRightInd w:val="0"/>
              <w:snapToGrid w:val="0"/>
              <w:spacing w:line="240" w:lineRule="auto"/>
              <w:ind w:firstLine="420"/>
              <w:rPr>
                <w:rFonts w:cs="Times New Roman"/>
                <w:kern w:val="0"/>
                <w:sz w:val="21"/>
                <w:szCs w:val="21"/>
              </w:rPr>
            </w:pPr>
            <w:r w:rsidRPr="0083505F">
              <w:rPr>
                <w:rFonts w:cs="Times New Roman" w:hint="eastAsia"/>
                <w:sz w:val="21"/>
                <w:szCs w:val="21"/>
              </w:rPr>
              <w:t>肝细胞，转染的细胞（</w:t>
            </w:r>
            <w:r w:rsidRPr="0083505F">
              <w:rPr>
                <w:rFonts w:cs="Times New Roman"/>
                <w:sz w:val="21"/>
                <w:szCs w:val="21"/>
              </w:rPr>
              <w:t>CHO</w:t>
            </w:r>
            <w:r w:rsidRPr="0083505F">
              <w:rPr>
                <w:rFonts w:cs="Times New Roman" w:hint="eastAsia"/>
                <w:sz w:val="21"/>
                <w:szCs w:val="21"/>
              </w:rPr>
              <w:t>，</w:t>
            </w:r>
            <w:r w:rsidRPr="0083505F">
              <w:rPr>
                <w:rFonts w:cs="Times New Roman"/>
                <w:sz w:val="21"/>
                <w:szCs w:val="21"/>
              </w:rPr>
              <w:t>HEK293</w:t>
            </w:r>
            <w:r w:rsidRPr="0083505F">
              <w:rPr>
                <w:rFonts w:cs="Times New Roman" w:hint="eastAsia"/>
                <w:sz w:val="21"/>
                <w:szCs w:val="21"/>
              </w:rPr>
              <w:t>，</w:t>
            </w:r>
            <w:r w:rsidRPr="0083505F">
              <w:rPr>
                <w:rFonts w:cs="Times New Roman"/>
                <w:sz w:val="21"/>
                <w:szCs w:val="21"/>
              </w:rPr>
              <w:t>MDCK</w:t>
            </w:r>
            <w:r w:rsidRPr="0083505F">
              <w:rPr>
                <w:rFonts w:cs="Times New Roman" w:hint="eastAsia"/>
                <w:sz w:val="21"/>
                <w:szCs w:val="21"/>
              </w:rPr>
              <w:t>等）</w:t>
            </w:r>
          </w:p>
        </w:tc>
      </w:tr>
      <w:tr w:rsidR="00753424" w:rsidRPr="00492CCB" w14:paraId="24A55235" w14:textId="77777777" w:rsidTr="0083505F">
        <w:trPr>
          <w:jc w:val="center"/>
        </w:trPr>
        <w:tc>
          <w:tcPr>
            <w:tcW w:w="3369" w:type="dxa"/>
          </w:tcPr>
          <w:p w14:paraId="4E55FF2F" w14:textId="77777777" w:rsidR="00753424" w:rsidRPr="0083505F" w:rsidRDefault="00753424" w:rsidP="0083505F">
            <w:pPr>
              <w:adjustRightInd w:val="0"/>
              <w:snapToGrid w:val="0"/>
              <w:spacing w:line="240" w:lineRule="auto"/>
              <w:ind w:firstLine="420"/>
              <w:rPr>
                <w:rFonts w:cs="Times New Roman"/>
                <w:kern w:val="0"/>
                <w:sz w:val="21"/>
                <w:szCs w:val="21"/>
              </w:rPr>
            </w:pPr>
            <w:r w:rsidRPr="0083505F">
              <w:rPr>
                <w:rFonts w:cs="Times New Roman"/>
                <w:sz w:val="21"/>
                <w:szCs w:val="21"/>
              </w:rPr>
              <w:t>OATs</w:t>
            </w:r>
            <w:r w:rsidRPr="0083505F">
              <w:rPr>
                <w:rFonts w:cs="Times New Roman" w:hint="eastAsia"/>
                <w:sz w:val="21"/>
                <w:szCs w:val="21"/>
              </w:rPr>
              <w:t>，</w:t>
            </w:r>
            <w:r w:rsidRPr="0083505F">
              <w:rPr>
                <w:rFonts w:cs="Times New Roman"/>
                <w:sz w:val="21"/>
                <w:szCs w:val="21"/>
              </w:rPr>
              <w:t>OCTs</w:t>
            </w:r>
          </w:p>
        </w:tc>
        <w:tc>
          <w:tcPr>
            <w:tcW w:w="5153" w:type="dxa"/>
            <w:gridSpan w:val="2"/>
          </w:tcPr>
          <w:p w14:paraId="542B854A" w14:textId="77777777" w:rsidR="00753424" w:rsidRPr="0083505F" w:rsidRDefault="00753424" w:rsidP="0083505F">
            <w:pPr>
              <w:adjustRightInd w:val="0"/>
              <w:snapToGrid w:val="0"/>
              <w:spacing w:line="240" w:lineRule="auto"/>
              <w:ind w:firstLine="420"/>
              <w:rPr>
                <w:rFonts w:cs="Times New Roman"/>
                <w:kern w:val="0"/>
                <w:sz w:val="21"/>
                <w:szCs w:val="21"/>
              </w:rPr>
            </w:pPr>
            <w:r w:rsidRPr="0083505F">
              <w:rPr>
                <w:rFonts w:cs="Times New Roman" w:hint="eastAsia"/>
                <w:sz w:val="21"/>
                <w:szCs w:val="21"/>
              </w:rPr>
              <w:t>转染的细胞（</w:t>
            </w:r>
            <w:r w:rsidRPr="0083505F">
              <w:rPr>
                <w:rFonts w:cs="Times New Roman"/>
                <w:sz w:val="21"/>
                <w:szCs w:val="21"/>
              </w:rPr>
              <w:t>CHO</w:t>
            </w:r>
            <w:r w:rsidRPr="0083505F">
              <w:rPr>
                <w:rFonts w:cs="Times New Roman" w:hint="eastAsia"/>
                <w:sz w:val="21"/>
                <w:szCs w:val="21"/>
              </w:rPr>
              <w:t>，</w:t>
            </w:r>
            <w:r w:rsidRPr="0083505F">
              <w:rPr>
                <w:rFonts w:cs="Times New Roman"/>
                <w:sz w:val="21"/>
                <w:szCs w:val="21"/>
              </w:rPr>
              <w:t>HEK293</w:t>
            </w:r>
            <w:r w:rsidRPr="0083505F">
              <w:rPr>
                <w:rFonts w:cs="Times New Roman" w:hint="eastAsia"/>
                <w:sz w:val="21"/>
                <w:szCs w:val="21"/>
              </w:rPr>
              <w:t>，</w:t>
            </w:r>
            <w:r w:rsidRPr="0083505F">
              <w:rPr>
                <w:rFonts w:cs="Times New Roman"/>
                <w:sz w:val="21"/>
                <w:szCs w:val="21"/>
              </w:rPr>
              <w:t>MDCK</w:t>
            </w:r>
            <w:r w:rsidRPr="0083505F">
              <w:rPr>
                <w:rFonts w:cs="Times New Roman" w:hint="eastAsia"/>
                <w:sz w:val="21"/>
                <w:szCs w:val="21"/>
              </w:rPr>
              <w:t>等）</w:t>
            </w:r>
          </w:p>
        </w:tc>
      </w:tr>
      <w:tr w:rsidR="00753424" w:rsidRPr="00492CCB" w14:paraId="55CFF8E5" w14:textId="77777777" w:rsidTr="0083505F">
        <w:trPr>
          <w:trHeight w:val="676"/>
          <w:jc w:val="center"/>
        </w:trPr>
        <w:tc>
          <w:tcPr>
            <w:tcW w:w="4261" w:type="dxa"/>
            <w:gridSpan w:val="2"/>
            <w:tcBorders>
              <w:bottom w:val="single" w:sz="8" w:space="0" w:color="auto"/>
            </w:tcBorders>
          </w:tcPr>
          <w:p w14:paraId="754F8B6D" w14:textId="77777777" w:rsidR="00753424" w:rsidRPr="0083505F" w:rsidRDefault="00753424" w:rsidP="0083505F">
            <w:pPr>
              <w:adjustRightInd w:val="0"/>
              <w:snapToGrid w:val="0"/>
              <w:spacing w:line="240" w:lineRule="auto"/>
              <w:ind w:firstLine="420"/>
              <w:rPr>
                <w:rFonts w:cs="Times New Roman"/>
                <w:kern w:val="0"/>
                <w:sz w:val="21"/>
                <w:szCs w:val="21"/>
              </w:rPr>
            </w:pPr>
            <w:r w:rsidRPr="0083505F">
              <w:rPr>
                <w:rFonts w:cs="Times New Roman"/>
                <w:sz w:val="21"/>
                <w:szCs w:val="21"/>
              </w:rPr>
              <w:t>MATEs*</w:t>
            </w:r>
          </w:p>
        </w:tc>
        <w:tc>
          <w:tcPr>
            <w:tcW w:w="4261" w:type="dxa"/>
            <w:tcBorders>
              <w:bottom w:val="single" w:sz="8" w:space="0" w:color="auto"/>
            </w:tcBorders>
          </w:tcPr>
          <w:p w14:paraId="07A4BC14" w14:textId="77777777" w:rsidR="00753424" w:rsidRPr="0083505F" w:rsidRDefault="00753424" w:rsidP="0083505F">
            <w:pPr>
              <w:adjustRightInd w:val="0"/>
              <w:snapToGrid w:val="0"/>
              <w:spacing w:line="240" w:lineRule="auto"/>
              <w:ind w:firstLine="420"/>
              <w:rPr>
                <w:rFonts w:cs="Times New Roman"/>
                <w:kern w:val="0"/>
                <w:sz w:val="21"/>
                <w:szCs w:val="21"/>
              </w:rPr>
            </w:pPr>
            <w:r w:rsidRPr="0083505F">
              <w:rPr>
                <w:rFonts w:cs="Times New Roman" w:hint="eastAsia"/>
                <w:sz w:val="21"/>
                <w:szCs w:val="21"/>
              </w:rPr>
              <w:t>商品化的或组织内的膜囊泡，转染的细胞（</w:t>
            </w:r>
            <w:r w:rsidRPr="0083505F">
              <w:rPr>
                <w:rFonts w:cs="Times New Roman"/>
                <w:sz w:val="21"/>
                <w:szCs w:val="21"/>
              </w:rPr>
              <w:t>CHO</w:t>
            </w:r>
            <w:r w:rsidRPr="0083505F">
              <w:rPr>
                <w:rFonts w:cs="Times New Roman" w:hint="eastAsia"/>
                <w:sz w:val="21"/>
                <w:szCs w:val="21"/>
              </w:rPr>
              <w:t>，</w:t>
            </w:r>
            <w:r w:rsidRPr="0083505F">
              <w:rPr>
                <w:rFonts w:cs="Times New Roman"/>
                <w:sz w:val="21"/>
                <w:szCs w:val="21"/>
              </w:rPr>
              <w:t>HEK293</w:t>
            </w:r>
            <w:r w:rsidRPr="0083505F">
              <w:rPr>
                <w:rFonts w:cs="Times New Roman" w:hint="eastAsia"/>
                <w:sz w:val="21"/>
                <w:szCs w:val="21"/>
              </w:rPr>
              <w:t>，</w:t>
            </w:r>
            <w:r w:rsidRPr="0083505F">
              <w:rPr>
                <w:rFonts w:cs="Times New Roman"/>
                <w:sz w:val="21"/>
                <w:szCs w:val="21"/>
              </w:rPr>
              <w:t>MDCK</w:t>
            </w:r>
            <w:r w:rsidRPr="0083505F">
              <w:rPr>
                <w:rFonts w:cs="Times New Roman" w:hint="eastAsia"/>
                <w:sz w:val="21"/>
                <w:szCs w:val="21"/>
              </w:rPr>
              <w:t>）</w:t>
            </w:r>
          </w:p>
        </w:tc>
      </w:tr>
    </w:tbl>
    <w:p w14:paraId="61FFAFF1" w14:textId="21524A83" w:rsidR="00753424" w:rsidRPr="0083505F" w:rsidRDefault="00753424" w:rsidP="0083505F">
      <w:pPr>
        <w:adjustRightInd w:val="0"/>
        <w:snapToGrid w:val="0"/>
        <w:spacing w:after="0" w:line="240" w:lineRule="auto"/>
        <w:ind w:firstLine="420"/>
        <w:rPr>
          <w:rFonts w:cs="Times New Roman"/>
          <w:sz w:val="21"/>
          <w:szCs w:val="21"/>
          <w:lang w:eastAsia="zh-CN"/>
        </w:rPr>
      </w:pPr>
      <w:r w:rsidRPr="0083505F">
        <w:rPr>
          <w:rFonts w:cs="Times New Roman"/>
          <w:sz w:val="21"/>
          <w:szCs w:val="21"/>
          <w:lang w:eastAsia="zh-CN"/>
        </w:rPr>
        <w:t>CHO</w:t>
      </w:r>
      <w:r w:rsidRPr="0083505F">
        <w:rPr>
          <w:rFonts w:cs="Times New Roman" w:hint="eastAsia"/>
          <w:sz w:val="21"/>
          <w:szCs w:val="21"/>
          <w:lang w:eastAsia="zh-CN"/>
        </w:rPr>
        <w:t>：中国仓鼠卵巢细胞</w:t>
      </w:r>
      <w:r w:rsidR="00E4666A" w:rsidRPr="0083505F">
        <w:rPr>
          <w:rFonts w:cs="Times New Roman" w:hint="eastAsia"/>
          <w:sz w:val="21"/>
          <w:szCs w:val="21"/>
          <w:lang w:eastAsia="zh-CN"/>
        </w:rPr>
        <w:t>；</w:t>
      </w:r>
      <w:r w:rsidRPr="0083505F">
        <w:rPr>
          <w:rFonts w:cs="Times New Roman"/>
          <w:sz w:val="21"/>
          <w:szCs w:val="21"/>
          <w:lang w:eastAsia="zh-CN"/>
        </w:rPr>
        <w:t>HEK293</w:t>
      </w:r>
      <w:r w:rsidRPr="0083505F">
        <w:rPr>
          <w:rFonts w:cs="Times New Roman" w:hint="eastAsia"/>
          <w:sz w:val="21"/>
          <w:szCs w:val="21"/>
          <w:lang w:eastAsia="zh-CN"/>
        </w:rPr>
        <w:t>：人胚肾</w:t>
      </w:r>
      <w:r w:rsidRPr="0083505F">
        <w:rPr>
          <w:rFonts w:cs="Times New Roman"/>
          <w:sz w:val="21"/>
          <w:szCs w:val="21"/>
          <w:lang w:eastAsia="zh-CN"/>
        </w:rPr>
        <w:t>293</w:t>
      </w:r>
      <w:r w:rsidRPr="0083505F">
        <w:rPr>
          <w:rFonts w:cs="Times New Roman" w:hint="eastAsia"/>
          <w:sz w:val="21"/>
          <w:szCs w:val="21"/>
          <w:lang w:eastAsia="zh-CN"/>
        </w:rPr>
        <w:t>细胞</w:t>
      </w:r>
      <w:r w:rsidR="00E4666A" w:rsidRPr="0083505F">
        <w:rPr>
          <w:rFonts w:cs="Times New Roman" w:hint="eastAsia"/>
          <w:sz w:val="21"/>
          <w:szCs w:val="21"/>
          <w:lang w:eastAsia="zh-CN"/>
        </w:rPr>
        <w:t>；</w:t>
      </w:r>
      <w:r w:rsidRPr="0083505F">
        <w:rPr>
          <w:rFonts w:cs="Times New Roman"/>
          <w:sz w:val="21"/>
          <w:szCs w:val="21"/>
          <w:lang w:eastAsia="zh-CN"/>
        </w:rPr>
        <w:t>LLC-PK1</w:t>
      </w:r>
      <w:r w:rsidRPr="0083505F">
        <w:rPr>
          <w:rFonts w:cs="Times New Roman" w:hint="eastAsia"/>
          <w:sz w:val="21"/>
          <w:szCs w:val="21"/>
          <w:lang w:eastAsia="zh-CN"/>
        </w:rPr>
        <w:t>：</w:t>
      </w:r>
      <w:r w:rsidRPr="0083505F">
        <w:rPr>
          <w:rFonts w:cs="Times New Roman"/>
          <w:sz w:val="21"/>
          <w:szCs w:val="21"/>
          <w:lang w:eastAsia="zh-CN"/>
        </w:rPr>
        <w:t>Lewis</w:t>
      </w:r>
      <w:r w:rsidRPr="0083505F">
        <w:rPr>
          <w:rFonts w:cs="Times New Roman" w:hint="eastAsia"/>
          <w:sz w:val="21"/>
          <w:szCs w:val="21"/>
          <w:lang w:eastAsia="zh-CN"/>
        </w:rPr>
        <w:t>肺癌猪肾</w:t>
      </w:r>
      <w:r w:rsidRPr="0083505F">
        <w:rPr>
          <w:rFonts w:cs="Times New Roman"/>
          <w:sz w:val="21"/>
          <w:szCs w:val="21"/>
          <w:lang w:eastAsia="zh-CN"/>
        </w:rPr>
        <w:t>1</w:t>
      </w:r>
      <w:r w:rsidRPr="0083505F">
        <w:rPr>
          <w:rFonts w:cs="Times New Roman" w:hint="eastAsia"/>
          <w:sz w:val="21"/>
          <w:szCs w:val="21"/>
          <w:lang w:eastAsia="zh-CN"/>
        </w:rPr>
        <w:t>细胞</w:t>
      </w:r>
      <w:r w:rsidR="00E4666A" w:rsidRPr="0083505F">
        <w:rPr>
          <w:rFonts w:cs="Times New Roman" w:hint="eastAsia"/>
          <w:sz w:val="21"/>
          <w:szCs w:val="21"/>
          <w:lang w:eastAsia="zh-CN"/>
        </w:rPr>
        <w:t>；</w:t>
      </w:r>
      <w:r w:rsidRPr="0083505F">
        <w:rPr>
          <w:rFonts w:cs="Times New Roman"/>
          <w:sz w:val="21"/>
          <w:szCs w:val="21"/>
          <w:lang w:eastAsia="zh-CN"/>
        </w:rPr>
        <w:t>MDCK</w:t>
      </w:r>
      <w:r w:rsidRPr="0083505F">
        <w:rPr>
          <w:rFonts w:cs="Times New Roman" w:hint="eastAsia"/>
          <w:sz w:val="21"/>
          <w:szCs w:val="21"/>
          <w:lang w:eastAsia="zh-CN"/>
        </w:rPr>
        <w:t>：</w:t>
      </w:r>
      <w:proofErr w:type="spellStart"/>
      <w:r w:rsidRPr="0083505F">
        <w:rPr>
          <w:rFonts w:cs="Times New Roman"/>
          <w:sz w:val="21"/>
          <w:szCs w:val="21"/>
          <w:lang w:eastAsia="zh-CN"/>
        </w:rPr>
        <w:t>Madin</w:t>
      </w:r>
      <w:proofErr w:type="spellEnd"/>
      <w:r w:rsidRPr="0083505F">
        <w:rPr>
          <w:rFonts w:cs="Times New Roman"/>
          <w:sz w:val="21"/>
          <w:szCs w:val="21"/>
          <w:lang w:eastAsia="zh-CN"/>
        </w:rPr>
        <w:t>-Darby</w:t>
      </w:r>
      <w:r w:rsidRPr="0083505F">
        <w:rPr>
          <w:rFonts w:cs="Times New Roman" w:hint="eastAsia"/>
          <w:sz w:val="21"/>
          <w:szCs w:val="21"/>
          <w:lang w:eastAsia="zh-CN"/>
        </w:rPr>
        <w:t>犬肾细胞</w:t>
      </w:r>
      <w:r w:rsidR="00E4666A" w:rsidRPr="0083505F">
        <w:rPr>
          <w:rFonts w:cs="Times New Roman" w:hint="eastAsia"/>
          <w:sz w:val="21"/>
          <w:szCs w:val="21"/>
          <w:lang w:eastAsia="zh-CN"/>
        </w:rPr>
        <w:t>；</w:t>
      </w:r>
      <w:r w:rsidRPr="0083505F">
        <w:rPr>
          <w:rFonts w:cs="Times New Roman"/>
          <w:sz w:val="21"/>
          <w:szCs w:val="21"/>
          <w:lang w:eastAsia="zh-CN"/>
        </w:rPr>
        <w:t>*MATEs</w:t>
      </w:r>
      <w:r w:rsidRPr="0083505F">
        <w:rPr>
          <w:rFonts w:cs="Times New Roman" w:hint="eastAsia"/>
          <w:sz w:val="21"/>
          <w:szCs w:val="21"/>
          <w:lang w:eastAsia="zh-CN"/>
        </w:rPr>
        <w:t>的功能取决于来自相反方向的质子梯度的驱动力；因此，</w:t>
      </w:r>
      <w:r w:rsidRPr="0083505F">
        <w:rPr>
          <w:rFonts w:cs="Times New Roman"/>
          <w:sz w:val="21"/>
          <w:szCs w:val="21"/>
          <w:lang w:eastAsia="zh-CN"/>
        </w:rPr>
        <w:t>MATE</w:t>
      </w:r>
      <w:r w:rsidRPr="0083505F">
        <w:rPr>
          <w:rFonts w:cs="Times New Roman" w:hint="eastAsia"/>
          <w:sz w:val="21"/>
          <w:szCs w:val="21"/>
          <w:lang w:eastAsia="zh-CN"/>
        </w:rPr>
        <w:t>测定系统应采用合适的</w:t>
      </w:r>
      <w:r w:rsidRPr="0083505F">
        <w:rPr>
          <w:rFonts w:cs="Times New Roman"/>
          <w:sz w:val="21"/>
          <w:szCs w:val="21"/>
          <w:lang w:eastAsia="zh-CN"/>
        </w:rPr>
        <w:t>pH</w:t>
      </w:r>
      <w:r w:rsidRPr="0083505F">
        <w:rPr>
          <w:rFonts w:cs="Times New Roman" w:hint="eastAsia"/>
          <w:sz w:val="21"/>
          <w:szCs w:val="21"/>
          <w:lang w:eastAsia="zh-CN"/>
        </w:rPr>
        <w:t>值。</w:t>
      </w:r>
    </w:p>
    <w:p w14:paraId="086EA566" w14:textId="790BF2F9" w:rsidR="00753424" w:rsidRPr="0083505F" w:rsidRDefault="00753424" w:rsidP="00593FAB">
      <w:pPr>
        <w:spacing w:after="0"/>
        <w:ind w:firstLine="640"/>
        <w:rPr>
          <w:rFonts w:cs="Times New Roman"/>
          <w:lang w:eastAsia="zh-CN"/>
        </w:rPr>
      </w:pPr>
      <w:r w:rsidRPr="0083505F">
        <w:rPr>
          <w:rFonts w:cs="Times New Roman" w:hint="eastAsia"/>
          <w:lang w:eastAsia="zh-CN"/>
        </w:rPr>
        <w:t>下文描述了用于研究转运体</w:t>
      </w:r>
      <w:proofErr w:type="gramStart"/>
      <w:r w:rsidRPr="0083505F">
        <w:rPr>
          <w:rFonts w:cs="Times New Roman" w:hint="eastAsia"/>
          <w:lang w:eastAsia="zh-CN"/>
        </w:rPr>
        <w:t>介</w:t>
      </w:r>
      <w:proofErr w:type="gramEnd"/>
      <w:r w:rsidRPr="0083505F">
        <w:rPr>
          <w:rFonts w:cs="Times New Roman" w:hint="eastAsia"/>
          <w:lang w:eastAsia="zh-CN"/>
        </w:rPr>
        <w:t>导的</w:t>
      </w:r>
      <w:r w:rsidR="00EB6BE3" w:rsidRPr="0083505F">
        <w:rPr>
          <w:rFonts w:cs="Times New Roman"/>
          <w:lang w:eastAsia="zh-CN"/>
        </w:rPr>
        <w:t>DDI</w:t>
      </w:r>
      <w:r w:rsidRPr="0083505F">
        <w:rPr>
          <w:rFonts w:cs="Times New Roman" w:hint="eastAsia"/>
          <w:lang w:eastAsia="zh-CN"/>
        </w:rPr>
        <w:t>的体外测试系统的详细信息：</w:t>
      </w:r>
    </w:p>
    <w:p w14:paraId="15158299" w14:textId="62B13D5E" w:rsidR="00753424" w:rsidRPr="0083505F" w:rsidRDefault="00EB6BE3" w:rsidP="00593FAB">
      <w:pPr>
        <w:spacing w:after="0"/>
        <w:ind w:firstLine="640"/>
        <w:rPr>
          <w:rFonts w:cs="Times New Roman"/>
          <w:lang w:eastAsia="zh-CN"/>
        </w:rPr>
      </w:pPr>
      <w:r w:rsidRPr="0083505F">
        <w:rPr>
          <w:rFonts w:cs="Times New Roman" w:hint="eastAsia"/>
          <w:lang w:eastAsia="zh-CN"/>
        </w:rPr>
        <w:t>（</w:t>
      </w:r>
      <w:r w:rsidRPr="0083505F">
        <w:rPr>
          <w:rFonts w:cs="Times New Roman"/>
          <w:lang w:eastAsia="zh-CN"/>
        </w:rPr>
        <w:t>1</w:t>
      </w:r>
      <w:r w:rsidRPr="0083505F">
        <w:rPr>
          <w:rFonts w:cs="Times New Roman" w:hint="eastAsia"/>
          <w:lang w:eastAsia="zh-CN"/>
        </w:rPr>
        <w:t>）</w:t>
      </w:r>
      <w:r w:rsidR="00753424" w:rsidRPr="0083505F">
        <w:rPr>
          <w:rFonts w:cs="Times New Roman" w:hint="eastAsia"/>
          <w:lang w:eastAsia="zh-CN"/>
        </w:rPr>
        <w:t>膜囊泡：如果使用由内向外的膜囊泡体外系统评估</w:t>
      </w:r>
      <w:r w:rsidRPr="0083505F">
        <w:rPr>
          <w:rFonts w:cs="Times New Roman" w:hint="eastAsia"/>
          <w:lang w:eastAsia="zh-CN"/>
        </w:rPr>
        <w:t>在</w:t>
      </w:r>
      <w:proofErr w:type="gramStart"/>
      <w:r w:rsidRPr="0083505F">
        <w:rPr>
          <w:rFonts w:cs="Times New Roman" w:hint="eastAsia"/>
          <w:lang w:eastAsia="zh-CN"/>
        </w:rPr>
        <w:t>研</w:t>
      </w:r>
      <w:proofErr w:type="gramEnd"/>
      <w:r w:rsidRPr="0083505F">
        <w:rPr>
          <w:rFonts w:cs="Times New Roman" w:hint="eastAsia"/>
          <w:lang w:eastAsia="zh-CN"/>
        </w:rPr>
        <w:t>药物</w:t>
      </w:r>
      <w:r w:rsidR="00753424" w:rsidRPr="0083505F">
        <w:rPr>
          <w:rFonts w:cs="Times New Roman" w:hint="eastAsia"/>
          <w:lang w:eastAsia="zh-CN"/>
        </w:rPr>
        <w:t>是否是</w:t>
      </w:r>
      <w:r w:rsidR="00753424" w:rsidRPr="0083505F">
        <w:rPr>
          <w:rFonts w:cs="Times New Roman"/>
          <w:lang w:eastAsia="zh-CN"/>
        </w:rPr>
        <w:t>P-</w:t>
      </w:r>
      <w:proofErr w:type="spellStart"/>
      <w:r w:rsidR="00753424" w:rsidRPr="0083505F">
        <w:rPr>
          <w:rFonts w:cs="Times New Roman"/>
          <w:lang w:eastAsia="zh-CN"/>
        </w:rPr>
        <w:t>gp</w:t>
      </w:r>
      <w:proofErr w:type="spellEnd"/>
      <w:r w:rsidR="00753424" w:rsidRPr="0083505F">
        <w:rPr>
          <w:rFonts w:cs="Times New Roman" w:hint="eastAsia"/>
          <w:lang w:eastAsia="zh-CN"/>
        </w:rPr>
        <w:t>或</w:t>
      </w:r>
      <w:r w:rsidR="00753424" w:rsidRPr="0083505F">
        <w:rPr>
          <w:rFonts w:cs="Times New Roman"/>
          <w:lang w:eastAsia="zh-CN"/>
        </w:rPr>
        <w:t>BCRP</w:t>
      </w:r>
      <w:r w:rsidR="00753424" w:rsidRPr="0083505F">
        <w:rPr>
          <w:rFonts w:cs="Times New Roman" w:hint="eastAsia"/>
          <w:lang w:eastAsia="zh-CN"/>
        </w:rPr>
        <w:t>的底物或抑制剂，当底物为高渗透性药物时可能无法进行鉴定。使用膜囊泡的分析应直接测定三磷酸腺苷（</w:t>
      </w:r>
      <w:r w:rsidR="00753424" w:rsidRPr="0083505F">
        <w:rPr>
          <w:rFonts w:cs="Times New Roman"/>
          <w:lang w:eastAsia="zh-CN"/>
        </w:rPr>
        <w:t>adenosine triphosphate</w:t>
      </w:r>
      <w:r w:rsidR="00753424" w:rsidRPr="0083505F">
        <w:rPr>
          <w:rFonts w:cs="Times New Roman" w:hint="eastAsia"/>
          <w:lang w:eastAsia="zh-CN"/>
        </w:rPr>
        <w:t>，</w:t>
      </w:r>
      <w:r w:rsidR="00753424" w:rsidRPr="0083505F">
        <w:rPr>
          <w:rFonts w:cs="Times New Roman"/>
          <w:lang w:eastAsia="zh-CN"/>
        </w:rPr>
        <w:t>ATP</w:t>
      </w:r>
      <w:r w:rsidR="00753424" w:rsidRPr="0083505F">
        <w:rPr>
          <w:rFonts w:cs="Times New Roman" w:hint="eastAsia"/>
          <w:lang w:eastAsia="zh-CN"/>
        </w:rPr>
        <w:t>）依赖性、转运体</w:t>
      </w:r>
      <w:proofErr w:type="gramStart"/>
      <w:r w:rsidR="00753424" w:rsidRPr="0083505F">
        <w:rPr>
          <w:rFonts w:cs="Times New Roman" w:hint="eastAsia"/>
          <w:lang w:eastAsia="zh-CN"/>
        </w:rPr>
        <w:t>介</w:t>
      </w:r>
      <w:proofErr w:type="gramEnd"/>
      <w:r w:rsidR="00753424" w:rsidRPr="0083505F">
        <w:rPr>
          <w:rFonts w:cs="Times New Roman" w:hint="eastAsia"/>
          <w:lang w:eastAsia="zh-CN"/>
        </w:rPr>
        <w:t>导的药物摄取。</w:t>
      </w:r>
    </w:p>
    <w:p w14:paraId="46ACCC8F" w14:textId="7716428D" w:rsidR="00753424" w:rsidRPr="0083505F" w:rsidRDefault="00EB6BE3" w:rsidP="00593FAB">
      <w:pPr>
        <w:spacing w:after="0"/>
        <w:ind w:firstLine="640"/>
        <w:rPr>
          <w:rFonts w:cs="Times New Roman"/>
          <w:color w:val="FF0000"/>
          <w:lang w:eastAsia="zh-CN"/>
        </w:rPr>
      </w:pPr>
      <w:r w:rsidRPr="0083505F">
        <w:rPr>
          <w:rFonts w:cs="Times New Roman" w:hint="eastAsia"/>
          <w:lang w:eastAsia="zh-CN"/>
        </w:rPr>
        <w:lastRenderedPageBreak/>
        <w:t>（</w:t>
      </w:r>
      <w:r w:rsidRPr="0083505F">
        <w:rPr>
          <w:rFonts w:cs="Times New Roman"/>
          <w:lang w:eastAsia="zh-CN"/>
        </w:rPr>
        <w:t>2</w:t>
      </w:r>
      <w:r w:rsidRPr="0083505F">
        <w:rPr>
          <w:rFonts w:cs="Times New Roman" w:hint="eastAsia"/>
          <w:lang w:eastAsia="zh-CN"/>
        </w:rPr>
        <w:t>）</w:t>
      </w:r>
      <w:r w:rsidR="00753424" w:rsidRPr="0083505F">
        <w:rPr>
          <w:rFonts w:cs="Times New Roman" w:hint="eastAsia"/>
          <w:lang w:eastAsia="zh-CN"/>
        </w:rPr>
        <w:t>基于细胞系统的双向转运分析：双向测定法评估</w:t>
      </w:r>
      <w:r w:rsidRPr="0083505F">
        <w:rPr>
          <w:rFonts w:cs="Times New Roman" w:hint="eastAsia"/>
          <w:lang w:eastAsia="zh-CN"/>
        </w:rPr>
        <w:t>在</w:t>
      </w:r>
      <w:proofErr w:type="gramStart"/>
      <w:r w:rsidRPr="0083505F">
        <w:rPr>
          <w:rFonts w:cs="Times New Roman" w:hint="eastAsia"/>
          <w:lang w:eastAsia="zh-CN"/>
        </w:rPr>
        <w:t>研</w:t>
      </w:r>
      <w:proofErr w:type="gramEnd"/>
      <w:r w:rsidRPr="0083505F">
        <w:rPr>
          <w:rFonts w:cs="Times New Roman" w:hint="eastAsia"/>
          <w:lang w:eastAsia="zh-CN"/>
        </w:rPr>
        <w:t>药物</w:t>
      </w:r>
      <w:r w:rsidR="00753424" w:rsidRPr="0083505F">
        <w:rPr>
          <w:rFonts w:cs="Times New Roman" w:hint="eastAsia"/>
          <w:lang w:eastAsia="zh-CN"/>
        </w:rPr>
        <w:t>是否是外排转运体如</w:t>
      </w:r>
      <w:r w:rsidR="00753424" w:rsidRPr="0083505F">
        <w:rPr>
          <w:rFonts w:cs="Times New Roman"/>
          <w:lang w:eastAsia="zh-CN"/>
        </w:rPr>
        <w:t>P-</w:t>
      </w:r>
      <w:proofErr w:type="spellStart"/>
      <w:r w:rsidR="00753424" w:rsidRPr="0083505F">
        <w:rPr>
          <w:rFonts w:cs="Times New Roman"/>
          <w:lang w:eastAsia="zh-CN"/>
        </w:rPr>
        <w:t>gp</w:t>
      </w:r>
      <w:proofErr w:type="spellEnd"/>
      <w:r w:rsidR="00753424" w:rsidRPr="0083505F">
        <w:rPr>
          <w:rFonts w:cs="Times New Roman" w:hint="eastAsia"/>
          <w:lang w:eastAsia="zh-CN"/>
        </w:rPr>
        <w:t>或</w:t>
      </w:r>
      <w:r w:rsidR="00753424" w:rsidRPr="0083505F">
        <w:rPr>
          <w:rFonts w:cs="Times New Roman"/>
          <w:lang w:eastAsia="zh-CN"/>
        </w:rPr>
        <w:t>BCRP</w:t>
      </w:r>
      <w:r w:rsidR="00753424" w:rsidRPr="0083505F">
        <w:rPr>
          <w:rFonts w:cs="Times New Roman" w:hint="eastAsia"/>
          <w:lang w:eastAsia="zh-CN"/>
        </w:rPr>
        <w:t>的底物或抑制剂。细胞在具有顶端（</w:t>
      </w:r>
      <w:r w:rsidR="00753424" w:rsidRPr="0083505F">
        <w:rPr>
          <w:rFonts w:cs="Times New Roman"/>
          <w:lang w:eastAsia="zh-CN"/>
        </w:rPr>
        <w:t>apical</w:t>
      </w:r>
      <w:r w:rsidR="00753424" w:rsidRPr="0083505F">
        <w:rPr>
          <w:rFonts w:cs="Times New Roman" w:hint="eastAsia"/>
          <w:lang w:eastAsia="zh-CN"/>
        </w:rPr>
        <w:t>，</w:t>
      </w:r>
      <w:r w:rsidR="00753424" w:rsidRPr="0083505F">
        <w:rPr>
          <w:rFonts w:cs="Times New Roman"/>
          <w:lang w:eastAsia="zh-CN"/>
        </w:rPr>
        <w:t>AP</w:t>
      </w:r>
      <w:r w:rsidR="00753424" w:rsidRPr="0083505F">
        <w:rPr>
          <w:rFonts w:cs="Times New Roman" w:hint="eastAsia"/>
          <w:lang w:eastAsia="zh-CN"/>
        </w:rPr>
        <w:t>）和基底外侧（</w:t>
      </w:r>
      <w:r w:rsidR="00753424" w:rsidRPr="0083505F">
        <w:rPr>
          <w:rFonts w:cs="Times New Roman"/>
          <w:lang w:eastAsia="zh-CN"/>
        </w:rPr>
        <w:t>basolateral</w:t>
      </w:r>
      <w:r w:rsidR="00753424" w:rsidRPr="0083505F">
        <w:rPr>
          <w:rFonts w:cs="Times New Roman" w:hint="eastAsia"/>
          <w:lang w:eastAsia="zh-CN"/>
        </w:rPr>
        <w:t>，</w:t>
      </w:r>
      <w:r w:rsidR="00753424" w:rsidRPr="0083505F">
        <w:rPr>
          <w:rFonts w:cs="Times New Roman"/>
          <w:lang w:eastAsia="zh-CN"/>
        </w:rPr>
        <w:t>BL</w:t>
      </w:r>
      <w:r w:rsidR="00753424" w:rsidRPr="0083505F">
        <w:rPr>
          <w:rFonts w:cs="Times New Roman" w:hint="eastAsia"/>
          <w:lang w:eastAsia="zh-CN"/>
        </w:rPr>
        <w:t>）</w:t>
      </w:r>
      <w:r w:rsidRPr="009E464F">
        <w:rPr>
          <w:rFonts w:cs="Times New Roman"/>
          <w:lang w:eastAsia="zh-CN"/>
        </w:rPr>
        <w:t>结构的小室中单层生长，小室的底部有一层具有通透性的膜，膜上有微孔。</w:t>
      </w:r>
      <w:r w:rsidR="00753424" w:rsidRPr="0083505F">
        <w:rPr>
          <w:rFonts w:cs="Times New Roman" w:hint="eastAsia"/>
          <w:lang w:eastAsia="zh-CN"/>
        </w:rPr>
        <w:t>将试验药添加到单层细胞的</w:t>
      </w:r>
      <w:r w:rsidR="00753424" w:rsidRPr="0083505F">
        <w:rPr>
          <w:rFonts w:cs="Times New Roman"/>
          <w:lang w:eastAsia="zh-CN"/>
        </w:rPr>
        <w:t>AP</w:t>
      </w:r>
      <w:r w:rsidR="00753424" w:rsidRPr="0083505F">
        <w:rPr>
          <w:rFonts w:cs="Times New Roman" w:hint="eastAsia"/>
          <w:lang w:eastAsia="zh-CN"/>
        </w:rPr>
        <w:t>或</w:t>
      </w:r>
      <w:r w:rsidR="00753424" w:rsidRPr="0083505F">
        <w:rPr>
          <w:rFonts w:cs="Times New Roman"/>
          <w:lang w:eastAsia="zh-CN"/>
        </w:rPr>
        <w:t>BL</w:t>
      </w:r>
      <w:r w:rsidR="00753424" w:rsidRPr="0083505F">
        <w:rPr>
          <w:rFonts w:cs="Times New Roman" w:hint="eastAsia"/>
          <w:lang w:eastAsia="zh-CN"/>
        </w:rPr>
        <w:t>侧，随着时间的推移测量通过单层细胞渗透入接收室中的药量。应在</w:t>
      </w:r>
      <w:r w:rsidR="00753424" w:rsidRPr="0083505F">
        <w:rPr>
          <w:rFonts w:cs="Times New Roman"/>
          <w:lang w:eastAsia="zh-CN"/>
        </w:rPr>
        <w:t>AP</w:t>
      </w:r>
      <w:r w:rsidR="00753424" w:rsidRPr="0083505F">
        <w:rPr>
          <w:rFonts w:cs="Times New Roman" w:hint="eastAsia"/>
          <w:lang w:eastAsia="zh-CN"/>
        </w:rPr>
        <w:t>→</w:t>
      </w:r>
      <w:r w:rsidR="00753424" w:rsidRPr="0083505F">
        <w:rPr>
          <w:rFonts w:cs="Times New Roman"/>
          <w:lang w:eastAsia="zh-CN"/>
        </w:rPr>
        <w:t>BL</w:t>
      </w:r>
      <w:r w:rsidR="00753424" w:rsidRPr="0083505F">
        <w:rPr>
          <w:rFonts w:cs="Times New Roman" w:hint="eastAsia"/>
          <w:lang w:eastAsia="zh-CN"/>
        </w:rPr>
        <w:t>（吸收）和</w:t>
      </w:r>
      <w:r w:rsidR="00753424" w:rsidRPr="0083505F">
        <w:rPr>
          <w:rFonts w:cs="Times New Roman"/>
          <w:lang w:eastAsia="zh-CN"/>
        </w:rPr>
        <w:t>BL</w:t>
      </w:r>
      <w:r w:rsidR="00753424" w:rsidRPr="0083505F">
        <w:rPr>
          <w:rFonts w:cs="Times New Roman" w:hint="eastAsia"/>
          <w:lang w:eastAsia="zh-CN"/>
        </w:rPr>
        <w:t>→</w:t>
      </w:r>
      <w:r w:rsidR="00753424" w:rsidRPr="0083505F">
        <w:rPr>
          <w:rFonts w:cs="Times New Roman"/>
          <w:lang w:eastAsia="zh-CN"/>
        </w:rPr>
        <w:t>AP</w:t>
      </w:r>
      <w:r w:rsidR="00753424" w:rsidRPr="0083505F">
        <w:rPr>
          <w:rFonts w:cs="Times New Roman" w:hint="eastAsia"/>
          <w:lang w:eastAsia="zh-CN"/>
        </w:rPr>
        <w:t>（流出）两个方向上计算药物的表观渗透率（</w:t>
      </w:r>
      <w:r w:rsidR="00753424" w:rsidRPr="0083505F">
        <w:rPr>
          <w:rFonts w:cs="Times New Roman"/>
          <w:lang w:eastAsia="zh-CN"/>
        </w:rPr>
        <w:t>apparent permeability</w:t>
      </w:r>
      <w:r w:rsidR="00753424" w:rsidRPr="0083505F">
        <w:rPr>
          <w:rFonts w:cs="Times New Roman" w:hint="eastAsia"/>
          <w:lang w:eastAsia="zh-CN"/>
        </w:rPr>
        <w:t>，</w:t>
      </w:r>
      <w:r w:rsidR="00753424" w:rsidRPr="0083505F">
        <w:rPr>
          <w:rFonts w:cs="Times New Roman"/>
          <w:lang w:eastAsia="zh-CN"/>
        </w:rPr>
        <w:t>P</w:t>
      </w:r>
      <w:r w:rsidR="00753424" w:rsidRPr="0083505F">
        <w:rPr>
          <w:rFonts w:cs="Times New Roman"/>
          <w:vertAlign w:val="subscript"/>
          <w:lang w:eastAsia="zh-CN"/>
        </w:rPr>
        <w:t>app</w:t>
      </w:r>
      <w:r w:rsidR="00753424" w:rsidRPr="0083505F">
        <w:rPr>
          <w:rFonts w:cs="Times New Roman" w:hint="eastAsia"/>
          <w:lang w:eastAsia="zh-CN"/>
        </w:rPr>
        <w:t>），并根据</w:t>
      </w:r>
      <w:r w:rsidR="00753424" w:rsidRPr="0083505F">
        <w:rPr>
          <w:rFonts w:cs="Times New Roman"/>
          <w:lang w:eastAsia="zh-CN"/>
        </w:rPr>
        <w:t>BL</w:t>
      </w:r>
      <w:r w:rsidR="00753424" w:rsidRPr="0083505F">
        <w:rPr>
          <w:rFonts w:cs="Times New Roman" w:hint="eastAsia"/>
          <w:lang w:eastAsia="zh-CN"/>
        </w:rPr>
        <w:t>→</w:t>
      </w:r>
      <w:r w:rsidR="00753424" w:rsidRPr="0083505F">
        <w:rPr>
          <w:rFonts w:cs="Times New Roman"/>
          <w:lang w:eastAsia="zh-CN"/>
        </w:rPr>
        <w:t>AP</w:t>
      </w:r>
      <w:r w:rsidR="00753424" w:rsidRPr="0083505F">
        <w:rPr>
          <w:rFonts w:cs="Times New Roman" w:hint="eastAsia"/>
          <w:lang w:eastAsia="zh-CN"/>
        </w:rPr>
        <w:t>与</w:t>
      </w:r>
      <w:r w:rsidR="00753424" w:rsidRPr="0083505F">
        <w:rPr>
          <w:rFonts w:cs="Times New Roman"/>
          <w:lang w:eastAsia="zh-CN"/>
        </w:rPr>
        <w:t>AP</w:t>
      </w:r>
      <w:r w:rsidR="00753424" w:rsidRPr="0083505F">
        <w:rPr>
          <w:rFonts w:cs="Times New Roman" w:hint="eastAsia"/>
          <w:lang w:eastAsia="zh-CN"/>
        </w:rPr>
        <w:t>→</w:t>
      </w:r>
      <w:r w:rsidR="00753424" w:rsidRPr="0083505F">
        <w:rPr>
          <w:rFonts w:cs="Times New Roman"/>
          <w:lang w:eastAsia="zh-CN"/>
        </w:rPr>
        <w:t>BL</w:t>
      </w:r>
      <w:r w:rsidR="00753424" w:rsidRPr="0083505F">
        <w:rPr>
          <w:rFonts w:cs="Times New Roman" w:hint="eastAsia"/>
          <w:lang w:eastAsia="zh-CN"/>
        </w:rPr>
        <w:t>的</w:t>
      </w:r>
      <w:r w:rsidR="00753424" w:rsidRPr="0083505F">
        <w:rPr>
          <w:rFonts w:cs="Times New Roman"/>
          <w:lang w:eastAsia="zh-CN"/>
        </w:rPr>
        <w:t>Papp</w:t>
      </w:r>
      <w:r w:rsidR="00753424" w:rsidRPr="0083505F">
        <w:rPr>
          <w:rFonts w:cs="Times New Roman" w:hint="eastAsia"/>
          <w:lang w:eastAsia="zh-CN"/>
        </w:rPr>
        <w:t>值的比值计算底物的外排率</w:t>
      </w:r>
      <w:r w:rsidRPr="009E464F">
        <w:rPr>
          <w:rFonts w:cs="Times New Roman"/>
          <w:lang w:eastAsia="zh-CN"/>
        </w:rPr>
        <w:t>（</w:t>
      </w:r>
      <w:r w:rsidRPr="009E464F">
        <w:rPr>
          <w:rFonts w:cs="Times New Roman"/>
          <w:lang w:eastAsia="zh-CN"/>
        </w:rPr>
        <w:t>Efflux ratio, ER</w:t>
      </w:r>
      <w:r w:rsidRPr="009E464F">
        <w:rPr>
          <w:rFonts w:cs="Times New Roman"/>
          <w:lang w:eastAsia="zh-CN"/>
        </w:rPr>
        <w:t>）</w:t>
      </w:r>
      <w:r w:rsidR="00753424" w:rsidRPr="0083505F">
        <w:rPr>
          <w:rFonts w:cs="Times New Roman" w:hint="eastAsia"/>
          <w:lang w:eastAsia="zh-CN"/>
        </w:rPr>
        <w:t>。</w:t>
      </w:r>
      <w:r w:rsidRPr="00ED1C86">
        <w:rPr>
          <w:rFonts w:cs="Times New Roman" w:hint="eastAsia"/>
          <w:lang w:eastAsia="zh-CN"/>
        </w:rPr>
        <w:t>对于细胞系计算其净外排率（</w:t>
      </w:r>
      <w:r w:rsidRPr="00ED1C86">
        <w:rPr>
          <w:rFonts w:cs="Times New Roman"/>
          <w:lang w:eastAsia="zh-CN"/>
        </w:rPr>
        <w:t>net ER</w:t>
      </w:r>
      <w:r w:rsidRPr="00ED1C86">
        <w:rPr>
          <w:rFonts w:cs="Times New Roman" w:hint="eastAsia"/>
          <w:lang w:eastAsia="zh-CN"/>
        </w:rPr>
        <w:t>），对于</w:t>
      </w:r>
      <w:r w:rsidRPr="00ED1C86">
        <w:rPr>
          <w:rFonts w:cs="Times New Roman"/>
          <w:lang w:eastAsia="zh-CN"/>
        </w:rPr>
        <w:t>Caco-2</w:t>
      </w:r>
      <w:r w:rsidRPr="00ED1C86">
        <w:rPr>
          <w:rFonts w:cs="Times New Roman" w:hint="eastAsia"/>
          <w:lang w:eastAsia="zh-CN"/>
        </w:rPr>
        <w:t>细胞则计算其</w:t>
      </w:r>
      <w:r w:rsidRPr="00ED1C86">
        <w:rPr>
          <w:rFonts w:cs="Times New Roman"/>
          <w:lang w:eastAsia="zh-CN"/>
        </w:rPr>
        <w:t>ER</w:t>
      </w:r>
      <w:r w:rsidRPr="00ED1C86">
        <w:rPr>
          <w:rFonts w:cs="Times New Roman" w:hint="eastAsia"/>
          <w:lang w:eastAsia="zh-CN"/>
        </w:rPr>
        <w:t>值；再使用强抑制剂观察该药物转运是否被显著抑制。其中，</w:t>
      </w:r>
      <w:r w:rsidRPr="00ED1C86">
        <w:rPr>
          <w:rFonts w:cs="Times New Roman"/>
          <w:lang w:eastAsia="zh-CN"/>
        </w:rPr>
        <w:t>ER</w:t>
      </w:r>
      <w:r w:rsidRPr="00ED1C86">
        <w:rPr>
          <w:rFonts w:cs="Times New Roman" w:hint="eastAsia"/>
          <w:lang w:eastAsia="zh-CN"/>
        </w:rPr>
        <w:t>＝</w:t>
      </w:r>
      <w:r w:rsidRPr="00ED1C86">
        <w:rPr>
          <w:rFonts w:cs="Times New Roman"/>
          <w:lang w:eastAsia="zh-CN"/>
        </w:rPr>
        <w:t>P</w:t>
      </w:r>
      <w:r w:rsidRPr="0083505F">
        <w:rPr>
          <w:rFonts w:cs="Times New Roman"/>
          <w:vertAlign w:val="subscript"/>
          <w:lang w:eastAsia="zh-CN"/>
        </w:rPr>
        <w:t>app</w:t>
      </w:r>
      <w:r w:rsidRPr="00ED1C86">
        <w:rPr>
          <w:rFonts w:cs="Times New Roman" w:hint="eastAsia"/>
          <w:lang w:eastAsia="zh-CN"/>
        </w:rPr>
        <w:t>（</w:t>
      </w:r>
      <w:r w:rsidRPr="00ED1C86">
        <w:rPr>
          <w:rFonts w:cs="Times New Roman"/>
          <w:lang w:eastAsia="zh-CN"/>
        </w:rPr>
        <w:t>BL</w:t>
      </w:r>
      <w:r w:rsidRPr="00ED1C86">
        <w:rPr>
          <w:rFonts w:cs="Times New Roman" w:hint="eastAsia"/>
          <w:lang w:eastAsia="zh-CN"/>
        </w:rPr>
        <w:t>→</w:t>
      </w:r>
      <w:r w:rsidRPr="00ED1C86">
        <w:rPr>
          <w:rFonts w:cs="Times New Roman"/>
          <w:lang w:eastAsia="zh-CN"/>
        </w:rPr>
        <w:t>AP</w:t>
      </w:r>
      <w:r w:rsidRPr="00ED1C86">
        <w:rPr>
          <w:rFonts w:cs="Times New Roman" w:hint="eastAsia"/>
          <w:lang w:eastAsia="zh-CN"/>
        </w:rPr>
        <w:t>）</w:t>
      </w:r>
      <w:r w:rsidRPr="00ED1C86">
        <w:rPr>
          <w:rFonts w:cs="Times New Roman"/>
          <w:lang w:eastAsia="zh-CN"/>
        </w:rPr>
        <w:t>/P</w:t>
      </w:r>
      <w:r w:rsidRPr="0083505F">
        <w:rPr>
          <w:rFonts w:cs="Times New Roman"/>
          <w:vertAlign w:val="subscript"/>
          <w:lang w:eastAsia="zh-CN"/>
        </w:rPr>
        <w:t>app</w:t>
      </w:r>
      <w:r w:rsidRPr="00ED1C86">
        <w:rPr>
          <w:rFonts w:cs="Times New Roman" w:hint="eastAsia"/>
          <w:lang w:eastAsia="zh-CN"/>
        </w:rPr>
        <w:t>（</w:t>
      </w:r>
      <w:r w:rsidRPr="00ED1C86">
        <w:rPr>
          <w:rFonts w:cs="Times New Roman"/>
          <w:lang w:eastAsia="zh-CN"/>
        </w:rPr>
        <w:t>AP</w:t>
      </w:r>
      <w:r w:rsidRPr="00ED1C86">
        <w:rPr>
          <w:rFonts w:cs="Times New Roman" w:hint="eastAsia"/>
          <w:lang w:eastAsia="zh-CN"/>
        </w:rPr>
        <w:t>→</w:t>
      </w:r>
      <w:r w:rsidRPr="00ED1C86">
        <w:rPr>
          <w:rFonts w:cs="Times New Roman"/>
          <w:lang w:eastAsia="zh-CN"/>
        </w:rPr>
        <w:t>BL</w:t>
      </w:r>
      <w:r w:rsidRPr="00ED1C86">
        <w:rPr>
          <w:rFonts w:cs="Times New Roman" w:hint="eastAsia"/>
          <w:lang w:eastAsia="zh-CN"/>
        </w:rPr>
        <w:t>）；</w:t>
      </w:r>
      <w:r w:rsidRPr="00ED1C86">
        <w:rPr>
          <w:rFonts w:cs="Times New Roman"/>
          <w:lang w:eastAsia="zh-CN"/>
        </w:rPr>
        <w:t>net ER=[</w:t>
      </w:r>
      <w:r w:rsidRPr="00ED1C86">
        <w:rPr>
          <w:rFonts w:cs="Times New Roman" w:hint="eastAsia"/>
          <w:lang w:eastAsia="zh-CN"/>
        </w:rPr>
        <w:t>（表达细胞的</w:t>
      </w:r>
      <w:r w:rsidRPr="00ED1C86">
        <w:rPr>
          <w:rFonts w:cs="Times New Roman"/>
          <w:lang w:eastAsia="zh-CN"/>
        </w:rPr>
        <w:t>ER</w:t>
      </w:r>
      <w:r w:rsidRPr="00ED1C86">
        <w:rPr>
          <w:rFonts w:cs="Times New Roman" w:hint="eastAsia"/>
          <w:lang w:eastAsia="zh-CN"/>
        </w:rPr>
        <w:t>）</w:t>
      </w:r>
      <w:r w:rsidRPr="00ED1C86">
        <w:rPr>
          <w:rFonts w:cs="Times New Roman"/>
          <w:lang w:eastAsia="zh-CN"/>
        </w:rPr>
        <w:t>/</w:t>
      </w:r>
      <w:r w:rsidRPr="00ED1C86">
        <w:rPr>
          <w:rFonts w:cs="Times New Roman" w:hint="eastAsia"/>
          <w:lang w:eastAsia="zh-CN"/>
        </w:rPr>
        <w:t>（非表达细胞的</w:t>
      </w:r>
      <w:r w:rsidRPr="00ED1C86">
        <w:rPr>
          <w:rFonts w:cs="Times New Roman"/>
          <w:lang w:eastAsia="zh-CN"/>
        </w:rPr>
        <w:t>ER</w:t>
      </w:r>
      <w:r w:rsidRPr="00ED1C86">
        <w:rPr>
          <w:rFonts w:cs="Times New Roman" w:hint="eastAsia"/>
          <w:lang w:eastAsia="zh-CN"/>
        </w:rPr>
        <w:t>）</w:t>
      </w:r>
      <w:r w:rsidRPr="00ED1C86">
        <w:rPr>
          <w:rFonts w:cs="Times New Roman"/>
          <w:lang w:eastAsia="zh-CN"/>
        </w:rPr>
        <w:t>]</w:t>
      </w:r>
      <w:r w:rsidRPr="00ED1C86">
        <w:rPr>
          <w:rFonts w:cs="Times New Roman" w:hint="eastAsia"/>
          <w:lang w:eastAsia="zh-CN"/>
        </w:rPr>
        <w:t>。</w:t>
      </w:r>
    </w:p>
    <w:p w14:paraId="68363CAA" w14:textId="51D2E158" w:rsidR="00753424" w:rsidRDefault="00A16DAE" w:rsidP="00593FAB">
      <w:pPr>
        <w:spacing w:after="0"/>
        <w:ind w:firstLine="640"/>
        <w:rPr>
          <w:rFonts w:cs="Times New Roman"/>
          <w:lang w:eastAsia="zh-CN"/>
        </w:rPr>
      </w:pPr>
      <w:r>
        <w:rPr>
          <w:rFonts w:cs="Times New Roman" w:hint="eastAsia"/>
          <w:lang w:eastAsia="zh-CN"/>
        </w:rPr>
        <w:t>（</w:t>
      </w:r>
      <w:r>
        <w:rPr>
          <w:rFonts w:cs="Times New Roman" w:hint="eastAsia"/>
          <w:lang w:eastAsia="zh-CN"/>
        </w:rPr>
        <w:t>3</w:t>
      </w:r>
      <w:r>
        <w:rPr>
          <w:rFonts w:cs="Times New Roman" w:hint="eastAsia"/>
          <w:lang w:eastAsia="zh-CN"/>
        </w:rPr>
        <w:t>）</w:t>
      </w:r>
      <w:r w:rsidR="00753424" w:rsidRPr="0083505F">
        <w:rPr>
          <w:rFonts w:cs="Times New Roman" w:hint="eastAsia"/>
          <w:lang w:eastAsia="zh-CN"/>
        </w:rPr>
        <w:t>基于细胞系统的摄取分析：摄取试验评估</w:t>
      </w:r>
      <w:r w:rsidR="00EB6BE3" w:rsidRPr="0083505F">
        <w:rPr>
          <w:rFonts w:cs="Times New Roman" w:hint="eastAsia"/>
          <w:lang w:eastAsia="zh-CN"/>
        </w:rPr>
        <w:t>在</w:t>
      </w:r>
      <w:proofErr w:type="gramStart"/>
      <w:r w:rsidR="00EB6BE3" w:rsidRPr="0083505F">
        <w:rPr>
          <w:rFonts w:cs="Times New Roman" w:hint="eastAsia"/>
          <w:lang w:eastAsia="zh-CN"/>
        </w:rPr>
        <w:t>研</w:t>
      </w:r>
      <w:proofErr w:type="gramEnd"/>
      <w:r w:rsidR="00EB6BE3" w:rsidRPr="0083505F">
        <w:rPr>
          <w:rFonts w:cs="Times New Roman" w:hint="eastAsia"/>
          <w:lang w:eastAsia="zh-CN"/>
        </w:rPr>
        <w:t>药物</w:t>
      </w:r>
      <w:r w:rsidR="00753424" w:rsidRPr="0083505F">
        <w:rPr>
          <w:rFonts w:cs="Times New Roman" w:hint="eastAsia"/>
          <w:lang w:eastAsia="zh-CN"/>
        </w:rPr>
        <w:t>是否是溶质载体（</w:t>
      </w:r>
      <w:r w:rsidR="00753424" w:rsidRPr="0083505F">
        <w:rPr>
          <w:rFonts w:cs="Times New Roman"/>
          <w:lang w:eastAsia="zh-CN"/>
        </w:rPr>
        <w:t>solute carrier</w:t>
      </w:r>
      <w:r w:rsidR="00753424" w:rsidRPr="0083505F">
        <w:rPr>
          <w:rFonts w:cs="Times New Roman" w:hint="eastAsia"/>
          <w:lang w:eastAsia="zh-CN"/>
        </w:rPr>
        <w:t>，</w:t>
      </w:r>
      <w:r w:rsidR="00753424" w:rsidRPr="0083505F">
        <w:rPr>
          <w:rFonts w:cs="Times New Roman"/>
          <w:lang w:eastAsia="zh-CN"/>
        </w:rPr>
        <w:t>SLC</w:t>
      </w:r>
      <w:r w:rsidR="00753424" w:rsidRPr="0083505F">
        <w:rPr>
          <w:rFonts w:cs="Times New Roman" w:hint="eastAsia"/>
          <w:lang w:eastAsia="zh-CN"/>
        </w:rPr>
        <w:t>）转运体的底物或抑制剂，如</w:t>
      </w:r>
      <w:r w:rsidR="00753424" w:rsidRPr="0083505F">
        <w:rPr>
          <w:rFonts w:cs="Times New Roman"/>
          <w:lang w:eastAsia="zh-CN"/>
        </w:rPr>
        <w:t>OCT</w:t>
      </w:r>
      <w:r w:rsidR="00753424" w:rsidRPr="0083505F">
        <w:rPr>
          <w:rFonts w:cs="Times New Roman" w:hint="eastAsia"/>
          <w:lang w:eastAsia="zh-CN"/>
        </w:rPr>
        <w:t>，</w:t>
      </w:r>
      <w:r w:rsidR="00753424" w:rsidRPr="0083505F">
        <w:rPr>
          <w:rFonts w:cs="Times New Roman"/>
          <w:lang w:eastAsia="zh-CN"/>
        </w:rPr>
        <w:t>OAT</w:t>
      </w:r>
      <w:r w:rsidR="00753424" w:rsidRPr="0083505F">
        <w:rPr>
          <w:rFonts w:cs="Times New Roman" w:hint="eastAsia"/>
          <w:lang w:eastAsia="zh-CN"/>
        </w:rPr>
        <w:t>，</w:t>
      </w:r>
      <w:r w:rsidR="00753424" w:rsidRPr="0083505F">
        <w:rPr>
          <w:rFonts w:cs="Times New Roman"/>
          <w:lang w:eastAsia="zh-CN"/>
        </w:rPr>
        <w:t>OATP</w:t>
      </w:r>
      <w:r w:rsidR="00753424" w:rsidRPr="0083505F">
        <w:rPr>
          <w:rFonts w:cs="Times New Roman" w:hint="eastAsia"/>
          <w:lang w:eastAsia="zh-CN"/>
        </w:rPr>
        <w:t>和</w:t>
      </w:r>
      <w:r w:rsidR="00753424" w:rsidRPr="0083505F">
        <w:rPr>
          <w:rFonts w:cs="Times New Roman"/>
          <w:lang w:eastAsia="zh-CN"/>
        </w:rPr>
        <w:t>MATE</w:t>
      </w:r>
      <w:r w:rsidR="00753424" w:rsidRPr="0083505F">
        <w:rPr>
          <w:rFonts w:cs="Times New Roman" w:hint="eastAsia"/>
          <w:lang w:eastAsia="zh-CN"/>
        </w:rPr>
        <w:t>。可使用人肝细胞或肝细胞系进行悬浮，铺板或夹层培养分析。</w:t>
      </w:r>
    </w:p>
    <w:p w14:paraId="7E3E0B07" w14:textId="51F63826" w:rsidR="00363E77" w:rsidRDefault="00363E77" w:rsidP="00593FAB">
      <w:pPr>
        <w:spacing w:after="0"/>
        <w:ind w:firstLine="640"/>
        <w:rPr>
          <w:rFonts w:cs="Times New Roman"/>
          <w:lang w:eastAsia="zh-CN"/>
        </w:rPr>
      </w:pPr>
      <w:r w:rsidRPr="0083505F">
        <w:rPr>
          <w:rFonts w:cs="Times New Roman" w:hint="eastAsia"/>
          <w:lang w:eastAsia="zh-CN"/>
        </w:rPr>
        <w:t>转染细胞需要先使用已知转运体底物验证，底物摄取量应为不表达该转运体细胞摄取量的</w:t>
      </w:r>
      <w:r w:rsidRPr="0083505F">
        <w:rPr>
          <w:rFonts w:cs="Times New Roman"/>
          <w:lang w:eastAsia="zh-CN"/>
        </w:rPr>
        <w:t>2</w:t>
      </w:r>
      <w:r w:rsidRPr="0083505F">
        <w:rPr>
          <w:rFonts w:cs="Times New Roman" w:hint="eastAsia"/>
          <w:lang w:eastAsia="zh-CN"/>
        </w:rPr>
        <w:t>倍以上，且该过程可被已知该转运体的抑制剂所抑制。</w:t>
      </w:r>
    </w:p>
    <w:p w14:paraId="768C24BD" w14:textId="6A5CACE7" w:rsidR="00FB41B6" w:rsidRPr="009E464F" w:rsidRDefault="00753424" w:rsidP="008663B1">
      <w:pPr>
        <w:spacing w:after="0"/>
        <w:ind w:firstLine="640"/>
        <w:rPr>
          <w:rFonts w:cs="Times New Roman"/>
          <w:lang w:eastAsia="zh-CN"/>
        </w:rPr>
      </w:pPr>
      <w:r>
        <w:rPr>
          <w:rFonts w:cs="Times New Roman"/>
          <w:lang w:eastAsia="zh-CN"/>
        </w:rPr>
        <w:t>2</w:t>
      </w:r>
      <w:r w:rsidR="00FB41B6" w:rsidRPr="009E464F">
        <w:rPr>
          <w:rFonts w:cs="Times New Roman"/>
          <w:lang w:eastAsia="zh-CN"/>
        </w:rPr>
        <w:t>.</w:t>
      </w:r>
      <w:r w:rsidR="00FB41B6">
        <w:rPr>
          <w:rFonts w:cs="Times New Roman" w:hint="eastAsia"/>
          <w:lang w:eastAsia="zh-CN"/>
        </w:rPr>
        <w:t>评估</w:t>
      </w:r>
      <w:r w:rsidR="00FB41B6" w:rsidRPr="009E464F">
        <w:rPr>
          <w:rFonts w:cs="Times New Roman"/>
          <w:lang w:eastAsia="zh-CN"/>
        </w:rPr>
        <w:t>在</w:t>
      </w:r>
      <w:proofErr w:type="gramStart"/>
      <w:r w:rsidR="00FB41B6" w:rsidRPr="009E464F">
        <w:rPr>
          <w:rFonts w:cs="Times New Roman"/>
          <w:lang w:eastAsia="zh-CN"/>
        </w:rPr>
        <w:t>研</w:t>
      </w:r>
      <w:proofErr w:type="gramEnd"/>
      <w:r w:rsidR="00FB41B6" w:rsidRPr="009E464F">
        <w:rPr>
          <w:rFonts w:cs="Times New Roman"/>
          <w:lang w:eastAsia="zh-CN"/>
        </w:rPr>
        <w:t>药物</w:t>
      </w:r>
      <w:r w:rsidR="00FB41B6">
        <w:rPr>
          <w:rFonts w:cs="Times New Roman"/>
          <w:lang w:eastAsia="zh-CN"/>
        </w:rPr>
        <w:t>是否</w:t>
      </w:r>
      <w:r w:rsidR="00FB41B6" w:rsidRPr="009E464F">
        <w:rPr>
          <w:rFonts w:cs="Times New Roman"/>
          <w:lang w:eastAsia="zh-CN"/>
        </w:rPr>
        <w:t>为转运体</w:t>
      </w:r>
      <w:r w:rsidR="00FB41B6">
        <w:rPr>
          <w:rFonts w:cs="Times New Roman"/>
          <w:lang w:eastAsia="zh-CN"/>
        </w:rPr>
        <w:t>的</w:t>
      </w:r>
      <w:r w:rsidR="00FB41B6" w:rsidRPr="009E464F">
        <w:rPr>
          <w:rFonts w:cs="Times New Roman"/>
          <w:lang w:eastAsia="zh-CN"/>
        </w:rPr>
        <w:t>底物</w:t>
      </w:r>
      <w:r w:rsidR="00A16DAE">
        <w:rPr>
          <w:rFonts w:cs="Times New Roman" w:hint="eastAsia"/>
          <w:lang w:eastAsia="zh-CN"/>
        </w:rPr>
        <w:t>的</w:t>
      </w:r>
      <w:r w:rsidR="00A16DAE" w:rsidRPr="009E464F">
        <w:rPr>
          <w:rFonts w:cs="Times New Roman"/>
          <w:lang w:eastAsia="zh-CN"/>
        </w:rPr>
        <w:t>考虑因素</w:t>
      </w:r>
    </w:p>
    <w:p w14:paraId="6A3115D1" w14:textId="77777777" w:rsidR="0069044B" w:rsidRDefault="00FB41B6" w:rsidP="00593FAB">
      <w:pPr>
        <w:spacing w:after="0"/>
        <w:ind w:firstLine="640"/>
        <w:rPr>
          <w:rFonts w:cs="Times New Roman"/>
          <w:lang w:eastAsia="zh-CN"/>
        </w:rPr>
      </w:pPr>
      <w:r w:rsidRPr="009E464F">
        <w:rPr>
          <w:rFonts w:cs="Times New Roman"/>
          <w:lang w:eastAsia="zh-CN"/>
        </w:rPr>
        <w:lastRenderedPageBreak/>
        <w:t>（</w:t>
      </w:r>
      <w:r w:rsidRPr="009E464F">
        <w:rPr>
          <w:rFonts w:cs="Times New Roman"/>
          <w:lang w:eastAsia="zh-CN"/>
        </w:rPr>
        <w:t>1</w:t>
      </w:r>
      <w:r w:rsidRPr="009E464F">
        <w:rPr>
          <w:rFonts w:cs="Times New Roman"/>
          <w:lang w:eastAsia="zh-CN"/>
        </w:rPr>
        <w:t>）</w:t>
      </w:r>
      <w:r w:rsidR="008C384C">
        <w:rPr>
          <w:rFonts w:cs="Times New Roman" w:hint="eastAsia"/>
          <w:lang w:eastAsia="zh-CN"/>
        </w:rPr>
        <w:t>药物</w:t>
      </w:r>
      <w:r w:rsidRPr="009E464F">
        <w:rPr>
          <w:rFonts w:cs="Times New Roman"/>
          <w:lang w:eastAsia="zh-CN"/>
        </w:rPr>
        <w:t>浓度</w:t>
      </w:r>
      <w:r w:rsidR="008C384C">
        <w:rPr>
          <w:rFonts w:cs="Times New Roman" w:hint="eastAsia"/>
          <w:lang w:eastAsia="zh-CN"/>
        </w:rPr>
        <w:t>应</w:t>
      </w:r>
      <w:r w:rsidRPr="009E464F">
        <w:rPr>
          <w:rFonts w:cs="Times New Roman"/>
          <w:lang w:eastAsia="zh-CN"/>
        </w:rPr>
        <w:t>涵盖临床相关浓度的范围（如对肠道转运，除溶解度限制浓度范围的情况外，研究的范围可以覆盖</w:t>
      </w:r>
      <w:r w:rsidRPr="009E464F">
        <w:rPr>
          <w:rFonts w:cs="Times New Roman"/>
          <w:lang w:eastAsia="zh-CN"/>
        </w:rPr>
        <w:t>0.01</w:t>
      </w:r>
      <w:r w:rsidRPr="009E464F">
        <w:rPr>
          <w:rFonts w:cs="Times New Roman"/>
          <w:lang w:eastAsia="zh-CN"/>
        </w:rPr>
        <w:t>至</w:t>
      </w:r>
      <w:r w:rsidRPr="009E464F">
        <w:rPr>
          <w:rFonts w:cs="Times New Roman"/>
          <w:lang w:eastAsia="zh-CN"/>
        </w:rPr>
        <w:t>1</w:t>
      </w:r>
      <w:r w:rsidRPr="009E464F">
        <w:rPr>
          <w:rFonts w:cs="Times New Roman"/>
          <w:lang w:eastAsia="zh-CN"/>
        </w:rPr>
        <w:t>倍剂量</w:t>
      </w:r>
      <w:r w:rsidRPr="009E464F">
        <w:rPr>
          <w:rFonts w:cs="Times New Roman"/>
          <w:lang w:eastAsia="zh-CN"/>
        </w:rPr>
        <w:t>/250 mL</w:t>
      </w:r>
      <w:r w:rsidRPr="009E464F">
        <w:rPr>
          <w:rFonts w:cs="Times New Roman"/>
          <w:lang w:eastAsia="zh-CN"/>
        </w:rPr>
        <w:t>的范围）。</w:t>
      </w:r>
    </w:p>
    <w:p w14:paraId="5E04FCFF" w14:textId="77777777" w:rsidR="0069044B" w:rsidRDefault="00FB41B6"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2</w:t>
      </w:r>
      <w:r w:rsidRPr="009E464F">
        <w:rPr>
          <w:rFonts w:cs="Times New Roman"/>
          <w:lang w:eastAsia="zh-CN"/>
        </w:rPr>
        <w:t>）体外试验</w:t>
      </w:r>
      <w:r>
        <w:rPr>
          <w:rFonts w:cs="Times New Roman" w:hint="eastAsia"/>
          <w:lang w:eastAsia="zh-CN"/>
        </w:rPr>
        <w:t>中</w:t>
      </w:r>
      <w:r w:rsidRPr="009E464F">
        <w:rPr>
          <w:rFonts w:cs="Times New Roman"/>
          <w:lang w:eastAsia="zh-CN"/>
        </w:rPr>
        <w:t>在</w:t>
      </w:r>
      <w:proofErr w:type="gramStart"/>
      <w:r w:rsidRPr="009E464F">
        <w:rPr>
          <w:rFonts w:cs="Times New Roman"/>
          <w:lang w:eastAsia="zh-CN"/>
        </w:rPr>
        <w:t>研</w:t>
      </w:r>
      <w:proofErr w:type="gramEnd"/>
      <w:r>
        <w:rPr>
          <w:rFonts w:cs="Times New Roman" w:hint="eastAsia"/>
          <w:lang w:eastAsia="zh-CN"/>
        </w:rPr>
        <w:t>药物</w:t>
      </w:r>
      <w:r w:rsidRPr="009E464F">
        <w:rPr>
          <w:rFonts w:cs="Times New Roman"/>
          <w:lang w:eastAsia="zh-CN"/>
        </w:rPr>
        <w:t>的浓度</w:t>
      </w:r>
      <w:r>
        <w:rPr>
          <w:rFonts w:cs="Times New Roman" w:hint="eastAsia"/>
          <w:lang w:eastAsia="zh-CN"/>
        </w:rPr>
        <w:t>可</w:t>
      </w:r>
      <w:r>
        <w:rPr>
          <w:rFonts w:cs="Times New Roman"/>
          <w:lang w:eastAsia="zh-CN"/>
        </w:rPr>
        <w:t>受到多种因素的限制</w:t>
      </w:r>
      <w:r w:rsidRPr="009E464F">
        <w:rPr>
          <w:rFonts w:cs="Times New Roman"/>
          <w:lang w:eastAsia="zh-CN"/>
        </w:rPr>
        <w:t>，包括药物的水溶性、与培养皿的非特异性结合以及细胞毒性作用。</w:t>
      </w:r>
    </w:p>
    <w:p w14:paraId="1A8B9442" w14:textId="77777777" w:rsidR="0069044B" w:rsidRDefault="00FB41B6"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3</w:t>
      </w:r>
      <w:r w:rsidRPr="009E464F">
        <w:rPr>
          <w:rFonts w:cs="Times New Roman"/>
          <w:lang w:eastAsia="zh-CN"/>
        </w:rPr>
        <w:t>）应评估在</w:t>
      </w:r>
      <w:proofErr w:type="gramStart"/>
      <w:r w:rsidRPr="009E464F">
        <w:rPr>
          <w:rFonts w:cs="Times New Roman"/>
          <w:lang w:eastAsia="zh-CN"/>
        </w:rPr>
        <w:t>研</w:t>
      </w:r>
      <w:proofErr w:type="gramEnd"/>
      <w:r w:rsidRPr="009E464F">
        <w:rPr>
          <w:rFonts w:cs="Times New Roman"/>
          <w:lang w:eastAsia="zh-CN"/>
        </w:rPr>
        <w:t>药的回收率、稳定性和</w:t>
      </w:r>
      <w:r w:rsidRPr="009E464F">
        <w:rPr>
          <w:rFonts w:cs="Times New Roman"/>
          <w:lang w:eastAsia="zh-CN"/>
        </w:rPr>
        <w:t>/</w:t>
      </w:r>
      <w:r w:rsidRPr="009E464F">
        <w:rPr>
          <w:rFonts w:cs="Times New Roman"/>
          <w:lang w:eastAsia="zh-CN"/>
        </w:rPr>
        <w:t>或非特异性结合。</w:t>
      </w:r>
    </w:p>
    <w:p w14:paraId="796A5C5F" w14:textId="2726E77E" w:rsidR="00FB41B6" w:rsidRPr="009E464F" w:rsidRDefault="00FB41B6"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4</w:t>
      </w:r>
      <w:r w:rsidRPr="009E464F">
        <w:rPr>
          <w:rFonts w:cs="Times New Roman"/>
          <w:lang w:eastAsia="zh-CN"/>
        </w:rPr>
        <w:t>）如果体外系统表达多种转运体，则应使用两种或两种以上已知的抑制剂验证研究结果。</w:t>
      </w:r>
    </w:p>
    <w:p w14:paraId="028D35A5" w14:textId="40E8011B" w:rsidR="00FB41B6" w:rsidRPr="00264617" w:rsidRDefault="00753424" w:rsidP="008663B1">
      <w:pPr>
        <w:spacing w:after="0"/>
        <w:ind w:firstLine="640"/>
        <w:rPr>
          <w:rFonts w:cs="Times New Roman"/>
          <w:lang w:eastAsia="zh-CN"/>
        </w:rPr>
      </w:pPr>
      <w:r>
        <w:rPr>
          <w:rFonts w:cs="Times New Roman"/>
          <w:lang w:eastAsia="zh-CN"/>
        </w:rPr>
        <w:t>3</w:t>
      </w:r>
      <w:r w:rsidR="00FB41B6" w:rsidRPr="00264617">
        <w:rPr>
          <w:rFonts w:cs="Times New Roman"/>
          <w:lang w:eastAsia="zh-CN"/>
        </w:rPr>
        <w:t>.</w:t>
      </w:r>
      <w:r w:rsidR="00FB41B6" w:rsidRPr="00264617">
        <w:rPr>
          <w:rFonts w:cs="Times New Roman" w:hint="eastAsia"/>
          <w:lang w:eastAsia="zh-CN"/>
        </w:rPr>
        <w:t>评估</w:t>
      </w:r>
      <w:r w:rsidR="00FB41B6" w:rsidRPr="00264617">
        <w:rPr>
          <w:rFonts w:cs="Times New Roman"/>
          <w:lang w:eastAsia="zh-CN"/>
        </w:rPr>
        <w:t>在</w:t>
      </w:r>
      <w:proofErr w:type="gramStart"/>
      <w:r w:rsidR="00FB41B6" w:rsidRPr="00264617">
        <w:rPr>
          <w:rFonts w:cs="Times New Roman"/>
          <w:lang w:eastAsia="zh-CN"/>
        </w:rPr>
        <w:t>研</w:t>
      </w:r>
      <w:proofErr w:type="gramEnd"/>
      <w:r w:rsidR="00FB41B6" w:rsidRPr="00264617">
        <w:rPr>
          <w:rFonts w:cs="Times New Roman"/>
          <w:lang w:eastAsia="zh-CN"/>
        </w:rPr>
        <w:t>药物</w:t>
      </w:r>
      <w:r w:rsidR="00FB41B6" w:rsidRPr="00264617">
        <w:rPr>
          <w:rFonts w:cs="Times New Roman" w:hint="eastAsia"/>
          <w:lang w:eastAsia="zh-CN"/>
        </w:rPr>
        <w:t>是否</w:t>
      </w:r>
      <w:r w:rsidR="00FB41B6" w:rsidRPr="00264617">
        <w:rPr>
          <w:rFonts w:cs="Times New Roman"/>
          <w:lang w:eastAsia="zh-CN"/>
        </w:rPr>
        <w:t>为转运体抑制剂</w:t>
      </w:r>
      <w:r w:rsidR="00A16DAE">
        <w:rPr>
          <w:rFonts w:cs="Times New Roman" w:hint="eastAsia"/>
          <w:lang w:eastAsia="zh-CN"/>
        </w:rPr>
        <w:t>的</w:t>
      </w:r>
      <w:r w:rsidR="00A16DAE" w:rsidRPr="009E464F">
        <w:rPr>
          <w:rFonts w:cs="Times New Roman"/>
          <w:lang w:eastAsia="zh-CN"/>
        </w:rPr>
        <w:t>考虑</w:t>
      </w:r>
      <w:r w:rsidR="00A16DAE">
        <w:rPr>
          <w:rFonts w:cs="Times New Roman" w:hint="eastAsia"/>
          <w:lang w:eastAsia="zh-CN"/>
        </w:rPr>
        <w:t>因素</w:t>
      </w:r>
    </w:p>
    <w:p w14:paraId="23C9BB8C" w14:textId="77777777" w:rsidR="0069044B" w:rsidRDefault="00FB41B6"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1</w:t>
      </w:r>
      <w:r w:rsidR="008C384C">
        <w:rPr>
          <w:rFonts w:cs="Times New Roman"/>
          <w:lang w:eastAsia="zh-CN"/>
        </w:rPr>
        <w:t>）</w:t>
      </w:r>
      <w:r w:rsidR="008C384C">
        <w:rPr>
          <w:rFonts w:cs="Times New Roman" w:hint="eastAsia"/>
          <w:lang w:eastAsia="zh-CN"/>
        </w:rPr>
        <w:t>药物</w:t>
      </w:r>
      <w:r w:rsidRPr="009E464F">
        <w:rPr>
          <w:rFonts w:cs="Times New Roman"/>
          <w:lang w:eastAsia="zh-CN"/>
        </w:rPr>
        <w:t>浓度应尽可能高以使抑制作用最大化</w:t>
      </w:r>
      <w:r>
        <w:rPr>
          <w:rFonts w:cs="Times New Roman" w:hint="eastAsia"/>
          <w:lang w:eastAsia="zh-CN"/>
        </w:rPr>
        <w:t>，但</w:t>
      </w:r>
      <w:r w:rsidRPr="009E464F">
        <w:rPr>
          <w:rFonts w:cs="Times New Roman"/>
          <w:lang w:eastAsia="zh-CN"/>
        </w:rPr>
        <w:t>不应超过药物的溶解度极限且不应在细胞中引起有害作用（如细胞毒性）。</w:t>
      </w:r>
    </w:p>
    <w:p w14:paraId="6E0B6C06" w14:textId="77777777" w:rsidR="0069044B" w:rsidRDefault="00FB41B6"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2</w:t>
      </w:r>
      <w:r w:rsidRPr="009E464F">
        <w:rPr>
          <w:rFonts w:cs="Times New Roman"/>
          <w:lang w:eastAsia="zh-CN"/>
        </w:rPr>
        <w:t>）应使用</w:t>
      </w:r>
      <w:r w:rsidRPr="009E464F">
        <w:rPr>
          <w:rFonts w:cs="Times New Roman"/>
          <w:lang w:eastAsia="zh-CN"/>
        </w:rPr>
        <w:t>4~6</w:t>
      </w:r>
      <w:r w:rsidRPr="009E464F">
        <w:rPr>
          <w:rFonts w:cs="Times New Roman"/>
          <w:lang w:eastAsia="zh-CN"/>
        </w:rPr>
        <w:t>个浓度点</w:t>
      </w:r>
      <w:r>
        <w:rPr>
          <w:rFonts w:cs="Times New Roman" w:hint="eastAsia"/>
          <w:lang w:eastAsia="zh-CN"/>
        </w:rPr>
        <w:t>，</w:t>
      </w:r>
      <w:r w:rsidRPr="009E464F">
        <w:rPr>
          <w:rFonts w:cs="Times New Roman"/>
          <w:lang w:eastAsia="zh-CN"/>
        </w:rPr>
        <w:t>从在高浓度点开始，且该浓度点应至少比临床相关浓度高一个数量级。由于转运体在组织中的不同位置表达，因此应考虑不同的临床相关浓度（如，对位于肾脏的摄取转运</w:t>
      </w:r>
      <w:proofErr w:type="gramStart"/>
      <w:r w:rsidRPr="009E464F">
        <w:rPr>
          <w:rFonts w:cs="Times New Roman"/>
          <w:lang w:eastAsia="zh-CN"/>
        </w:rPr>
        <w:t>体计算</w:t>
      </w:r>
      <w:proofErr w:type="gramEnd"/>
      <w:r w:rsidRPr="009E464F">
        <w:rPr>
          <w:rFonts w:cs="Times New Roman"/>
          <w:lang w:eastAsia="zh-CN"/>
        </w:rPr>
        <w:t>游离药物</w:t>
      </w:r>
      <w:proofErr w:type="spellStart"/>
      <w:r w:rsidRPr="009E464F">
        <w:rPr>
          <w:rFonts w:cs="Times New Roman"/>
          <w:lang w:eastAsia="zh-CN"/>
        </w:rPr>
        <w:t>C</w:t>
      </w:r>
      <w:r w:rsidRPr="00264617">
        <w:rPr>
          <w:rFonts w:cs="Times New Roman"/>
          <w:vertAlign w:val="subscript"/>
          <w:lang w:eastAsia="zh-CN"/>
        </w:rPr>
        <w:t>max</w:t>
      </w:r>
      <w:proofErr w:type="spellEnd"/>
      <w:r w:rsidRPr="009E464F">
        <w:rPr>
          <w:rFonts w:cs="Times New Roman"/>
          <w:lang w:eastAsia="zh-CN"/>
        </w:rPr>
        <w:t>，对肝脏摄取转运</w:t>
      </w:r>
      <w:proofErr w:type="gramStart"/>
      <w:r w:rsidRPr="009E464F">
        <w:rPr>
          <w:rFonts w:cs="Times New Roman"/>
          <w:lang w:eastAsia="zh-CN"/>
        </w:rPr>
        <w:t>体计算</w:t>
      </w:r>
      <w:proofErr w:type="gramEnd"/>
      <w:r w:rsidRPr="009E464F">
        <w:rPr>
          <w:rFonts w:cs="Times New Roman"/>
          <w:lang w:eastAsia="zh-CN"/>
        </w:rPr>
        <w:t>肝门静脉处最大游离药物浓度，对肠顶端转运蛋白</w:t>
      </w:r>
      <w:r>
        <w:rPr>
          <w:rFonts w:cs="Times New Roman" w:hint="eastAsia"/>
          <w:lang w:eastAsia="zh-CN"/>
        </w:rPr>
        <w:t>，</w:t>
      </w:r>
      <w:r>
        <w:rPr>
          <w:rFonts w:cs="Times New Roman"/>
          <w:lang w:eastAsia="zh-CN"/>
        </w:rPr>
        <w:t>药物浓度应覆盖</w:t>
      </w:r>
      <w:r>
        <w:rPr>
          <w:rFonts w:cs="Times New Roman" w:hint="eastAsia"/>
          <w:lang w:eastAsia="zh-CN"/>
        </w:rPr>
        <w:t>0.1</w:t>
      </w:r>
      <w:r>
        <w:rPr>
          <w:rFonts w:hint="eastAsia"/>
          <w:lang w:eastAsia="zh-CN"/>
        </w:rPr>
        <w:t>×</w:t>
      </w:r>
      <w:r w:rsidRPr="009E464F">
        <w:rPr>
          <w:rFonts w:cs="Times New Roman"/>
          <w:lang w:eastAsia="zh-CN"/>
        </w:rPr>
        <w:t>剂量</w:t>
      </w:r>
      <w:r w:rsidRPr="009E464F">
        <w:rPr>
          <w:rFonts w:cs="Times New Roman"/>
          <w:lang w:eastAsia="zh-CN"/>
        </w:rPr>
        <w:t>/250mL</w:t>
      </w:r>
      <w:r w:rsidRPr="009E464F">
        <w:rPr>
          <w:rFonts w:cs="Times New Roman"/>
          <w:lang w:eastAsia="zh-CN"/>
        </w:rPr>
        <w:t>）。如果试验</w:t>
      </w:r>
      <w:proofErr w:type="gramStart"/>
      <w:r w:rsidRPr="009E464F">
        <w:rPr>
          <w:rFonts w:cs="Times New Roman"/>
          <w:lang w:eastAsia="zh-CN"/>
        </w:rPr>
        <w:t>药显示</w:t>
      </w:r>
      <w:proofErr w:type="gramEnd"/>
      <w:r w:rsidRPr="009E464F">
        <w:rPr>
          <w:rFonts w:cs="Times New Roman"/>
          <w:lang w:eastAsia="zh-CN"/>
        </w:rPr>
        <w:t>抑制活性，应测试其他浓度以计算</w:t>
      </w:r>
      <w:r w:rsidRPr="009E464F">
        <w:rPr>
          <w:rFonts w:cs="Times New Roman"/>
          <w:lang w:eastAsia="zh-CN"/>
        </w:rPr>
        <w:t>IC</w:t>
      </w:r>
      <w:r w:rsidRPr="009E464F">
        <w:rPr>
          <w:rFonts w:cs="Times New Roman"/>
          <w:vertAlign w:val="subscript"/>
          <w:lang w:eastAsia="zh-CN"/>
        </w:rPr>
        <w:t>50</w:t>
      </w:r>
      <w:r w:rsidRPr="009E464F">
        <w:rPr>
          <w:rFonts w:cs="Times New Roman"/>
          <w:lang w:eastAsia="zh-CN"/>
        </w:rPr>
        <w:t>或</w:t>
      </w:r>
      <w:r w:rsidRPr="009E464F">
        <w:rPr>
          <w:rFonts w:cs="Times New Roman"/>
          <w:lang w:eastAsia="zh-CN"/>
        </w:rPr>
        <w:t>K</w:t>
      </w:r>
      <w:r w:rsidRPr="009E464F">
        <w:rPr>
          <w:rFonts w:cs="Times New Roman"/>
          <w:vertAlign w:val="subscript"/>
          <w:lang w:eastAsia="zh-CN"/>
        </w:rPr>
        <w:t>i</w:t>
      </w:r>
      <w:r w:rsidRPr="009E464F">
        <w:rPr>
          <w:rFonts w:cs="Times New Roman"/>
          <w:lang w:eastAsia="zh-CN"/>
        </w:rPr>
        <w:t>值</w:t>
      </w:r>
      <w:r>
        <w:rPr>
          <w:rFonts w:cs="Times New Roman" w:hint="eastAsia"/>
          <w:lang w:eastAsia="zh-CN"/>
        </w:rPr>
        <w:t>，并</w:t>
      </w:r>
      <w:r w:rsidRPr="009E464F">
        <w:rPr>
          <w:rFonts w:cs="Times New Roman"/>
          <w:lang w:eastAsia="zh-CN"/>
        </w:rPr>
        <w:t>将</w:t>
      </w:r>
      <w:r>
        <w:rPr>
          <w:rFonts w:cs="Times New Roman" w:hint="eastAsia"/>
          <w:lang w:eastAsia="zh-CN"/>
        </w:rPr>
        <w:t>其</w:t>
      </w:r>
      <w:r w:rsidRPr="009E464F">
        <w:rPr>
          <w:rFonts w:cs="Times New Roman"/>
          <w:lang w:eastAsia="zh-CN"/>
        </w:rPr>
        <w:t>与临床血浆或肠道浓度进行比较，以预测潜在的</w:t>
      </w:r>
      <w:r w:rsidRPr="009E464F">
        <w:rPr>
          <w:rFonts w:cs="Times New Roman"/>
          <w:lang w:eastAsia="zh-CN"/>
        </w:rPr>
        <w:t>DDI</w:t>
      </w:r>
      <w:r w:rsidRPr="009E464F">
        <w:rPr>
          <w:rFonts w:cs="Times New Roman"/>
          <w:lang w:eastAsia="zh-CN"/>
        </w:rPr>
        <w:t>。</w:t>
      </w:r>
    </w:p>
    <w:p w14:paraId="24812A22" w14:textId="77777777" w:rsidR="0069044B" w:rsidRDefault="00FB41B6" w:rsidP="00593FAB">
      <w:pPr>
        <w:spacing w:after="0"/>
        <w:ind w:firstLine="640"/>
        <w:rPr>
          <w:rFonts w:cs="Times New Roman"/>
          <w:lang w:eastAsia="zh-CN"/>
        </w:rPr>
      </w:pPr>
      <w:r w:rsidRPr="009E464F">
        <w:rPr>
          <w:rFonts w:cs="Times New Roman"/>
          <w:lang w:eastAsia="zh-CN"/>
        </w:rPr>
        <w:t>（</w:t>
      </w:r>
      <w:r w:rsidRPr="009E464F">
        <w:rPr>
          <w:rFonts w:cs="Times New Roman"/>
          <w:lang w:eastAsia="zh-CN"/>
        </w:rPr>
        <w:t>3</w:t>
      </w:r>
      <w:r w:rsidRPr="009E464F">
        <w:rPr>
          <w:rFonts w:cs="Times New Roman"/>
          <w:lang w:eastAsia="zh-CN"/>
        </w:rPr>
        <w:t>）应包括可使底物线性转运的指针底物浓度范围。指针底物浓度应小于或等于其转运体的</w:t>
      </w:r>
      <w:r w:rsidRPr="009E464F">
        <w:rPr>
          <w:rFonts w:cs="Times New Roman"/>
          <w:lang w:eastAsia="zh-CN"/>
        </w:rPr>
        <w:t>K</w:t>
      </w:r>
      <w:r w:rsidRPr="009E464F">
        <w:rPr>
          <w:rFonts w:cs="Times New Roman"/>
          <w:vertAlign w:val="subscript"/>
          <w:lang w:eastAsia="zh-CN"/>
        </w:rPr>
        <w:t>m</w:t>
      </w:r>
      <w:r w:rsidRPr="009E464F">
        <w:rPr>
          <w:rFonts w:cs="Times New Roman"/>
          <w:lang w:eastAsia="zh-CN"/>
        </w:rPr>
        <w:t>值。</w:t>
      </w:r>
    </w:p>
    <w:p w14:paraId="3D2820FB" w14:textId="77777777" w:rsidR="0069044B" w:rsidRDefault="00FB41B6" w:rsidP="00593FAB">
      <w:pPr>
        <w:spacing w:after="0"/>
        <w:ind w:firstLine="640"/>
        <w:rPr>
          <w:rFonts w:cs="Times New Roman"/>
          <w:lang w:eastAsia="zh-CN"/>
        </w:rPr>
      </w:pPr>
      <w:r w:rsidRPr="009E464F">
        <w:rPr>
          <w:rFonts w:cs="Times New Roman"/>
          <w:lang w:eastAsia="zh-CN"/>
        </w:rPr>
        <w:lastRenderedPageBreak/>
        <w:t>（</w:t>
      </w:r>
      <w:r w:rsidRPr="009E464F">
        <w:rPr>
          <w:rFonts w:cs="Times New Roman"/>
          <w:lang w:eastAsia="zh-CN"/>
        </w:rPr>
        <w:t>4</w:t>
      </w:r>
      <w:r w:rsidRPr="009E464F">
        <w:rPr>
          <w:rFonts w:cs="Times New Roman"/>
          <w:lang w:eastAsia="zh-CN"/>
        </w:rPr>
        <w:t>）应考虑用</w:t>
      </w:r>
      <w:r w:rsidRPr="009E464F">
        <w:rPr>
          <w:rFonts w:cs="Times New Roman"/>
          <w:lang w:eastAsia="zh-CN"/>
        </w:rPr>
        <w:t>OATP1B1</w:t>
      </w:r>
      <w:r w:rsidRPr="009E464F">
        <w:rPr>
          <w:rFonts w:cs="Times New Roman"/>
          <w:lang w:eastAsia="zh-CN"/>
        </w:rPr>
        <w:t>和</w:t>
      </w:r>
      <w:r w:rsidRPr="009E464F">
        <w:rPr>
          <w:rFonts w:cs="Times New Roman"/>
          <w:lang w:eastAsia="zh-CN"/>
        </w:rPr>
        <w:t>OATP1B3</w:t>
      </w:r>
      <w:r w:rsidRPr="009E464F">
        <w:rPr>
          <w:rFonts w:cs="Times New Roman"/>
          <w:lang w:eastAsia="zh-CN"/>
        </w:rPr>
        <w:t>抑制剂对试验药进行预孵育（至少</w:t>
      </w:r>
      <w:r w:rsidRPr="009E464F">
        <w:rPr>
          <w:rFonts w:cs="Times New Roman"/>
          <w:lang w:eastAsia="zh-CN"/>
        </w:rPr>
        <w:t>30</w:t>
      </w:r>
      <w:r w:rsidRPr="009E464F">
        <w:rPr>
          <w:rFonts w:cs="Times New Roman"/>
          <w:lang w:eastAsia="zh-CN"/>
        </w:rPr>
        <w:t>分钟），以评估时间依赖性的药物相互作用（</w:t>
      </w:r>
      <w:r w:rsidRPr="009E464F">
        <w:rPr>
          <w:rFonts w:cs="Times New Roman"/>
          <w:lang w:eastAsia="zh-CN"/>
        </w:rPr>
        <w:t>TDI</w:t>
      </w:r>
      <w:r w:rsidRPr="009E464F">
        <w:rPr>
          <w:rFonts w:cs="Times New Roman"/>
          <w:lang w:eastAsia="zh-CN"/>
        </w:rPr>
        <w:t>）是否会使试验药的</w:t>
      </w:r>
      <w:r w:rsidRPr="009E464F">
        <w:rPr>
          <w:rFonts w:cs="Times New Roman"/>
          <w:lang w:eastAsia="zh-CN"/>
        </w:rPr>
        <w:t>IC</w:t>
      </w:r>
      <w:r w:rsidRPr="009E464F">
        <w:rPr>
          <w:rFonts w:cs="Times New Roman"/>
          <w:vertAlign w:val="subscript"/>
          <w:lang w:eastAsia="zh-CN"/>
        </w:rPr>
        <w:t>50</w:t>
      </w:r>
      <w:r w:rsidRPr="009E464F">
        <w:rPr>
          <w:rFonts w:cs="Times New Roman"/>
          <w:lang w:eastAsia="zh-CN"/>
        </w:rPr>
        <w:t>降低。</w:t>
      </w:r>
    </w:p>
    <w:p w14:paraId="47850D12" w14:textId="77777777" w:rsidR="0069044B" w:rsidRDefault="00753424" w:rsidP="00593FAB">
      <w:pPr>
        <w:spacing w:after="0"/>
        <w:ind w:firstLine="640"/>
        <w:rPr>
          <w:rFonts w:cs="Times New Roman"/>
          <w:lang w:eastAsia="zh-CN"/>
        </w:rPr>
      </w:pPr>
      <w:r>
        <w:rPr>
          <w:rFonts w:cs="Times New Roman" w:hint="eastAsia"/>
          <w:lang w:eastAsia="zh-CN"/>
        </w:rPr>
        <w:t>（</w:t>
      </w:r>
      <w:r>
        <w:rPr>
          <w:rFonts w:cs="Times New Roman" w:hint="eastAsia"/>
          <w:lang w:eastAsia="zh-CN"/>
        </w:rPr>
        <w:t>5</w:t>
      </w:r>
      <w:r>
        <w:rPr>
          <w:rFonts w:cs="Times New Roman" w:hint="eastAsia"/>
          <w:lang w:eastAsia="zh-CN"/>
        </w:rPr>
        <w:t>）</w:t>
      </w:r>
      <w:r w:rsidR="00FB41B6" w:rsidRPr="002D4D37">
        <w:rPr>
          <w:rFonts w:cs="Times New Roman" w:hint="eastAsia"/>
          <w:lang w:eastAsia="zh-CN"/>
        </w:rPr>
        <w:t>由于抑制作用可能有底物依赖性，应使用以后可能用于临床研究的探针底物确定在</w:t>
      </w:r>
      <w:proofErr w:type="gramStart"/>
      <w:r w:rsidR="00FB41B6" w:rsidRPr="002D4D37">
        <w:rPr>
          <w:rFonts w:cs="Times New Roman" w:hint="eastAsia"/>
          <w:lang w:eastAsia="zh-CN"/>
        </w:rPr>
        <w:t>研</w:t>
      </w:r>
      <w:proofErr w:type="gramEnd"/>
      <w:r w:rsidR="00FB41B6" w:rsidRPr="002D4D37">
        <w:rPr>
          <w:rFonts w:cs="Times New Roman" w:hint="eastAsia"/>
          <w:lang w:eastAsia="zh-CN"/>
        </w:rPr>
        <w:t>药物的抑制常数。也可使用对已知抑制剂产生较低</w:t>
      </w:r>
      <w:r w:rsidR="00FB41B6" w:rsidRPr="002D4D37">
        <w:rPr>
          <w:rFonts w:cs="Times New Roman"/>
          <w:lang w:eastAsia="zh-CN"/>
        </w:rPr>
        <w:t>IC</w:t>
      </w:r>
      <w:r w:rsidR="00FB41B6" w:rsidRPr="0083505F">
        <w:rPr>
          <w:rFonts w:cs="Times New Roman"/>
          <w:vertAlign w:val="subscript"/>
          <w:lang w:eastAsia="zh-CN"/>
        </w:rPr>
        <w:t>50</w:t>
      </w:r>
      <w:r w:rsidR="00FB41B6" w:rsidRPr="002D4D37">
        <w:rPr>
          <w:rFonts w:cs="Times New Roman"/>
          <w:lang w:eastAsia="zh-CN"/>
        </w:rPr>
        <w:t xml:space="preserve"> </w:t>
      </w:r>
      <w:r w:rsidR="00FB41B6" w:rsidRPr="00D50183">
        <w:rPr>
          <w:rFonts w:cs="Times New Roman" w:hint="eastAsia"/>
          <w:lang w:eastAsia="zh-CN"/>
        </w:rPr>
        <w:t>的探针底物以避免低估在</w:t>
      </w:r>
      <w:proofErr w:type="gramStart"/>
      <w:r w:rsidR="00FB41B6" w:rsidRPr="00D50183">
        <w:rPr>
          <w:rFonts w:cs="Times New Roman" w:hint="eastAsia"/>
          <w:lang w:eastAsia="zh-CN"/>
        </w:rPr>
        <w:t>研</w:t>
      </w:r>
      <w:proofErr w:type="gramEnd"/>
      <w:r w:rsidR="00FB41B6" w:rsidRPr="00D50183">
        <w:rPr>
          <w:rFonts w:cs="Times New Roman" w:hint="eastAsia"/>
          <w:lang w:eastAsia="zh-CN"/>
        </w:rPr>
        <w:t>药物潜在的相互作用。</w:t>
      </w:r>
    </w:p>
    <w:p w14:paraId="2C5FBD99" w14:textId="4E199C11" w:rsidR="00FB41B6" w:rsidRPr="009E464F" w:rsidRDefault="00753424" w:rsidP="00593FAB">
      <w:pPr>
        <w:spacing w:after="0"/>
        <w:ind w:firstLine="640"/>
        <w:rPr>
          <w:rFonts w:cs="Times New Roman"/>
          <w:lang w:eastAsia="zh-CN"/>
        </w:rPr>
      </w:pPr>
      <w:r>
        <w:rPr>
          <w:rFonts w:cs="Times New Roman" w:hint="eastAsia"/>
          <w:lang w:eastAsia="zh-CN"/>
        </w:rPr>
        <w:t>（</w:t>
      </w:r>
      <w:r>
        <w:rPr>
          <w:rFonts w:cs="Times New Roman" w:hint="eastAsia"/>
          <w:lang w:eastAsia="zh-CN"/>
        </w:rPr>
        <w:t>6</w:t>
      </w:r>
      <w:r>
        <w:rPr>
          <w:rFonts w:cs="Times New Roman" w:hint="eastAsia"/>
          <w:lang w:eastAsia="zh-CN"/>
        </w:rPr>
        <w:t>）</w:t>
      </w:r>
      <w:r w:rsidR="00FB41B6" w:rsidRPr="009E464F">
        <w:rPr>
          <w:rFonts w:cs="Times New Roman"/>
          <w:lang w:eastAsia="zh-CN"/>
        </w:rPr>
        <w:t>可使用阳性和阴性对照试验在体外系统进行内部校正，以</w:t>
      </w:r>
      <w:r w:rsidR="00FB41B6">
        <w:rPr>
          <w:rFonts w:cs="Times New Roman" w:hint="eastAsia"/>
          <w:lang w:eastAsia="zh-CN"/>
        </w:rPr>
        <w:t>获得</w:t>
      </w:r>
      <w:r w:rsidR="00FB41B6" w:rsidRPr="009E464F">
        <w:rPr>
          <w:rFonts w:cs="Times New Roman"/>
          <w:lang w:eastAsia="zh-CN"/>
        </w:rPr>
        <w:t>临界值，为</w:t>
      </w:r>
      <w:r w:rsidR="00FB41B6" w:rsidRPr="009E464F">
        <w:rPr>
          <w:rFonts w:cs="Times New Roman"/>
          <w:lang w:eastAsia="zh-CN"/>
        </w:rPr>
        <w:t>DDI</w:t>
      </w:r>
      <w:r w:rsidR="00FB41B6" w:rsidRPr="009E464F">
        <w:rPr>
          <w:rFonts w:cs="Times New Roman"/>
          <w:lang w:eastAsia="zh-CN"/>
        </w:rPr>
        <w:t>临床研究提供参考。</w:t>
      </w:r>
    </w:p>
    <w:p w14:paraId="6E60FC26" w14:textId="77777777" w:rsidR="008663B1" w:rsidRDefault="008663B1" w:rsidP="00CB0133">
      <w:pPr>
        <w:pStyle w:val="2"/>
        <w:sectPr w:rsidR="008663B1" w:rsidSect="00721D10">
          <w:pgSz w:w="12240" w:h="15840"/>
          <w:pgMar w:top="1440" w:right="1440" w:bottom="1440" w:left="1440" w:header="720" w:footer="720" w:gutter="0"/>
          <w:lnNumType w:countBy="1" w:restart="continuous"/>
          <w:cols w:space="720"/>
          <w:docGrid w:linePitch="435"/>
        </w:sectPr>
      </w:pPr>
      <w:bookmarkStart w:id="84" w:name="_Toc50395983"/>
    </w:p>
    <w:p w14:paraId="574042BC" w14:textId="4C58311D" w:rsidR="003A008F" w:rsidRPr="00DC5A2A" w:rsidRDefault="00FB41B6" w:rsidP="00CB0133">
      <w:pPr>
        <w:pStyle w:val="2"/>
      </w:pPr>
      <w:r w:rsidRPr="00DC5A2A">
        <w:lastRenderedPageBreak/>
        <w:t>附录</w:t>
      </w:r>
      <w:r w:rsidRPr="00DC5A2A">
        <w:t>5</w:t>
      </w:r>
      <w:r w:rsidR="005F5CD1" w:rsidRPr="00DC5A2A">
        <w:t xml:space="preserve">. </w:t>
      </w:r>
      <w:r w:rsidR="00BC1E7D" w:rsidRPr="00DC5A2A">
        <w:t>用于评估药物相互作用的</w:t>
      </w:r>
      <w:r w:rsidR="003A008F" w:rsidRPr="00DC5A2A">
        <w:t>药物</w:t>
      </w:r>
      <w:r w:rsidR="00B33722" w:rsidRPr="00DC5A2A">
        <w:t>清单</w:t>
      </w:r>
      <w:bookmarkEnd w:id="84"/>
    </w:p>
    <w:p w14:paraId="574D00E2" w14:textId="6B5B43F1" w:rsidR="00BF22C5" w:rsidRPr="0083505F" w:rsidRDefault="00BF22C5" w:rsidP="00671896">
      <w:pPr>
        <w:spacing w:line="240" w:lineRule="auto"/>
        <w:ind w:firstLineChars="0" w:firstLine="0"/>
        <w:jc w:val="center"/>
        <w:rPr>
          <w:rFonts w:cs="Times New Roman"/>
          <w:color w:val="000000" w:themeColor="text1"/>
          <w:sz w:val="24"/>
          <w:szCs w:val="24"/>
          <w:lang w:eastAsia="zh-CN"/>
        </w:rPr>
      </w:pPr>
      <w:r w:rsidRPr="0083505F">
        <w:rPr>
          <w:rFonts w:cs="Times New Roman" w:hint="eastAsia"/>
          <w:color w:val="000000" w:themeColor="text1"/>
          <w:sz w:val="24"/>
          <w:szCs w:val="24"/>
          <w:lang w:eastAsia="zh-CN"/>
        </w:rPr>
        <w:t>表</w:t>
      </w:r>
      <w:r w:rsidRPr="0083505F">
        <w:rPr>
          <w:rFonts w:cs="Times New Roman"/>
          <w:color w:val="000000" w:themeColor="text1"/>
          <w:sz w:val="24"/>
          <w:szCs w:val="24"/>
          <w:lang w:eastAsia="zh-CN"/>
        </w:rPr>
        <w:t xml:space="preserve"> </w:t>
      </w:r>
      <w:r w:rsidR="00ED1C86">
        <w:rPr>
          <w:rFonts w:cs="Times New Roman"/>
          <w:color w:val="000000" w:themeColor="text1"/>
          <w:sz w:val="24"/>
          <w:szCs w:val="24"/>
          <w:lang w:eastAsia="zh-CN"/>
        </w:rPr>
        <w:t xml:space="preserve">2  </w:t>
      </w:r>
      <w:r w:rsidR="00064DF5" w:rsidRPr="0083505F">
        <w:rPr>
          <w:rFonts w:cs="Times New Roman" w:hint="eastAsia"/>
          <w:color w:val="000000" w:themeColor="text1"/>
          <w:sz w:val="24"/>
          <w:szCs w:val="24"/>
          <w:lang w:eastAsia="zh-CN"/>
        </w:rPr>
        <w:t>体外试验</w:t>
      </w:r>
      <w:r w:rsidRPr="0083505F">
        <w:rPr>
          <w:rFonts w:cs="Times New Roman" w:hint="eastAsia"/>
          <w:color w:val="000000" w:themeColor="text1"/>
          <w:sz w:val="24"/>
          <w:szCs w:val="24"/>
          <w:lang w:eastAsia="zh-CN"/>
        </w:rPr>
        <w:t>可选择的</w:t>
      </w:r>
      <w:r w:rsidRPr="0083505F">
        <w:rPr>
          <w:rFonts w:cs="Times New Roman"/>
          <w:color w:val="000000" w:themeColor="text1"/>
          <w:sz w:val="24"/>
          <w:szCs w:val="24"/>
          <w:lang w:eastAsia="zh-CN"/>
        </w:rPr>
        <w:t>CYP</w:t>
      </w:r>
      <w:r w:rsidRPr="0083505F">
        <w:rPr>
          <w:rFonts w:cs="Times New Roman" w:hint="eastAsia"/>
          <w:color w:val="000000" w:themeColor="text1"/>
          <w:sz w:val="24"/>
          <w:szCs w:val="24"/>
          <w:lang w:eastAsia="zh-CN"/>
        </w:rPr>
        <w:t>酶指针底物及其特征反应</w:t>
      </w:r>
    </w:p>
    <w:tbl>
      <w:tblPr>
        <w:tblStyle w:val="af7"/>
        <w:tblW w:w="5000" w:type="pct"/>
        <w:jc w:val="center"/>
        <w:tblLook w:val="04A0" w:firstRow="1" w:lastRow="0" w:firstColumn="1" w:lastColumn="0" w:noHBand="0" w:noVBand="1"/>
      </w:tblPr>
      <w:tblGrid>
        <w:gridCol w:w="1831"/>
        <w:gridCol w:w="3562"/>
        <w:gridCol w:w="3957"/>
      </w:tblGrid>
      <w:tr w:rsidR="00BF22C5" w:rsidRPr="009E464F" w14:paraId="0167E9F7" w14:textId="77777777" w:rsidTr="008663B1">
        <w:trPr>
          <w:jc w:val="center"/>
        </w:trPr>
        <w:tc>
          <w:tcPr>
            <w:tcW w:w="979" w:type="pct"/>
          </w:tcPr>
          <w:p w14:paraId="4027CF18" w14:textId="77777777" w:rsidR="00BF22C5" w:rsidRPr="009E464F" w:rsidRDefault="00BF22C5" w:rsidP="0083505F">
            <w:pPr>
              <w:snapToGrid w:val="0"/>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酶</w:t>
            </w:r>
          </w:p>
        </w:tc>
        <w:tc>
          <w:tcPr>
            <w:tcW w:w="1905" w:type="pct"/>
          </w:tcPr>
          <w:p w14:paraId="5240A243" w14:textId="77777777" w:rsidR="00BF22C5" w:rsidRPr="009E464F" w:rsidRDefault="00BF22C5" w:rsidP="0083505F">
            <w:pPr>
              <w:snapToGrid w:val="0"/>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特异性底物</w:t>
            </w:r>
          </w:p>
        </w:tc>
        <w:tc>
          <w:tcPr>
            <w:tcW w:w="2117" w:type="pct"/>
          </w:tcPr>
          <w:p w14:paraId="149DB650" w14:textId="77777777" w:rsidR="00BF22C5" w:rsidRPr="009E464F" w:rsidRDefault="00BF22C5" w:rsidP="0083505F">
            <w:pPr>
              <w:snapToGrid w:val="0"/>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特征反应</w:t>
            </w:r>
          </w:p>
        </w:tc>
      </w:tr>
      <w:tr w:rsidR="00BF22C5" w:rsidRPr="009E464F" w14:paraId="0C1A9891" w14:textId="77777777" w:rsidTr="008663B1">
        <w:trPr>
          <w:jc w:val="center"/>
        </w:trPr>
        <w:tc>
          <w:tcPr>
            <w:tcW w:w="979" w:type="pct"/>
            <w:vMerge w:val="restart"/>
          </w:tcPr>
          <w:p w14:paraId="0A87667A"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CYP1A2</w:t>
            </w:r>
          </w:p>
        </w:tc>
        <w:tc>
          <w:tcPr>
            <w:tcW w:w="1905" w:type="pct"/>
          </w:tcPr>
          <w:p w14:paraId="0772FD37"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非那西丁</w:t>
            </w:r>
            <w:r w:rsidRPr="009E464F">
              <w:rPr>
                <w:rFonts w:cs="Times New Roman"/>
                <w:color w:val="000000" w:themeColor="text1"/>
                <w:sz w:val="21"/>
                <w:szCs w:val="21"/>
              </w:rPr>
              <w:t>(phenacetin)</w:t>
            </w:r>
          </w:p>
        </w:tc>
        <w:tc>
          <w:tcPr>
            <w:tcW w:w="2117" w:type="pct"/>
          </w:tcPr>
          <w:p w14:paraId="6168CA02"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非那西丁</w:t>
            </w:r>
            <w:r w:rsidRPr="009E464F">
              <w:rPr>
                <w:rFonts w:cs="Times New Roman"/>
                <w:color w:val="000000" w:themeColor="text1"/>
                <w:sz w:val="21"/>
                <w:szCs w:val="21"/>
              </w:rPr>
              <w:t>-O-</w:t>
            </w:r>
            <w:r w:rsidRPr="009E464F">
              <w:rPr>
                <w:rFonts w:cs="Times New Roman"/>
                <w:color w:val="000000" w:themeColor="text1"/>
                <w:sz w:val="21"/>
                <w:szCs w:val="21"/>
              </w:rPr>
              <w:t>去乙基化反应</w:t>
            </w:r>
          </w:p>
        </w:tc>
      </w:tr>
      <w:tr w:rsidR="00BF22C5" w:rsidRPr="009E464F" w14:paraId="6A5CC954" w14:textId="77777777" w:rsidTr="008663B1">
        <w:trPr>
          <w:jc w:val="center"/>
        </w:trPr>
        <w:tc>
          <w:tcPr>
            <w:tcW w:w="979" w:type="pct"/>
            <w:vMerge/>
          </w:tcPr>
          <w:p w14:paraId="735BA8C5"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1905" w:type="pct"/>
          </w:tcPr>
          <w:p w14:paraId="1E669351"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Style w:val="afb"/>
                <w:rFonts w:cs="Times New Roman"/>
                <w:color w:val="000000" w:themeColor="text1"/>
                <w:sz w:val="21"/>
                <w:szCs w:val="21"/>
              </w:rPr>
              <w:t>7</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shd w:val="clear" w:color="auto" w:fill="FFFFFF"/>
              </w:rPr>
              <w:t>乙氧</w:t>
            </w:r>
            <w:proofErr w:type="gramStart"/>
            <w:r w:rsidRPr="009E464F">
              <w:rPr>
                <w:rFonts w:cs="Times New Roman"/>
                <w:color w:val="000000" w:themeColor="text1"/>
                <w:sz w:val="21"/>
                <w:szCs w:val="21"/>
                <w:shd w:val="clear" w:color="auto" w:fill="FFFFFF"/>
              </w:rPr>
              <w:t>基试卤</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7-ethoxyresorufin)</w:t>
            </w:r>
          </w:p>
        </w:tc>
        <w:tc>
          <w:tcPr>
            <w:tcW w:w="2117" w:type="pct"/>
          </w:tcPr>
          <w:p w14:paraId="602E46BE"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Style w:val="afb"/>
                <w:rFonts w:cs="Times New Roman"/>
                <w:color w:val="000000" w:themeColor="text1"/>
                <w:sz w:val="21"/>
                <w:szCs w:val="21"/>
              </w:rPr>
              <w:t>7</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shd w:val="clear" w:color="auto" w:fill="FFFFFF"/>
              </w:rPr>
              <w:t>乙氧</w:t>
            </w:r>
            <w:proofErr w:type="gramStart"/>
            <w:r w:rsidRPr="009E464F">
              <w:rPr>
                <w:rFonts w:cs="Times New Roman"/>
                <w:color w:val="000000" w:themeColor="text1"/>
                <w:sz w:val="21"/>
                <w:szCs w:val="21"/>
                <w:shd w:val="clear" w:color="auto" w:fill="FFFFFF"/>
              </w:rPr>
              <w:t>基试卤</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shd w:val="clear" w:color="auto" w:fill="FFFFFF"/>
              </w:rPr>
              <w:t>去</w:t>
            </w:r>
            <w:r w:rsidRPr="009E464F">
              <w:rPr>
                <w:rFonts w:cs="Times New Roman"/>
                <w:color w:val="000000" w:themeColor="text1"/>
                <w:sz w:val="21"/>
                <w:szCs w:val="21"/>
              </w:rPr>
              <w:t>去乙基化反应</w:t>
            </w:r>
          </w:p>
        </w:tc>
      </w:tr>
      <w:tr w:rsidR="00BF22C5" w:rsidRPr="009E464F" w14:paraId="76C5BED1" w14:textId="77777777" w:rsidTr="008663B1">
        <w:trPr>
          <w:jc w:val="center"/>
        </w:trPr>
        <w:tc>
          <w:tcPr>
            <w:tcW w:w="979" w:type="pct"/>
            <w:vMerge w:val="restart"/>
          </w:tcPr>
          <w:p w14:paraId="04A48159"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CYP2B6</w:t>
            </w:r>
          </w:p>
        </w:tc>
        <w:tc>
          <w:tcPr>
            <w:tcW w:w="1905" w:type="pct"/>
          </w:tcPr>
          <w:p w14:paraId="3602E10A"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依法韦仑</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efavirenz)</w:t>
            </w:r>
          </w:p>
        </w:tc>
        <w:tc>
          <w:tcPr>
            <w:tcW w:w="2117" w:type="pct"/>
          </w:tcPr>
          <w:p w14:paraId="27800ED5"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依法韦仑羟化反应</w:t>
            </w:r>
          </w:p>
        </w:tc>
      </w:tr>
      <w:tr w:rsidR="00BF22C5" w:rsidRPr="009E464F" w14:paraId="14376076" w14:textId="77777777" w:rsidTr="008663B1">
        <w:trPr>
          <w:jc w:val="center"/>
        </w:trPr>
        <w:tc>
          <w:tcPr>
            <w:tcW w:w="979" w:type="pct"/>
            <w:vMerge/>
          </w:tcPr>
          <w:p w14:paraId="1B365608"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1905" w:type="pct"/>
          </w:tcPr>
          <w:p w14:paraId="0E8F3F5C"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安非他酮</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bupropion)</w:t>
            </w:r>
          </w:p>
        </w:tc>
        <w:tc>
          <w:tcPr>
            <w:tcW w:w="2117" w:type="pct"/>
          </w:tcPr>
          <w:p w14:paraId="287E66B8"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安非他酮羟化反应</w:t>
            </w:r>
          </w:p>
        </w:tc>
      </w:tr>
      <w:tr w:rsidR="00BF22C5" w:rsidRPr="009E464F" w14:paraId="79756D6B" w14:textId="77777777" w:rsidTr="008663B1">
        <w:trPr>
          <w:jc w:val="center"/>
        </w:trPr>
        <w:tc>
          <w:tcPr>
            <w:tcW w:w="979" w:type="pct"/>
            <w:vMerge w:val="restart"/>
          </w:tcPr>
          <w:p w14:paraId="2B7C4A83"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CYP2C8</w:t>
            </w:r>
          </w:p>
        </w:tc>
        <w:tc>
          <w:tcPr>
            <w:tcW w:w="1905" w:type="pct"/>
          </w:tcPr>
          <w:p w14:paraId="5A434D8B"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紫杉醇</w:t>
            </w:r>
            <w:r w:rsidRPr="009E464F">
              <w:rPr>
                <w:rFonts w:cs="Times New Roman"/>
                <w:color w:val="000000" w:themeColor="text1"/>
                <w:sz w:val="21"/>
                <w:szCs w:val="21"/>
              </w:rPr>
              <w:t>(paclitaxel)</w:t>
            </w:r>
          </w:p>
        </w:tc>
        <w:tc>
          <w:tcPr>
            <w:tcW w:w="2117" w:type="pct"/>
          </w:tcPr>
          <w:p w14:paraId="6302B20C"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紫杉醇</w:t>
            </w:r>
            <w:r w:rsidRPr="009E464F">
              <w:rPr>
                <w:rFonts w:cs="Times New Roman"/>
                <w:color w:val="000000" w:themeColor="text1"/>
                <w:sz w:val="21"/>
                <w:szCs w:val="21"/>
              </w:rPr>
              <w:t>6</w:t>
            </w:r>
            <w:r w:rsidRPr="009E464F">
              <w:rPr>
                <w:rFonts w:cs="Times New Roman"/>
                <w:color w:val="000000" w:themeColor="text1"/>
                <w:sz w:val="21"/>
                <w:szCs w:val="21"/>
              </w:rPr>
              <w:sym w:font="Symbol" w:char="F061"/>
            </w:r>
            <w:r w:rsidRPr="009E464F">
              <w:rPr>
                <w:rFonts w:cs="Times New Roman"/>
                <w:color w:val="000000" w:themeColor="text1"/>
                <w:sz w:val="21"/>
                <w:szCs w:val="21"/>
              </w:rPr>
              <w:t>-</w:t>
            </w:r>
            <w:r w:rsidRPr="009E464F">
              <w:rPr>
                <w:rFonts w:cs="Times New Roman"/>
                <w:color w:val="000000" w:themeColor="text1"/>
                <w:sz w:val="21"/>
                <w:szCs w:val="21"/>
              </w:rPr>
              <w:t>羟化反应</w:t>
            </w:r>
          </w:p>
        </w:tc>
      </w:tr>
      <w:tr w:rsidR="00BF22C5" w:rsidRPr="009E464F" w14:paraId="7D47673D" w14:textId="77777777" w:rsidTr="008663B1">
        <w:trPr>
          <w:jc w:val="center"/>
        </w:trPr>
        <w:tc>
          <w:tcPr>
            <w:tcW w:w="979" w:type="pct"/>
            <w:vMerge/>
          </w:tcPr>
          <w:p w14:paraId="28F393C4"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1905" w:type="pct"/>
          </w:tcPr>
          <w:p w14:paraId="23787D47"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阿莫地</w:t>
            </w:r>
            <w:proofErr w:type="gramStart"/>
            <w:r w:rsidRPr="009E464F">
              <w:rPr>
                <w:rFonts w:cs="Times New Roman"/>
                <w:color w:val="000000" w:themeColor="text1"/>
                <w:sz w:val="21"/>
                <w:szCs w:val="21"/>
                <w:shd w:val="clear" w:color="auto" w:fill="FFFFFF"/>
              </w:rPr>
              <w:t>喹</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amodiaquine)</w:t>
            </w:r>
          </w:p>
        </w:tc>
        <w:tc>
          <w:tcPr>
            <w:tcW w:w="2117" w:type="pct"/>
          </w:tcPr>
          <w:p w14:paraId="606AD3AC"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阿莫地</w:t>
            </w:r>
            <w:proofErr w:type="gramStart"/>
            <w:r w:rsidRPr="009E464F">
              <w:rPr>
                <w:rFonts w:cs="Times New Roman"/>
                <w:color w:val="000000" w:themeColor="text1"/>
                <w:sz w:val="21"/>
                <w:szCs w:val="21"/>
                <w:shd w:val="clear" w:color="auto" w:fill="FFFFFF"/>
              </w:rPr>
              <w:t>喹</w:t>
            </w:r>
            <w:proofErr w:type="gramEnd"/>
            <w:r w:rsidRPr="009E464F">
              <w:rPr>
                <w:rFonts w:cs="Times New Roman"/>
                <w:color w:val="000000" w:themeColor="text1"/>
                <w:sz w:val="21"/>
                <w:szCs w:val="21"/>
                <w:shd w:val="clear" w:color="auto" w:fill="FFFFFF"/>
              </w:rPr>
              <w:t xml:space="preserve"> N-</w:t>
            </w:r>
            <w:r w:rsidRPr="009E464F">
              <w:rPr>
                <w:rFonts w:cs="Times New Roman"/>
                <w:color w:val="000000" w:themeColor="text1"/>
                <w:sz w:val="21"/>
                <w:szCs w:val="21"/>
                <w:shd w:val="clear" w:color="auto" w:fill="FFFFFF"/>
              </w:rPr>
              <w:t>去乙基化反应</w:t>
            </w:r>
          </w:p>
        </w:tc>
      </w:tr>
      <w:tr w:rsidR="00BF22C5" w:rsidRPr="009E464F" w14:paraId="78BE51A6" w14:textId="77777777" w:rsidTr="008663B1">
        <w:trPr>
          <w:jc w:val="center"/>
        </w:trPr>
        <w:tc>
          <w:tcPr>
            <w:tcW w:w="979" w:type="pct"/>
            <w:vMerge w:val="restart"/>
          </w:tcPr>
          <w:p w14:paraId="375095BB"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CYP2C9</w:t>
            </w:r>
          </w:p>
        </w:tc>
        <w:tc>
          <w:tcPr>
            <w:tcW w:w="1905" w:type="pct"/>
          </w:tcPr>
          <w:p w14:paraId="298D0977"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S-</w:t>
            </w:r>
            <w:r w:rsidRPr="009E464F">
              <w:rPr>
                <w:rFonts w:cs="Times New Roman"/>
                <w:color w:val="000000" w:themeColor="text1"/>
                <w:sz w:val="21"/>
                <w:szCs w:val="21"/>
              </w:rPr>
              <w:t>华法令</w:t>
            </w:r>
            <w:r w:rsidRPr="009E464F">
              <w:rPr>
                <w:rFonts w:cs="Times New Roman"/>
                <w:color w:val="000000" w:themeColor="text1"/>
                <w:sz w:val="21"/>
                <w:szCs w:val="21"/>
              </w:rPr>
              <w:t>(S-warfarin)</w:t>
            </w:r>
          </w:p>
        </w:tc>
        <w:tc>
          <w:tcPr>
            <w:tcW w:w="2117" w:type="pct"/>
          </w:tcPr>
          <w:p w14:paraId="22B0EE9A"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S-</w:t>
            </w:r>
            <w:r w:rsidRPr="009E464F">
              <w:rPr>
                <w:rFonts w:cs="Times New Roman"/>
                <w:color w:val="000000" w:themeColor="text1"/>
                <w:sz w:val="21"/>
                <w:szCs w:val="21"/>
              </w:rPr>
              <w:t>华法令</w:t>
            </w:r>
            <w:r w:rsidRPr="009E464F">
              <w:rPr>
                <w:rFonts w:cs="Times New Roman"/>
                <w:color w:val="000000" w:themeColor="text1"/>
                <w:sz w:val="21"/>
                <w:szCs w:val="21"/>
              </w:rPr>
              <w:t>7-</w:t>
            </w:r>
            <w:r w:rsidRPr="009E464F">
              <w:rPr>
                <w:rFonts w:cs="Times New Roman"/>
                <w:color w:val="000000" w:themeColor="text1"/>
                <w:sz w:val="21"/>
                <w:szCs w:val="21"/>
              </w:rPr>
              <w:t>羟化反应</w:t>
            </w:r>
          </w:p>
        </w:tc>
      </w:tr>
      <w:tr w:rsidR="00BF22C5" w:rsidRPr="009E464F" w14:paraId="3F7E0D80" w14:textId="77777777" w:rsidTr="008663B1">
        <w:trPr>
          <w:jc w:val="center"/>
        </w:trPr>
        <w:tc>
          <w:tcPr>
            <w:tcW w:w="979" w:type="pct"/>
            <w:vMerge/>
          </w:tcPr>
          <w:p w14:paraId="384F46FD"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1905" w:type="pct"/>
          </w:tcPr>
          <w:p w14:paraId="54633126"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双氯芬酸（</w:t>
            </w:r>
            <w:r w:rsidRPr="009E464F">
              <w:rPr>
                <w:rFonts w:cs="Times New Roman"/>
                <w:color w:val="000000" w:themeColor="text1"/>
                <w:sz w:val="21"/>
                <w:szCs w:val="21"/>
              </w:rPr>
              <w:t>diclofenac</w:t>
            </w:r>
            <w:r w:rsidRPr="009E464F">
              <w:rPr>
                <w:rFonts w:cs="Times New Roman"/>
                <w:color w:val="000000" w:themeColor="text1"/>
                <w:sz w:val="21"/>
                <w:szCs w:val="21"/>
              </w:rPr>
              <w:t>）</w:t>
            </w:r>
          </w:p>
        </w:tc>
        <w:tc>
          <w:tcPr>
            <w:tcW w:w="2117" w:type="pct"/>
          </w:tcPr>
          <w:p w14:paraId="7C616574"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双氯酚酸</w:t>
            </w:r>
            <w:r w:rsidRPr="009E464F">
              <w:rPr>
                <w:rFonts w:cs="Times New Roman"/>
                <w:color w:val="000000" w:themeColor="text1"/>
                <w:sz w:val="21"/>
                <w:szCs w:val="21"/>
              </w:rPr>
              <w:t>4‘-</w:t>
            </w:r>
            <w:r w:rsidRPr="009E464F">
              <w:rPr>
                <w:rFonts w:cs="Times New Roman"/>
                <w:color w:val="000000" w:themeColor="text1"/>
                <w:sz w:val="21"/>
                <w:szCs w:val="21"/>
              </w:rPr>
              <w:t>羟化反应</w:t>
            </w:r>
            <w:r w:rsidRPr="009E464F">
              <w:rPr>
                <w:rFonts w:cs="Times New Roman"/>
                <w:color w:val="000000" w:themeColor="text1"/>
                <w:sz w:val="21"/>
                <w:szCs w:val="21"/>
              </w:rPr>
              <w:t>’</w:t>
            </w:r>
          </w:p>
        </w:tc>
      </w:tr>
      <w:tr w:rsidR="00BF22C5" w:rsidRPr="009E464F" w14:paraId="055532F7" w14:textId="77777777" w:rsidTr="008663B1">
        <w:trPr>
          <w:jc w:val="center"/>
        </w:trPr>
        <w:tc>
          <w:tcPr>
            <w:tcW w:w="979" w:type="pct"/>
          </w:tcPr>
          <w:p w14:paraId="61D8B2CD"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CYP2C19</w:t>
            </w:r>
          </w:p>
        </w:tc>
        <w:tc>
          <w:tcPr>
            <w:tcW w:w="1905" w:type="pct"/>
          </w:tcPr>
          <w:p w14:paraId="5150515E"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S-</w:t>
            </w:r>
            <w:proofErr w:type="gramStart"/>
            <w:r w:rsidRPr="009E464F">
              <w:rPr>
                <w:rFonts w:cs="Times New Roman"/>
                <w:color w:val="000000" w:themeColor="text1"/>
                <w:sz w:val="21"/>
                <w:szCs w:val="21"/>
              </w:rPr>
              <w:t>美芬妥英</w:t>
            </w:r>
            <w:proofErr w:type="gramEnd"/>
            <w:r w:rsidRPr="009E464F">
              <w:rPr>
                <w:rFonts w:cs="Times New Roman"/>
                <w:color w:val="000000" w:themeColor="text1"/>
                <w:sz w:val="21"/>
                <w:szCs w:val="21"/>
              </w:rPr>
              <w:t>(S-Mephenytoin)</w:t>
            </w:r>
          </w:p>
        </w:tc>
        <w:tc>
          <w:tcPr>
            <w:tcW w:w="2117" w:type="pct"/>
          </w:tcPr>
          <w:p w14:paraId="114E5666"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S-</w:t>
            </w:r>
            <w:proofErr w:type="gramStart"/>
            <w:r w:rsidRPr="009E464F">
              <w:rPr>
                <w:rFonts w:cs="Times New Roman"/>
                <w:color w:val="000000" w:themeColor="text1"/>
                <w:sz w:val="21"/>
                <w:szCs w:val="21"/>
              </w:rPr>
              <w:t>美芬妥英</w:t>
            </w:r>
            <w:proofErr w:type="gramEnd"/>
            <w:r w:rsidRPr="009E464F">
              <w:rPr>
                <w:rFonts w:cs="Times New Roman"/>
                <w:color w:val="000000" w:themeColor="text1"/>
                <w:sz w:val="21"/>
                <w:szCs w:val="21"/>
              </w:rPr>
              <w:t xml:space="preserve"> 4‘-</w:t>
            </w:r>
            <w:r w:rsidRPr="009E464F">
              <w:rPr>
                <w:rFonts w:cs="Times New Roman"/>
                <w:color w:val="000000" w:themeColor="text1"/>
                <w:sz w:val="21"/>
                <w:szCs w:val="21"/>
              </w:rPr>
              <w:t>羟化反应</w:t>
            </w:r>
            <w:r w:rsidRPr="009E464F">
              <w:rPr>
                <w:rFonts w:cs="Times New Roman"/>
                <w:color w:val="000000" w:themeColor="text1"/>
                <w:sz w:val="21"/>
                <w:szCs w:val="21"/>
              </w:rPr>
              <w:t>’</w:t>
            </w:r>
          </w:p>
        </w:tc>
      </w:tr>
      <w:tr w:rsidR="00BF22C5" w:rsidRPr="009E464F" w14:paraId="7D00D775" w14:textId="77777777" w:rsidTr="008663B1">
        <w:trPr>
          <w:jc w:val="center"/>
        </w:trPr>
        <w:tc>
          <w:tcPr>
            <w:tcW w:w="979" w:type="pct"/>
            <w:vMerge w:val="restart"/>
          </w:tcPr>
          <w:p w14:paraId="3090F224"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CYP2D6</w:t>
            </w:r>
          </w:p>
        </w:tc>
        <w:tc>
          <w:tcPr>
            <w:tcW w:w="1905" w:type="pct"/>
          </w:tcPr>
          <w:p w14:paraId="43A622B3"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丁</w:t>
            </w:r>
            <w:proofErr w:type="gramStart"/>
            <w:r w:rsidRPr="009E464F">
              <w:rPr>
                <w:rFonts w:cs="Times New Roman"/>
                <w:color w:val="000000" w:themeColor="text1"/>
                <w:sz w:val="21"/>
                <w:szCs w:val="21"/>
                <w:shd w:val="clear" w:color="auto" w:fill="FFFFFF"/>
              </w:rPr>
              <w:t>呋洛</w:t>
            </w:r>
            <w:proofErr w:type="gramEnd"/>
            <w:r w:rsidRPr="009E464F">
              <w:rPr>
                <w:rFonts w:cs="Times New Roman"/>
                <w:color w:val="000000" w:themeColor="text1"/>
                <w:sz w:val="21"/>
                <w:szCs w:val="21"/>
                <w:shd w:val="clear" w:color="auto" w:fill="FFFFFF"/>
              </w:rPr>
              <w:t>尔</w:t>
            </w:r>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bufuralol</w:t>
            </w:r>
            <w:proofErr w:type="spellEnd"/>
            <w:r w:rsidRPr="009E464F">
              <w:rPr>
                <w:rFonts w:cs="Times New Roman"/>
                <w:color w:val="000000" w:themeColor="text1"/>
                <w:sz w:val="21"/>
                <w:szCs w:val="21"/>
              </w:rPr>
              <w:t>)</w:t>
            </w:r>
          </w:p>
        </w:tc>
        <w:tc>
          <w:tcPr>
            <w:tcW w:w="2117" w:type="pct"/>
          </w:tcPr>
          <w:p w14:paraId="578DFBC7"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丁</w:t>
            </w:r>
            <w:proofErr w:type="gramStart"/>
            <w:r w:rsidRPr="009E464F">
              <w:rPr>
                <w:rFonts w:cs="Times New Roman"/>
                <w:color w:val="000000" w:themeColor="text1"/>
                <w:sz w:val="21"/>
                <w:szCs w:val="21"/>
                <w:shd w:val="clear" w:color="auto" w:fill="FFFFFF"/>
              </w:rPr>
              <w:t>呋洛</w:t>
            </w:r>
            <w:proofErr w:type="gramEnd"/>
            <w:r w:rsidRPr="009E464F">
              <w:rPr>
                <w:rFonts w:cs="Times New Roman"/>
                <w:color w:val="000000" w:themeColor="text1"/>
                <w:sz w:val="21"/>
                <w:szCs w:val="21"/>
                <w:shd w:val="clear" w:color="auto" w:fill="FFFFFF"/>
              </w:rPr>
              <w:t>尔</w:t>
            </w:r>
            <w:r w:rsidRPr="009E464F">
              <w:rPr>
                <w:rFonts w:cs="Times New Roman"/>
                <w:color w:val="000000" w:themeColor="text1"/>
                <w:sz w:val="21"/>
                <w:szCs w:val="21"/>
                <w:shd w:val="clear" w:color="auto" w:fill="FFFFFF"/>
              </w:rPr>
              <w:t>1</w:t>
            </w:r>
            <w:proofErr w:type="gramStart"/>
            <w:r w:rsidRPr="009E464F">
              <w:rPr>
                <w:rFonts w:cs="Times New Roman"/>
                <w:color w:val="000000" w:themeColor="text1"/>
                <w:sz w:val="21"/>
                <w:szCs w:val="21"/>
                <w:shd w:val="clear" w:color="auto" w:fill="FFFFFF"/>
              </w:rPr>
              <w:t>’</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shd w:val="clear" w:color="auto" w:fill="FFFFFF"/>
              </w:rPr>
              <w:t>羟化反应</w:t>
            </w:r>
          </w:p>
        </w:tc>
      </w:tr>
      <w:tr w:rsidR="00BF22C5" w:rsidRPr="009E464F" w14:paraId="54EF1444" w14:textId="77777777" w:rsidTr="008663B1">
        <w:trPr>
          <w:jc w:val="center"/>
        </w:trPr>
        <w:tc>
          <w:tcPr>
            <w:tcW w:w="979" w:type="pct"/>
            <w:vMerge/>
          </w:tcPr>
          <w:p w14:paraId="24569F5D"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1905" w:type="pct"/>
          </w:tcPr>
          <w:p w14:paraId="2A2C7001" w14:textId="77777777" w:rsidR="00BF22C5" w:rsidRPr="009E464F" w:rsidRDefault="00BF22C5">
            <w:pPr>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rPr>
              <w:t>右美沙芬</w:t>
            </w:r>
            <w:proofErr w:type="gramEnd"/>
            <w:r w:rsidRPr="009E464F">
              <w:rPr>
                <w:rFonts w:cs="Times New Roman"/>
                <w:color w:val="000000" w:themeColor="text1"/>
                <w:sz w:val="21"/>
                <w:szCs w:val="21"/>
              </w:rPr>
              <w:t xml:space="preserve">(dextromethorphan) </w:t>
            </w:r>
          </w:p>
        </w:tc>
        <w:tc>
          <w:tcPr>
            <w:tcW w:w="2117" w:type="pct"/>
          </w:tcPr>
          <w:p w14:paraId="05D19934" w14:textId="77777777" w:rsidR="00BF22C5" w:rsidRPr="009E464F" w:rsidRDefault="00BF22C5">
            <w:pPr>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rPr>
              <w:t>右美沙芬</w:t>
            </w:r>
            <w:proofErr w:type="gramEnd"/>
            <w:r w:rsidRPr="009E464F">
              <w:rPr>
                <w:rFonts w:cs="Times New Roman"/>
                <w:color w:val="000000" w:themeColor="text1"/>
                <w:sz w:val="21"/>
                <w:szCs w:val="21"/>
              </w:rPr>
              <w:t>O-</w:t>
            </w:r>
            <w:r w:rsidRPr="009E464F">
              <w:rPr>
                <w:rFonts w:cs="Times New Roman"/>
                <w:color w:val="000000" w:themeColor="text1"/>
                <w:sz w:val="21"/>
                <w:szCs w:val="21"/>
              </w:rPr>
              <w:t>去甲基化反应</w:t>
            </w:r>
          </w:p>
        </w:tc>
      </w:tr>
      <w:tr w:rsidR="00BF22C5" w:rsidRPr="009E464F" w14:paraId="629AE8D0" w14:textId="77777777" w:rsidTr="008663B1">
        <w:trPr>
          <w:jc w:val="center"/>
        </w:trPr>
        <w:tc>
          <w:tcPr>
            <w:tcW w:w="979" w:type="pct"/>
            <w:vMerge w:val="restart"/>
          </w:tcPr>
          <w:p w14:paraId="72E94D44"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CYP3A4/5*</w:t>
            </w:r>
          </w:p>
        </w:tc>
        <w:tc>
          <w:tcPr>
            <w:tcW w:w="1905" w:type="pct"/>
          </w:tcPr>
          <w:p w14:paraId="7B461E5D"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咪达唑仑（</w:t>
            </w:r>
            <w:r w:rsidRPr="009E464F">
              <w:rPr>
                <w:rFonts w:cs="Times New Roman"/>
                <w:color w:val="000000" w:themeColor="text1"/>
                <w:sz w:val="21"/>
                <w:szCs w:val="21"/>
              </w:rPr>
              <w:t>midazolam</w:t>
            </w:r>
            <w:r w:rsidRPr="009E464F">
              <w:rPr>
                <w:rFonts w:cs="Times New Roman"/>
                <w:color w:val="000000" w:themeColor="text1"/>
                <w:sz w:val="21"/>
                <w:szCs w:val="21"/>
              </w:rPr>
              <w:t>）</w:t>
            </w:r>
          </w:p>
        </w:tc>
        <w:tc>
          <w:tcPr>
            <w:tcW w:w="2117" w:type="pct"/>
          </w:tcPr>
          <w:p w14:paraId="4C07CEF2"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咪达唑仑</w:t>
            </w:r>
            <w:r w:rsidRPr="009E464F">
              <w:rPr>
                <w:rFonts w:cs="Times New Roman"/>
                <w:color w:val="000000" w:themeColor="text1"/>
                <w:sz w:val="21"/>
                <w:szCs w:val="21"/>
              </w:rPr>
              <w:t>1‘</w:t>
            </w:r>
            <w:r w:rsidRPr="009E464F">
              <w:rPr>
                <w:rFonts w:cs="Times New Roman"/>
                <w:color w:val="000000" w:themeColor="text1"/>
                <w:sz w:val="21"/>
                <w:szCs w:val="21"/>
              </w:rPr>
              <w:t>羟化反应</w:t>
            </w:r>
            <w:r w:rsidRPr="009E464F">
              <w:rPr>
                <w:rFonts w:cs="Times New Roman"/>
                <w:color w:val="000000" w:themeColor="text1"/>
                <w:sz w:val="21"/>
                <w:szCs w:val="21"/>
              </w:rPr>
              <w:t>’</w:t>
            </w:r>
          </w:p>
        </w:tc>
      </w:tr>
      <w:tr w:rsidR="00BF22C5" w:rsidRPr="009E464F" w14:paraId="21D00244" w14:textId="77777777" w:rsidTr="008663B1">
        <w:trPr>
          <w:jc w:val="center"/>
        </w:trPr>
        <w:tc>
          <w:tcPr>
            <w:tcW w:w="979" w:type="pct"/>
            <w:vMerge/>
          </w:tcPr>
          <w:p w14:paraId="6BE257AA"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1905" w:type="pct"/>
          </w:tcPr>
          <w:p w14:paraId="654A085F"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睾酮</w:t>
            </w:r>
            <w:r w:rsidRPr="009E464F">
              <w:rPr>
                <w:rFonts w:cs="Times New Roman"/>
                <w:color w:val="000000" w:themeColor="text1"/>
                <w:sz w:val="21"/>
                <w:szCs w:val="21"/>
              </w:rPr>
              <w:t>(testosterone)</w:t>
            </w:r>
          </w:p>
        </w:tc>
        <w:tc>
          <w:tcPr>
            <w:tcW w:w="2117" w:type="pct"/>
          </w:tcPr>
          <w:p w14:paraId="643008D7"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睾酮</w:t>
            </w:r>
            <w:r w:rsidRPr="009E464F">
              <w:rPr>
                <w:rFonts w:cs="Times New Roman"/>
                <w:color w:val="000000" w:themeColor="text1"/>
                <w:sz w:val="21"/>
                <w:szCs w:val="21"/>
              </w:rPr>
              <w:t>6</w:t>
            </w:r>
            <w:r w:rsidRPr="009E464F">
              <w:rPr>
                <w:rFonts w:cs="Times New Roman"/>
                <w:color w:val="000000" w:themeColor="text1"/>
                <w:sz w:val="21"/>
                <w:szCs w:val="21"/>
              </w:rPr>
              <w:sym w:font="Symbol" w:char="F062"/>
            </w:r>
            <w:r w:rsidRPr="009E464F">
              <w:rPr>
                <w:rFonts w:cs="Times New Roman"/>
                <w:color w:val="000000" w:themeColor="text1"/>
                <w:sz w:val="21"/>
                <w:szCs w:val="21"/>
              </w:rPr>
              <w:t>‘</w:t>
            </w:r>
            <w:r w:rsidRPr="009E464F">
              <w:rPr>
                <w:rFonts w:cs="Times New Roman"/>
                <w:color w:val="000000" w:themeColor="text1"/>
                <w:sz w:val="21"/>
                <w:szCs w:val="21"/>
              </w:rPr>
              <w:t>羟化反应</w:t>
            </w:r>
            <w:r w:rsidRPr="009E464F">
              <w:rPr>
                <w:rFonts w:cs="Times New Roman"/>
                <w:color w:val="000000" w:themeColor="text1"/>
                <w:sz w:val="21"/>
                <w:szCs w:val="21"/>
              </w:rPr>
              <w:t>’</w:t>
            </w:r>
          </w:p>
        </w:tc>
      </w:tr>
    </w:tbl>
    <w:p w14:paraId="43F39C3B" w14:textId="77777777" w:rsidR="00BF22C5" w:rsidRPr="009E464F" w:rsidRDefault="00BF22C5">
      <w:pPr>
        <w:spacing w:line="240" w:lineRule="auto"/>
        <w:ind w:firstLine="420"/>
        <w:jc w:val="left"/>
        <w:rPr>
          <w:rFonts w:cs="Times New Roman"/>
          <w:color w:val="000000" w:themeColor="text1"/>
          <w:sz w:val="21"/>
          <w:szCs w:val="21"/>
          <w:lang w:eastAsia="zh-CN"/>
        </w:rPr>
      </w:pPr>
      <w:r w:rsidRPr="009E464F">
        <w:rPr>
          <w:rFonts w:cs="Times New Roman"/>
          <w:color w:val="000000" w:themeColor="text1"/>
          <w:sz w:val="21"/>
          <w:szCs w:val="21"/>
          <w:lang w:eastAsia="zh-CN"/>
        </w:rPr>
        <w:t>*</w:t>
      </w:r>
      <w:r w:rsidRPr="009E464F">
        <w:rPr>
          <w:rFonts w:cs="Times New Roman"/>
          <w:color w:val="000000" w:themeColor="text1"/>
          <w:sz w:val="21"/>
          <w:szCs w:val="21"/>
          <w:lang w:eastAsia="zh-CN"/>
        </w:rPr>
        <w:t>对于</w:t>
      </w:r>
      <w:r w:rsidRPr="009E464F">
        <w:rPr>
          <w:rFonts w:cs="Times New Roman"/>
          <w:color w:val="000000" w:themeColor="text1"/>
          <w:sz w:val="21"/>
          <w:szCs w:val="21"/>
          <w:lang w:eastAsia="zh-CN"/>
        </w:rPr>
        <w:t>CYP3A4/5</w:t>
      </w:r>
      <w:r w:rsidRPr="009E464F">
        <w:rPr>
          <w:rFonts w:cs="Times New Roman"/>
          <w:color w:val="000000" w:themeColor="text1"/>
          <w:sz w:val="21"/>
          <w:szCs w:val="21"/>
          <w:lang w:eastAsia="zh-CN"/>
        </w:rPr>
        <w:t>，应同时选用两种底物进行试验。</w:t>
      </w:r>
    </w:p>
    <w:p w14:paraId="4446C47E" w14:textId="77777777" w:rsidR="007D743C" w:rsidRDefault="007D743C">
      <w:pPr>
        <w:spacing w:line="240" w:lineRule="auto"/>
        <w:ind w:firstLine="480"/>
        <w:jc w:val="left"/>
        <w:rPr>
          <w:rFonts w:cs="Times New Roman"/>
          <w:color w:val="000000" w:themeColor="text1"/>
          <w:sz w:val="24"/>
          <w:szCs w:val="24"/>
          <w:lang w:eastAsia="zh-CN"/>
        </w:rPr>
      </w:pPr>
    </w:p>
    <w:p w14:paraId="73BD5FBE" w14:textId="37D78E4F" w:rsidR="00BF22C5" w:rsidRPr="0083505F" w:rsidRDefault="00BF22C5" w:rsidP="00671896">
      <w:pPr>
        <w:spacing w:line="240" w:lineRule="auto"/>
        <w:ind w:firstLineChars="0" w:firstLine="0"/>
        <w:jc w:val="center"/>
        <w:rPr>
          <w:rFonts w:cs="Times New Roman"/>
          <w:color w:val="000000" w:themeColor="text1"/>
          <w:sz w:val="24"/>
          <w:szCs w:val="24"/>
          <w:lang w:eastAsia="zh-CN"/>
        </w:rPr>
      </w:pPr>
      <w:r w:rsidRPr="0083505F">
        <w:rPr>
          <w:rFonts w:cs="Times New Roman" w:hint="eastAsia"/>
          <w:color w:val="000000" w:themeColor="text1"/>
          <w:sz w:val="24"/>
          <w:szCs w:val="24"/>
          <w:lang w:eastAsia="zh-CN"/>
        </w:rPr>
        <w:t>表</w:t>
      </w:r>
      <w:r w:rsidR="00ED1C86">
        <w:rPr>
          <w:rFonts w:cs="Times New Roman"/>
          <w:color w:val="000000" w:themeColor="text1"/>
          <w:sz w:val="24"/>
          <w:szCs w:val="24"/>
          <w:lang w:eastAsia="zh-CN"/>
        </w:rPr>
        <w:t xml:space="preserve">3 </w:t>
      </w:r>
      <w:r w:rsidR="00064DF5" w:rsidRPr="0083505F">
        <w:rPr>
          <w:rFonts w:cs="Times New Roman" w:hint="eastAsia"/>
          <w:color w:val="000000" w:themeColor="text1"/>
          <w:sz w:val="24"/>
          <w:szCs w:val="24"/>
          <w:lang w:eastAsia="zh-CN"/>
        </w:rPr>
        <w:t>体外试验</w:t>
      </w:r>
      <w:r w:rsidRPr="0083505F">
        <w:rPr>
          <w:rFonts w:cs="Times New Roman" w:hint="eastAsia"/>
          <w:color w:val="000000" w:themeColor="text1"/>
          <w:sz w:val="24"/>
          <w:szCs w:val="24"/>
          <w:lang w:eastAsia="zh-CN"/>
        </w:rPr>
        <w:t>可选择的</w:t>
      </w:r>
      <w:r w:rsidRPr="0083505F">
        <w:rPr>
          <w:rFonts w:cs="Times New Roman"/>
          <w:color w:val="000000" w:themeColor="text1"/>
          <w:sz w:val="24"/>
          <w:szCs w:val="24"/>
          <w:lang w:eastAsia="zh-CN"/>
        </w:rPr>
        <w:t>CYP</w:t>
      </w:r>
      <w:r w:rsidRPr="0083505F">
        <w:rPr>
          <w:rFonts w:cs="Times New Roman" w:hint="eastAsia"/>
          <w:color w:val="000000" w:themeColor="text1"/>
          <w:sz w:val="24"/>
          <w:szCs w:val="24"/>
          <w:lang w:eastAsia="zh-CN"/>
        </w:rPr>
        <w:t>酶特异性抑制剂</w:t>
      </w:r>
    </w:p>
    <w:tbl>
      <w:tblPr>
        <w:tblStyle w:val="af7"/>
        <w:tblW w:w="5000" w:type="pct"/>
        <w:jc w:val="center"/>
        <w:tblLook w:val="04A0" w:firstRow="1" w:lastRow="0" w:firstColumn="1" w:lastColumn="0" w:noHBand="0" w:noVBand="1"/>
      </w:tblPr>
      <w:tblGrid>
        <w:gridCol w:w="2228"/>
        <w:gridCol w:w="4300"/>
        <w:gridCol w:w="2822"/>
      </w:tblGrid>
      <w:tr w:rsidR="00BF22C5" w:rsidRPr="009E464F" w14:paraId="7336CBE9" w14:textId="77777777" w:rsidTr="008663B1">
        <w:trPr>
          <w:jc w:val="center"/>
        </w:trPr>
        <w:tc>
          <w:tcPr>
            <w:tcW w:w="1191" w:type="pct"/>
          </w:tcPr>
          <w:p w14:paraId="430EF3D5" w14:textId="77777777" w:rsidR="00BF22C5" w:rsidRPr="009E464F" w:rsidRDefault="00BF22C5" w:rsidP="0083505F">
            <w:pPr>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酶</w:t>
            </w:r>
          </w:p>
        </w:tc>
        <w:tc>
          <w:tcPr>
            <w:tcW w:w="2299" w:type="pct"/>
          </w:tcPr>
          <w:p w14:paraId="2FAD1D4E" w14:textId="77777777" w:rsidR="00BF22C5" w:rsidRPr="009E464F" w:rsidRDefault="00BF22C5" w:rsidP="0083505F">
            <w:pPr>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特异性抑制剂</w:t>
            </w:r>
          </w:p>
        </w:tc>
        <w:tc>
          <w:tcPr>
            <w:tcW w:w="1509" w:type="pct"/>
          </w:tcPr>
          <w:p w14:paraId="1F49F488" w14:textId="77777777" w:rsidR="00BF22C5" w:rsidRPr="009E464F" w:rsidRDefault="00BF22C5" w:rsidP="0083505F">
            <w:pPr>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备注</w:t>
            </w:r>
          </w:p>
        </w:tc>
      </w:tr>
      <w:tr w:rsidR="00BF22C5" w:rsidRPr="009E464F" w14:paraId="0539DD16" w14:textId="77777777" w:rsidTr="008663B1">
        <w:trPr>
          <w:jc w:val="center"/>
        </w:trPr>
        <w:tc>
          <w:tcPr>
            <w:tcW w:w="1191" w:type="pct"/>
            <w:vMerge w:val="restart"/>
          </w:tcPr>
          <w:p w14:paraId="1839A6ED" w14:textId="77777777" w:rsidR="00BF22C5" w:rsidRPr="009E464F" w:rsidRDefault="00BF22C5">
            <w:pPr>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CYP1A2</w:t>
            </w:r>
          </w:p>
        </w:tc>
        <w:tc>
          <w:tcPr>
            <w:tcW w:w="2299" w:type="pct"/>
          </w:tcPr>
          <w:p w14:paraId="76C5A08B" w14:textId="77777777" w:rsidR="00BF22C5" w:rsidRPr="009E464F" w:rsidRDefault="00BF22C5">
            <w:pPr>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sym w:font="Symbol" w:char="F061"/>
            </w:r>
            <w:r w:rsidRPr="009E464F">
              <w:rPr>
                <w:rFonts w:cs="Times New Roman"/>
                <w:color w:val="000000" w:themeColor="text1"/>
                <w:sz w:val="21"/>
                <w:szCs w:val="21"/>
              </w:rPr>
              <w:t>-</w:t>
            </w:r>
            <w:r w:rsidRPr="009E464F">
              <w:rPr>
                <w:rFonts w:cs="Times New Roman"/>
                <w:color w:val="000000" w:themeColor="text1"/>
                <w:sz w:val="21"/>
                <w:szCs w:val="21"/>
              </w:rPr>
              <w:t>奈黄酮（</w:t>
            </w:r>
            <w:r w:rsidRPr="009E464F">
              <w:rPr>
                <w:rFonts w:cs="Times New Roman"/>
                <w:color w:val="000000" w:themeColor="text1"/>
                <w:sz w:val="21"/>
                <w:szCs w:val="21"/>
              </w:rPr>
              <w:t>α-naphthoflavone</w:t>
            </w:r>
            <w:r w:rsidRPr="009E464F">
              <w:rPr>
                <w:rFonts w:cs="Times New Roman"/>
                <w:color w:val="000000" w:themeColor="text1"/>
                <w:sz w:val="21"/>
                <w:szCs w:val="21"/>
              </w:rPr>
              <w:t>）</w:t>
            </w:r>
          </w:p>
        </w:tc>
        <w:tc>
          <w:tcPr>
            <w:tcW w:w="1509" w:type="pct"/>
          </w:tcPr>
          <w:p w14:paraId="16ACFB85" w14:textId="77777777" w:rsidR="00BF22C5" w:rsidRPr="009E464F" w:rsidRDefault="00BF22C5">
            <w:pPr>
              <w:spacing w:line="240" w:lineRule="auto"/>
              <w:ind w:firstLine="420"/>
              <w:jc w:val="left"/>
              <w:rPr>
                <w:rFonts w:cs="Times New Roman"/>
                <w:color w:val="000000" w:themeColor="text1"/>
                <w:sz w:val="21"/>
                <w:szCs w:val="21"/>
              </w:rPr>
            </w:pPr>
          </w:p>
        </w:tc>
      </w:tr>
      <w:tr w:rsidR="00BF22C5" w:rsidRPr="009E464F" w14:paraId="6D7369F2" w14:textId="77777777" w:rsidTr="008663B1">
        <w:trPr>
          <w:jc w:val="center"/>
        </w:trPr>
        <w:tc>
          <w:tcPr>
            <w:tcW w:w="1191" w:type="pct"/>
            <w:vMerge/>
          </w:tcPr>
          <w:p w14:paraId="17E33836" w14:textId="77777777" w:rsidR="00BF22C5" w:rsidRPr="009E464F" w:rsidRDefault="00BF22C5">
            <w:pPr>
              <w:spacing w:line="240" w:lineRule="auto"/>
              <w:ind w:firstLine="420"/>
              <w:jc w:val="left"/>
              <w:rPr>
                <w:rFonts w:cs="Times New Roman"/>
                <w:color w:val="000000" w:themeColor="text1"/>
                <w:sz w:val="21"/>
                <w:szCs w:val="21"/>
              </w:rPr>
            </w:pPr>
          </w:p>
        </w:tc>
        <w:tc>
          <w:tcPr>
            <w:tcW w:w="2299" w:type="pct"/>
          </w:tcPr>
          <w:p w14:paraId="02F03155" w14:textId="77777777" w:rsidR="00BF22C5" w:rsidRPr="009E464F" w:rsidRDefault="00BF22C5">
            <w:pPr>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shd w:val="clear" w:color="auto" w:fill="FFFFFF"/>
              </w:rPr>
              <w:t>呋</w:t>
            </w:r>
            <w:proofErr w:type="gramEnd"/>
            <w:r w:rsidRPr="009E464F">
              <w:rPr>
                <w:rFonts w:cs="Times New Roman"/>
                <w:color w:val="000000" w:themeColor="text1"/>
                <w:sz w:val="21"/>
                <w:szCs w:val="21"/>
                <w:shd w:val="clear" w:color="auto" w:fill="FFFFFF"/>
              </w:rPr>
              <w:t>拉茶碱（</w:t>
            </w:r>
            <w:proofErr w:type="spellStart"/>
            <w:r w:rsidRPr="009E464F">
              <w:rPr>
                <w:rFonts w:cs="Times New Roman"/>
                <w:color w:val="000000" w:themeColor="text1"/>
                <w:sz w:val="21"/>
                <w:szCs w:val="21"/>
              </w:rPr>
              <w:t>furafylline</w:t>
            </w:r>
            <w:proofErr w:type="spellEnd"/>
            <w:r w:rsidRPr="009E464F">
              <w:rPr>
                <w:rFonts w:cs="Times New Roman"/>
                <w:color w:val="000000" w:themeColor="text1"/>
                <w:sz w:val="21"/>
                <w:szCs w:val="21"/>
              </w:rPr>
              <w:t>）</w:t>
            </w:r>
          </w:p>
        </w:tc>
        <w:tc>
          <w:tcPr>
            <w:tcW w:w="1509" w:type="pct"/>
          </w:tcPr>
          <w:p w14:paraId="53A148D1" w14:textId="77777777" w:rsidR="00BF22C5" w:rsidRPr="009E464F" w:rsidRDefault="00BF22C5">
            <w:pPr>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时间依赖性抑制剂</w:t>
            </w:r>
          </w:p>
        </w:tc>
      </w:tr>
      <w:tr w:rsidR="00BF22C5" w:rsidRPr="009E464F" w14:paraId="308ECE24" w14:textId="77777777" w:rsidTr="008663B1">
        <w:trPr>
          <w:jc w:val="center"/>
        </w:trPr>
        <w:tc>
          <w:tcPr>
            <w:tcW w:w="1191" w:type="pct"/>
            <w:vMerge w:val="restart"/>
          </w:tcPr>
          <w:p w14:paraId="7FB44898" w14:textId="77777777" w:rsidR="00BF22C5" w:rsidRPr="009E464F" w:rsidRDefault="00BF22C5">
            <w:pPr>
              <w:spacing w:line="240" w:lineRule="auto"/>
              <w:ind w:firstLine="420"/>
              <w:jc w:val="left"/>
              <w:rPr>
                <w:rFonts w:cs="Times New Roman"/>
                <w:color w:val="000000" w:themeColor="text1"/>
                <w:sz w:val="21"/>
                <w:szCs w:val="21"/>
              </w:rPr>
            </w:pPr>
          </w:p>
          <w:p w14:paraId="4251EDC6" w14:textId="77777777" w:rsidR="00BF22C5" w:rsidRPr="009E464F" w:rsidRDefault="00BF22C5">
            <w:pPr>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CYP2B6</w:t>
            </w:r>
          </w:p>
        </w:tc>
        <w:tc>
          <w:tcPr>
            <w:tcW w:w="2299" w:type="pct"/>
          </w:tcPr>
          <w:p w14:paraId="5C1B96D3" w14:textId="77777777" w:rsidR="00BF22C5" w:rsidRPr="009E464F" w:rsidRDefault="00BF22C5">
            <w:pPr>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shd w:val="clear" w:color="auto" w:fill="FFFFFF"/>
              </w:rPr>
              <w:t>舍曲林</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sertraline)</w:t>
            </w:r>
          </w:p>
        </w:tc>
        <w:tc>
          <w:tcPr>
            <w:tcW w:w="1509" w:type="pct"/>
          </w:tcPr>
          <w:p w14:paraId="29760AF3" w14:textId="77777777" w:rsidR="00BF22C5" w:rsidRPr="009E464F" w:rsidRDefault="00BF22C5">
            <w:pPr>
              <w:spacing w:line="240" w:lineRule="auto"/>
              <w:ind w:firstLine="420"/>
              <w:jc w:val="left"/>
              <w:rPr>
                <w:rFonts w:cs="Times New Roman"/>
                <w:color w:val="000000" w:themeColor="text1"/>
                <w:sz w:val="21"/>
                <w:szCs w:val="21"/>
              </w:rPr>
            </w:pPr>
          </w:p>
        </w:tc>
      </w:tr>
      <w:tr w:rsidR="00BF22C5" w:rsidRPr="009E464F" w14:paraId="1D49E8FC" w14:textId="77777777" w:rsidTr="008663B1">
        <w:trPr>
          <w:jc w:val="center"/>
        </w:trPr>
        <w:tc>
          <w:tcPr>
            <w:tcW w:w="1191" w:type="pct"/>
            <w:vMerge/>
          </w:tcPr>
          <w:p w14:paraId="718707F4"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299" w:type="pct"/>
          </w:tcPr>
          <w:p w14:paraId="6449036A"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苯环己哌啶</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phencyclidine</w:t>
            </w:r>
            <w:r w:rsidRPr="009E464F">
              <w:rPr>
                <w:rFonts w:cs="Times New Roman"/>
                <w:color w:val="000000" w:themeColor="text1"/>
                <w:sz w:val="21"/>
                <w:szCs w:val="21"/>
                <w:shd w:val="clear" w:color="auto" w:fill="FFFFFF"/>
              </w:rPr>
              <w:t>)</w:t>
            </w:r>
          </w:p>
        </w:tc>
        <w:tc>
          <w:tcPr>
            <w:tcW w:w="1509" w:type="pct"/>
          </w:tcPr>
          <w:p w14:paraId="6014E960"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时间依赖性抑制剂</w:t>
            </w:r>
          </w:p>
        </w:tc>
      </w:tr>
      <w:tr w:rsidR="00BF22C5" w:rsidRPr="009E464F" w14:paraId="00C7D0E6" w14:textId="77777777" w:rsidTr="008663B1">
        <w:trPr>
          <w:jc w:val="center"/>
        </w:trPr>
        <w:tc>
          <w:tcPr>
            <w:tcW w:w="1191" w:type="pct"/>
            <w:vMerge/>
          </w:tcPr>
          <w:p w14:paraId="377BCE9C"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299" w:type="pct"/>
          </w:tcPr>
          <w:p w14:paraId="23B1FFF4" w14:textId="77777777" w:rsidR="00BF22C5" w:rsidRPr="009E464F" w:rsidRDefault="00BF22C5">
            <w:pPr>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shd w:val="clear" w:color="auto" w:fill="FFFFFF"/>
              </w:rPr>
              <w:t>塞替派</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thiotepa)</w:t>
            </w:r>
          </w:p>
        </w:tc>
        <w:tc>
          <w:tcPr>
            <w:tcW w:w="1509" w:type="pct"/>
          </w:tcPr>
          <w:p w14:paraId="7EB4FFD7"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时间依赖性抑制剂</w:t>
            </w:r>
          </w:p>
        </w:tc>
      </w:tr>
      <w:tr w:rsidR="00BF22C5" w:rsidRPr="009E464F" w14:paraId="0E7F6F18" w14:textId="77777777" w:rsidTr="008663B1">
        <w:trPr>
          <w:jc w:val="center"/>
        </w:trPr>
        <w:tc>
          <w:tcPr>
            <w:tcW w:w="1191" w:type="pct"/>
            <w:vMerge/>
          </w:tcPr>
          <w:p w14:paraId="0CA5A95A"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299" w:type="pct"/>
          </w:tcPr>
          <w:p w14:paraId="4A5E921A" w14:textId="77777777" w:rsidR="00BF22C5" w:rsidRPr="009E464F" w:rsidRDefault="00BF22C5">
            <w:pPr>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shd w:val="clear" w:color="auto" w:fill="FFFFFF"/>
              </w:rPr>
              <w:t>噻氯匹定</w:t>
            </w:r>
            <w:proofErr w:type="gramEnd"/>
            <w:r w:rsidRPr="009E464F">
              <w:rPr>
                <w:rFonts w:cs="Times New Roman"/>
                <w:color w:val="000000" w:themeColor="text1"/>
                <w:sz w:val="21"/>
                <w:szCs w:val="21"/>
              </w:rPr>
              <w:t>(ticlopidine)</w:t>
            </w:r>
          </w:p>
        </w:tc>
        <w:tc>
          <w:tcPr>
            <w:tcW w:w="1509" w:type="pct"/>
          </w:tcPr>
          <w:p w14:paraId="2917BB76"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时间依赖性抑制剂</w:t>
            </w:r>
          </w:p>
        </w:tc>
      </w:tr>
      <w:tr w:rsidR="00BF22C5" w:rsidRPr="009E464F" w14:paraId="315CA555" w14:textId="77777777" w:rsidTr="008663B1">
        <w:trPr>
          <w:jc w:val="center"/>
        </w:trPr>
        <w:tc>
          <w:tcPr>
            <w:tcW w:w="1191" w:type="pct"/>
            <w:vMerge w:val="restart"/>
          </w:tcPr>
          <w:p w14:paraId="49D59B4C" w14:textId="77777777" w:rsidR="00BF22C5" w:rsidRPr="009E464F" w:rsidRDefault="00BF22C5">
            <w:pPr>
              <w:snapToGrid w:val="0"/>
              <w:spacing w:line="240" w:lineRule="auto"/>
              <w:ind w:firstLine="420"/>
              <w:jc w:val="left"/>
              <w:rPr>
                <w:rFonts w:cs="Times New Roman"/>
                <w:color w:val="000000" w:themeColor="text1"/>
                <w:sz w:val="21"/>
                <w:szCs w:val="21"/>
              </w:rPr>
            </w:pPr>
          </w:p>
          <w:p w14:paraId="22B39990"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CYP2C8</w:t>
            </w:r>
          </w:p>
        </w:tc>
        <w:tc>
          <w:tcPr>
            <w:tcW w:w="2299" w:type="pct"/>
          </w:tcPr>
          <w:p w14:paraId="5F16F2D1"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孟鲁司特</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montelukast)</w:t>
            </w:r>
          </w:p>
        </w:tc>
        <w:tc>
          <w:tcPr>
            <w:tcW w:w="1509" w:type="pct"/>
          </w:tcPr>
          <w:p w14:paraId="0E6E1D09"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0F396563" w14:textId="77777777" w:rsidTr="008663B1">
        <w:trPr>
          <w:jc w:val="center"/>
        </w:trPr>
        <w:tc>
          <w:tcPr>
            <w:tcW w:w="1191" w:type="pct"/>
            <w:vMerge/>
          </w:tcPr>
          <w:p w14:paraId="4A3F7729"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299" w:type="pct"/>
          </w:tcPr>
          <w:p w14:paraId="7FCB2C18"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proofErr w:type="gramStart"/>
            <w:r w:rsidRPr="009E464F">
              <w:rPr>
                <w:rFonts w:cs="Times New Roman"/>
                <w:color w:val="000000" w:themeColor="text1"/>
                <w:sz w:val="21"/>
                <w:szCs w:val="21"/>
                <w:shd w:val="clear" w:color="auto" w:fill="FFFFFF"/>
              </w:rPr>
              <w:t>槲</w:t>
            </w:r>
            <w:proofErr w:type="gramEnd"/>
            <w:r w:rsidRPr="009E464F">
              <w:rPr>
                <w:rFonts w:cs="Times New Roman"/>
                <w:color w:val="000000" w:themeColor="text1"/>
                <w:sz w:val="21"/>
                <w:szCs w:val="21"/>
                <w:shd w:val="clear" w:color="auto" w:fill="FFFFFF"/>
              </w:rPr>
              <w:t>皮素</w:t>
            </w:r>
            <w:r w:rsidRPr="009E464F">
              <w:rPr>
                <w:rFonts w:cs="Times New Roman"/>
                <w:color w:val="000000" w:themeColor="text1"/>
                <w:sz w:val="21"/>
                <w:szCs w:val="21"/>
              </w:rPr>
              <w:t>(quercetin)</w:t>
            </w:r>
          </w:p>
        </w:tc>
        <w:tc>
          <w:tcPr>
            <w:tcW w:w="1509" w:type="pct"/>
          </w:tcPr>
          <w:p w14:paraId="30678A82"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137FCF7F" w14:textId="77777777" w:rsidTr="008663B1">
        <w:trPr>
          <w:jc w:val="center"/>
        </w:trPr>
        <w:tc>
          <w:tcPr>
            <w:tcW w:w="1191" w:type="pct"/>
            <w:vMerge/>
          </w:tcPr>
          <w:p w14:paraId="27F3375F"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299" w:type="pct"/>
          </w:tcPr>
          <w:p w14:paraId="389FF807"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苯乙</w:t>
            </w:r>
            <w:proofErr w:type="gramStart"/>
            <w:r w:rsidRPr="009E464F">
              <w:rPr>
                <w:rFonts w:cs="Times New Roman"/>
                <w:color w:val="000000" w:themeColor="text1"/>
                <w:sz w:val="21"/>
                <w:szCs w:val="21"/>
                <w:shd w:val="clear" w:color="auto" w:fill="FFFFFF"/>
              </w:rPr>
              <w:t>肼</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phenelzine)</w:t>
            </w:r>
          </w:p>
        </w:tc>
        <w:tc>
          <w:tcPr>
            <w:tcW w:w="1509" w:type="pct"/>
          </w:tcPr>
          <w:p w14:paraId="6BFAE714"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时间依赖性抑制剂</w:t>
            </w:r>
          </w:p>
        </w:tc>
      </w:tr>
      <w:tr w:rsidR="00BF22C5" w:rsidRPr="009E464F" w14:paraId="7F367607" w14:textId="77777777" w:rsidTr="008663B1">
        <w:trPr>
          <w:jc w:val="center"/>
        </w:trPr>
        <w:tc>
          <w:tcPr>
            <w:tcW w:w="1191" w:type="pct"/>
            <w:vMerge w:val="restart"/>
          </w:tcPr>
          <w:p w14:paraId="2947FDE6"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CYP2C9</w:t>
            </w:r>
          </w:p>
        </w:tc>
        <w:tc>
          <w:tcPr>
            <w:tcW w:w="2299" w:type="pct"/>
          </w:tcPr>
          <w:p w14:paraId="49E43453"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磺胺苯吡唑</w:t>
            </w:r>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sulfaphenazole</w:t>
            </w:r>
            <w:proofErr w:type="spellEnd"/>
            <w:r w:rsidRPr="009E464F">
              <w:rPr>
                <w:rFonts w:cs="Times New Roman"/>
                <w:color w:val="000000" w:themeColor="text1"/>
                <w:sz w:val="21"/>
                <w:szCs w:val="21"/>
              </w:rPr>
              <w:t>)</w:t>
            </w:r>
          </w:p>
        </w:tc>
        <w:tc>
          <w:tcPr>
            <w:tcW w:w="1509" w:type="pct"/>
          </w:tcPr>
          <w:p w14:paraId="52B830D6"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21BD697E" w14:textId="77777777" w:rsidTr="008663B1">
        <w:trPr>
          <w:jc w:val="center"/>
        </w:trPr>
        <w:tc>
          <w:tcPr>
            <w:tcW w:w="1191" w:type="pct"/>
            <w:vMerge/>
          </w:tcPr>
          <w:p w14:paraId="675AE726"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299" w:type="pct"/>
          </w:tcPr>
          <w:p w14:paraId="25627958"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proofErr w:type="gramStart"/>
            <w:r w:rsidRPr="009E464F">
              <w:rPr>
                <w:rFonts w:cs="Times New Roman"/>
                <w:color w:val="000000" w:themeColor="text1"/>
                <w:sz w:val="21"/>
                <w:szCs w:val="21"/>
                <w:shd w:val="clear" w:color="auto" w:fill="FFFFFF"/>
              </w:rPr>
              <w:t>替尼酸</w:t>
            </w:r>
            <w:proofErr w:type="gram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tienilic</w:t>
            </w:r>
            <w:proofErr w:type="spellEnd"/>
            <w:r w:rsidRPr="009E464F">
              <w:rPr>
                <w:rFonts w:cs="Times New Roman"/>
                <w:color w:val="000000" w:themeColor="text1"/>
                <w:sz w:val="21"/>
                <w:szCs w:val="21"/>
              </w:rPr>
              <w:t xml:space="preserve"> acid)</w:t>
            </w:r>
          </w:p>
        </w:tc>
        <w:tc>
          <w:tcPr>
            <w:tcW w:w="1509" w:type="pct"/>
          </w:tcPr>
          <w:p w14:paraId="4DD5E4F5"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时间依赖性抑制剂</w:t>
            </w:r>
          </w:p>
        </w:tc>
      </w:tr>
      <w:tr w:rsidR="00BF22C5" w:rsidRPr="009E464F" w14:paraId="099B8F12" w14:textId="77777777" w:rsidTr="008663B1">
        <w:trPr>
          <w:jc w:val="center"/>
        </w:trPr>
        <w:tc>
          <w:tcPr>
            <w:tcW w:w="1191" w:type="pct"/>
            <w:vMerge w:val="restart"/>
          </w:tcPr>
          <w:p w14:paraId="7A84BC1E" w14:textId="77777777" w:rsidR="00BF22C5" w:rsidRPr="009E464F" w:rsidRDefault="00BF22C5">
            <w:pPr>
              <w:snapToGrid w:val="0"/>
              <w:spacing w:line="240" w:lineRule="auto"/>
              <w:ind w:firstLine="420"/>
              <w:jc w:val="left"/>
              <w:rPr>
                <w:rFonts w:cs="Times New Roman"/>
                <w:color w:val="000000" w:themeColor="text1"/>
                <w:sz w:val="21"/>
                <w:szCs w:val="21"/>
              </w:rPr>
            </w:pPr>
          </w:p>
          <w:p w14:paraId="5131D7B0"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CYP2C19</w:t>
            </w:r>
          </w:p>
        </w:tc>
        <w:tc>
          <w:tcPr>
            <w:tcW w:w="2299" w:type="pct"/>
          </w:tcPr>
          <w:p w14:paraId="002C6078"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rPr>
              <w:t>S-(+)-N-3-benzyl-nirvanol,</w:t>
            </w:r>
          </w:p>
        </w:tc>
        <w:tc>
          <w:tcPr>
            <w:tcW w:w="1509" w:type="pct"/>
          </w:tcPr>
          <w:p w14:paraId="417D93CA"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4E4D3EB4" w14:textId="77777777" w:rsidTr="008663B1">
        <w:trPr>
          <w:jc w:val="center"/>
        </w:trPr>
        <w:tc>
          <w:tcPr>
            <w:tcW w:w="1191" w:type="pct"/>
            <w:vMerge/>
          </w:tcPr>
          <w:p w14:paraId="2FCC4982"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299" w:type="pct"/>
          </w:tcPr>
          <w:p w14:paraId="4B2CBAE5"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诺卡酮</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nootkatone)</w:t>
            </w:r>
          </w:p>
        </w:tc>
        <w:tc>
          <w:tcPr>
            <w:tcW w:w="1509" w:type="pct"/>
          </w:tcPr>
          <w:p w14:paraId="0E0AC5A7"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497EE3A7" w14:textId="77777777" w:rsidTr="008663B1">
        <w:trPr>
          <w:jc w:val="center"/>
        </w:trPr>
        <w:tc>
          <w:tcPr>
            <w:tcW w:w="1191" w:type="pct"/>
            <w:vMerge/>
          </w:tcPr>
          <w:p w14:paraId="046B7196"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299" w:type="pct"/>
          </w:tcPr>
          <w:p w14:paraId="28F13414"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proofErr w:type="gramStart"/>
            <w:r w:rsidRPr="009E464F">
              <w:rPr>
                <w:rFonts w:cs="Times New Roman"/>
                <w:color w:val="000000" w:themeColor="text1"/>
                <w:sz w:val="21"/>
                <w:szCs w:val="21"/>
                <w:shd w:val="clear" w:color="auto" w:fill="FFFFFF"/>
              </w:rPr>
              <w:t>噻氯匹定</w:t>
            </w:r>
            <w:proofErr w:type="gramEnd"/>
            <w:r w:rsidRPr="009E464F">
              <w:rPr>
                <w:rFonts w:cs="Times New Roman"/>
                <w:color w:val="000000" w:themeColor="text1"/>
                <w:sz w:val="21"/>
                <w:szCs w:val="21"/>
              </w:rPr>
              <w:t>(ticlopidine)</w:t>
            </w:r>
          </w:p>
        </w:tc>
        <w:tc>
          <w:tcPr>
            <w:tcW w:w="1509" w:type="pct"/>
          </w:tcPr>
          <w:p w14:paraId="486799AA"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时间依赖性抑制剂</w:t>
            </w:r>
          </w:p>
        </w:tc>
      </w:tr>
      <w:tr w:rsidR="00BF22C5" w:rsidRPr="009E464F" w14:paraId="32AE3C41" w14:textId="77777777" w:rsidTr="008663B1">
        <w:trPr>
          <w:jc w:val="center"/>
        </w:trPr>
        <w:tc>
          <w:tcPr>
            <w:tcW w:w="1191" w:type="pct"/>
            <w:vMerge w:val="restart"/>
          </w:tcPr>
          <w:p w14:paraId="23F04FCB"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CYP2D6</w:t>
            </w:r>
          </w:p>
        </w:tc>
        <w:tc>
          <w:tcPr>
            <w:tcW w:w="2299" w:type="pct"/>
          </w:tcPr>
          <w:p w14:paraId="5531D538"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rPr>
              <w:t>奎尼丁</w:t>
            </w:r>
            <w:r w:rsidRPr="009E464F">
              <w:rPr>
                <w:rFonts w:cs="Times New Roman"/>
                <w:color w:val="000000" w:themeColor="text1"/>
                <w:sz w:val="21"/>
                <w:szCs w:val="21"/>
              </w:rPr>
              <w:t>quinidine</w:t>
            </w:r>
          </w:p>
        </w:tc>
        <w:tc>
          <w:tcPr>
            <w:tcW w:w="1509" w:type="pct"/>
          </w:tcPr>
          <w:p w14:paraId="73CDA134"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5AA63644" w14:textId="77777777" w:rsidTr="008663B1">
        <w:trPr>
          <w:jc w:val="center"/>
        </w:trPr>
        <w:tc>
          <w:tcPr>
            <w:tcW w:w="1191" w:type="pct"/>
            <w:vMerge/>
          </w:tcPr>
          <w:p w14:paraId="614A66E6"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299" w:type="pct"/>
          </w:tcPr>
          <w:p w14:paraId="7E5A64DC"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rPr>
              <w:t>帕罗西汀</w:t>
            </w:r>
            <w:r w:rsidRPr="009E464F">
              <w:rPr>
                <w:rFonts w:cs="Times New Roman"/>
                <w:color w:val="000000" w:themeColor="text1"/>
                <w:sz w:val="21"/>
                <w:szCs w:val="21"/>
              </w:rPr>
              <w:t>(paroxetine)</w:t>
            </w:r>
          </w:p>
        </w:tc>
        <w:tc>
          <w:tcPr>
            <w:tcW w:w="1509" w:type="pct"/>
          </w:tcPr>
          <w:p w14:paraId="6CDC4DEC"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时间依赖性抑制剂</w:t>
            </w:r>
          </w:p>
        </w:tc>
      </w:tr>
      <w:tr w:rsidR="00BF22C5" w:rsidRPr="009E464F" w14:paraId="30C9955B" w14:textId="77777777" w:rsidTr="008663B1">
        <w:trPr>
          <w:jc w:val="center"/>
        </w:trPr>
        <w:tc>
          <w:tcPr>
            <w:tcW w:w="1191" w:type="pct"/>
            <w:vMerge w:val="restart"/>
          </w:tcPr>
          <w:p w14:paraId="357CBF52" w14:textId="77777777" w:rsidR="00BF22C5" w:rsidRPr="009E464F" w:rsidRDefault="00BF22C5">
            <w:pPr>
              <w:snapToGrid w:val="0"/>
              <w:spacing w:line="240" w:lineRule="auto"/>
              <w:ind w:firstLine="420"/>
              <w:jc w:val="left"/>
              <w:rPr>
                <w:rFonts w:cs="Times New Roman"/>
                <w:color w:val="000000" w:themeColor="text1"/>
                <w:sz w:val="21"/>
                <w:szCs w:val="21"/>
              </w:rPr>
            </w:pPr>
          </w:p>
          <w:p w14:paraId="0DC486DB"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CYP3A4/5</w:t>
            </w:r>
          </w:p>
        </w:tc>
        <w:tc>
          <w:tcPr>
            <w:tcW w:w="2299" w:type="pct"/>
          </w:tcPr>
          <w:p w14:paraId="47763FC6"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rPr>
              <w:t>伊曲康</w:t>
            </w:r>
            <w:proofErr w:type="gramStart"/>
            <w:r w:rsidRPr="009E464F">
              <w:rPr>
                <w:rFonts w:cs="Times New Roman"/>
                <w:color w:val="000000" w:themeColor="text1"/>
                <w:sz w:val="21"/>
                <w:szCs w:val="21"/>
              </w:rPr>
              <w:t>唑</w:t>
            </w:r>
            <w:proofErr w:type="gramEnd"/>
            <w:r w:rsidRPr="009E464F">
              <w:rPr>
                <w:rFonts w:cs="Times New Roman"/>
                <w:color w:val="000000" w:themeColor="text1"/>
                <w:sz w:val="21"/>
                <w:szCs w:val="21"/>
              </w:rPr>
              <w:t>(itraconazole)</w:t>
            </w:r>
          </w:p>
        </w:tc>
        <w:tc>
          <w:tcPr>
            <w:tcW w:w="1509" w:type="pct"/>
          </w:tcPr>
          <w:p w14:paraId="1E795BF5"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1B49EE62" w14:textId="77777777" w:rsidTr="008663B1">
        <w:trPr>
          <w:jc w:val="center"/>
        </w:trPr>
        <w:tc>
          <w:tcPr>
            <w:tcW w:w="1191" w:type="pct"/>
            <w:vMerge/>
          </w:tcPr>
          <w:p w14:paraId="4073853F"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299" w:type="pct"/>
          </w:tcPr>
          <w:p w14:paraId="2ACB9CC7"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rPr>
              <w:t>酮康</w:t>
            </w:r>
            <w:proofErr w:type="gramStart"/>
            <w:r w:rsidRPr="009E464F">
              <w:rPr>
                <w:rFonts w:cs="Times New Roman"/>
                <w:color w:val="000000" w:themeColor="text1"/>
                <w:sz w:val="21"/>
                <w:szCs w:val="21"/>
              </w:rPr>
              <w:t>唑</w:t>
            </w:r>
            <w:proofErr w:type="gramEnd"/>
            <w:r w:rsidRPr="009E464F">
              <w:rPr>
                <w:rFonts w:cs="Times New Roman"/>
                <w:color w:val="000000" w:themeColor="text1"/>
                <w:sz w:val="21"/>
                <w:szCs w:val="21"/>
              </w:rPr>
              <w:t>(ketoconazole)</w:t>
            </w:r>
          </w:p>
        </w:tc>
        <w:tc>
          <w:tcPr>
            <w:tcW w:w="1509" w:type="pct"/>
          </w:tcPr>
          <w:p w14:paraId="604A3E6E"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2303BF72" w14:textId="77777777" w:rsidTr="008663B1">
        <w:trPr>
          <w:jc w:val="center"/>
        </w:trPr>
        <w:tc>
          <w:tcPr>
            <w:tcW w:w="1191" w:type="pct"/>
            <w:vMerge/>
          </w:tcPr>
          <w:p w14:paraId="7E4AF911"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299" w:type="pct"/>
          </w:tcPr>
          <w:p w14:paraId="1D420EB8"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阿扎莫林</w:t>
            </w:r>
            <w:r w:rsidRPr="009E464F">
              <w:rPr>
                <w:rFonts w:cs="Times New Roman"/>
                <w:color w:val="000000" w:themeColor="text1"/>
                <w:sz w:val="21"/>
                <w:szCs w:val="21"/>
              </w:rPr>
              <w:t>(azamulin)*</w:t>
            </w:r>
          </w:p>
        </w:tc>
        <w:tc>
          <w:tcPr>
            <w:tcW w:w="1509" w:type="pct"/>
          </w:tcPr>
          <w:p w14:paraId="0A3B60F8"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时间依赖性抑制剂</w:t>
            </w:r>
          </w:p>
        </w:tc>
      </w:tr>
      <w:tr w:rsidR="00BF22C5" w:rsidRPr="009E464F" w14:paraId="089CD91F" w14:textId="77777777" w:rsidTr="008663B1">
        <w:trPr>
          <w:jc w:val="center"/>
        </w:trPr>
        <w:tc>
          <w:tcPr>
            <w:tcW w:w="1191" w:type="pct"/>
            <w:vMerge/>
          </w:tcPr>
          <w:p w14:paraId="61D4387A"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299" w:type="pct"/>
          </w:tcPr>
          <w:p w14:paraId="258785C6"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竹桃霉素</w:t>
            </w:r>
            <w:r w:rsidRPr="009E464F">
              <w:rPr>
                <w:rFonts w:cs="Times New Roman"/>
                <w:color w:val="000000" w:themeColor="text1"/>
                <w:sz w:val="21"/>
                <w:szCs w:val="21"/>
              </w:rPr>
              <w:t>(</w:t>
            </w:r>
            <w:proofErr w:type="spellStart"/>
            <w:r w:rsidRPr="009E464F">
              <w:rPr>
                <w:rFonts w:cs="Times New Roman"/>
                <w:color w:val="000000" w:themeColor="text1"/>
                <w:sz w:val="21"/>
                <w:szCs w:val="21"/>
              </w:rPr>
              <w:t>troleandomycin</w:t>
            </w:r>
            <w:proofErr w:type="spellEnd"/>
            <w:r w:rsidRPr="009E464F">
              <w:rPr>
                <w:rFonts w:cs="Times New Roman"/>
                <w:color w:val="000000" w:themeColor="text1"/>
                <w:sz w:val="21"/>
                <w:szCs w:val="21"/>
              </w:rPr>
              <w:t>),</w:t>
            </w:r>
          </w:p>
        </w:tc>
        <w:tc>
          <w:tcPr>
            <w:tcW w:w="1509" w:type="pct"/>
          </w:tcPr>
          <w:p w14:paraId="5B23D485"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时间依赖性抑制剂</w:t>
            </w:r>
          </w:p>
        </w:tc>
      </w:tr>
      <w:tr w:rsidR="00BF22C5" w:rsidRPr="009E464F" w14:paraId="122C9E45" w14:textId="77777777" w:rsidTr="008663B1">
        <w:trPr>
          <w:jc w:val="center"/>
        </w:trPr>
        <w:tc>
          <w:tcPr>
            <w:tcW w:w="1191" w:type="pct"/>
            <w:vMerge/>
          </w:tcPr>
          <w:p w14:paraId="044235D5"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299" w:type="pct"/>
          </w:tcPr>
          <w:p w14:paraId="7B17EF5D"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rPr>
              <w:t>维拉帕米</w:t>
            </w:r>
            <w:r w:rsidRPr="009E464F">
              <w:rPr>
                <w:rFonts w:cs="Times New Roman"/>
                <w:color w:val="000000" w:themeColor="text1"/>
                <w:sz w:val="21"/>
                <w:szCs w:val="21"/>
              </w:rPr>
              <w:t>(verapamil)</w:t>
            </w:r>
          </w:p>
        </w:tc>
        <w:tc>
          <w:tcPr>
            <w:tcW w:w="1509" w:type="pct"/>
          </w:tcPr>
          <w:p w14:paraId="6046AB75"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时间依赖性抑制剂</w:t>
            </w:r>
          </w:p>
        </w:tc>
      </w:tr>
    </w:tbl>
    <w:p w14:paraId="54C06CB8" w14:textId="77777777" w:rsidR="00BF22C5" w:rsidRPr="009E464F" w:rsidRDefault="00BF22C5">
      <w:pPr>
        <w:spacing w:line="240" w:lineRule="auto"/>
        <w:ind w:firstLine="420"/>
        <w:jc w:val="left"/>
        <w:rPr>
          <w:rFonts w:cs="Times New Roman"/>
          <w:color w:val="000000" w:themeColor="text1"/>
          <w:sz w:val="21"/>
          <w:szCs w:val="21"/>
        </w:rPr>
      </w:pPr>
    </w:p>
    <w:p w14:paraId="2AB17097" w14:textId="65B6493B" w:rsidR="00BF22C5" w:rsidRPr="0083505F" w:rsidRDefault="00BF22C5" w:rsidP="00671896">
      <w:pPr>
        <w:spacing w:line="240" w:lineRule="auto"/>
        <w:ind w:firstLineChars="0" w:firstLine="0"/>
        <w:jc w:val="center"/>
        <w:rPr>
          <w:rFonts w:cs="Times New Roman"/>
          <w:color w:val="000000" w:themeColor="text1"/>
          <w:sz w:val="24"/>
          <w:szCs w:val="24"/>
          <w:lang w:eastAsia="zh-CN"/>
        </w:rPr>
      </w:pPr>
      <w:r w:rsidRPr="0083505F">
        <w:rPr>
          <w:rFonts w:cs="Times New Roman" w:hint="eastAsia"/>
          <w:color w:val="000000" w:themeColor="text1"/>
          <w:sz w:val="24"/>
          <w:szCs w:val="24"/>
          <w:lang w:eastAsia="zh-CN"/>
        </w:rPr>
        <w:lastRenderedPageBreak/>
        <w:t>表</w:t>
      </w:r>
      <w:r w:rsidRPr="0083505F">
        <w:rPr>
          <w:rFonts w:cs="Times New Roman"/>
          <w:color w:val="000000" w:themeColor="text1"/>
          <w:sz w:val="24"/>
          <w:szCs w:val="24"/>
          <w:lang w:eastAsia="zh-CN"/>
        </w:rPr>
        <w:t xml:space="preserve"> </w:t>
      </w:r>
      <w:r w:rsidR="00ED1C86">
        <w:rPr>
          <w:rFonts w:cs="Times New Roman"/>
          <w:color w:val="000000" w:themeColor="text1"/>
          <w:sz w:val="24"/>
          <w:szCs w:val="24"/>
          <w:lang w:eastAsia="zh-CN"/>
        </w:rPr>
        <w:t>4</w:t>
      </w:r>
      <w:r w:rsidRPr="0083505F">
        <w:rPr>
          <w:rFonts w:cs="Times New Roman"/>
          <w:color w:val="000000" w:themeColor="text1"/>
          <w:sz w:val="24"/>
          <w:szCs w:val="24"/>
          <w:lang w:eastAsia="zh-CN"/>
        </w:rPr>
        <w:t xml:space="preserve"> </w:t>
      </w:r>
      <w:r w:rsidR="00064DF5" w:rsidRPr="0083505F">
        <w:rPr>
          <w:rFonts w:cs="Times New Roman" w:hint="eastAsia"/>
          <w:color w:val="000000" w:themeColor="text1"/>
          <w:sz w:val="24"/>
          <w:szCs w:val="24"/>
          <w:lang w:eastAsia="zh-CN"/>
        </w:rPr>
        <w:t>体外试验</w:t>
      </w:r>
      <w:r w:rsidRPr="0083505F">
        <w:rPr>
          <w:rFonts w:cs="Times New Roman" w:hint="eastAsia"/>
          <w:color w:val="000000" w:themeColor="text1"/>
          <w:sz w:val="24"/>
          <w:szCs w:val="24"/>
          <w:lang w:eastAsia="zh-CN"/>
        </w:rPr>
        <w:t>可选择的</w:t>
      </w:r>
      <w:r w:rsidRPr="0083505F">
        <w:rPr>
          <w:rFonts w:cs="Times New Roman"/>
          <w:color w:val="000000" w:themeColor="text1"/>
          <w:sz w:val="24"/>
          <w:szCs w:val="24"/>
          <w:lang w:eastAsia="zh-CN"/>
        </w:rPr>
        <w:t>CYP</w:t>
      </w:r>
      <w:r w:rsidRPr="0083505F">
        <w:rPr>
          <w:rFonts w:cs="Times New Roman" w:hint="eastAsia"/>
          <w:color w:val="000000" w:themeColor="text1"/>
          <w:sz w:val="24"/>
          <w:szCs w:val="24"/>
          <w:lang w:eastAsia="zh-CN"/>
        </w:rPr>
        <w:t>酶诱导剂</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65"/>
        <w:gridCol w:w="6479"/>
      </w:tblGrid>
      <w:tr w:rsidR="00BF22C5" w:rsidRPr="009E464F" w14:paraId="5FD1B964" w14:textId="77777777" w:rsidTr="008663B1">
        <w:trPr>
          <w:jc w:val="center"/>
        </w:trPr>
        <w:tc>
          <w:tcPr>
            <w:tcW w:w="153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4390C1F" w14:textId="77777777" w:rsidR="00BF22C5" w:rsidRPr="009E464F" w:rsidRDefault="00BF22C5" w:rsidP="0083505F">
            <w:pPr>
              <w:spacing w:after="0" w:line="240" w:lineRule="auto"/>
              <w:ind w:firstLine="420"/>
              <w:jc w:val="center"/>
              <w:rPr>
                <w:rFonts w:cs="Times New Roman"/>
                <w:color w:val="000000" w:themeColor="text1"/>
                <w:sz w:val="21"/>
                <w:szCs w:val="21"/>
              </w:rPr>
            </w:pPr>
            <w:r w:rsidRPr="009E464F">
              <w:rPr>
                <w:rFonts w:cs="Times New Roman"/>
                <w:color w:val="000000" w:themeColor="text1"/>
                <w:sz w:val="21"/>
                <w:szCs w:val="21"/>
              </w:rPr>
              <w:t>酶</w:t>
            </w:r>
          </w:p>
        </w:tc>
        <w:tc>
          <w:tcPr>
            <w:tcW w:w="3467"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B92F51A" w14:textId="77777777" w:rsidR="00BF22C5" w:rsidRPr="009E464F" w:rsidRDefault="00BF22C5" w:rsidP="0083505F">
            <w:pPr>
              <w:spacing w:after="0" w:line="240" w:lineRule="auto"/>
              <w:ind w:firstLine="420"/>
              <w:jc w:val="center"/>
              <w:rPr>
                <w:rFonts w:cs="Times New Roman"/>
                <w:color w:val="000000" w:themeColor="text1"/>
                <w:sz w:val="21"/>
                <w:szCs w:val="21"/>
              </w:rPr>
            </w:pPr>
            <w:proofErr w:type="spellStart"/>
            <w:r w:rsidRPr="009E464F">
              <w:rPr>
                <w:rFonts w:cs="Times New Roman"/>
                <w:color w:val="000000" w:themeColor="text1"/>
                <w:sz w:val="21"/>
                <w:szCs w:val="21"/>
              </w:rPr>
              <w:t>诱导剂</w:t>
            </w:r>
            <w:proofErr w:type="spellEnd"/>
          </w:p>
        </w:tc>
      </w:tr>
      <w:tr w:rsidR="00BF22C5" w:rsidRPr="009E464F" w14:paraId="4C3D325F" w14:textId="77777777" w:rsidTr="008663B1">
        <w:trPr>
          <w:jc w:val="center"/>
        </w:trPr>
        <w:tc>
          <w:tcPr>
            <w:tcW w:w="153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BC20E18" w14:textId="77777777" w:rsidR="00BF22C5" w:rsidRPr="009E464F" w:rsidRDefault="00BF22C5" w:rsidP="0083505F">
            <w:pPr>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CYP1A2</w:t>
            </w:r>
          </w:p>
        </w:tc>
        <w:tc>
          <w:tcPr>
            <w:tcW w:w="3467"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EA35D40"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奥美拉唑</w:t>
            </w:r>
            <w:proofErr w:type="spellEnd"/>
            <w:r w:rsidRPr="009E464F">
              <w:rPr>
                <w:rFonts w:cs="Times New Roman"/>
                <w:color w:val="000000" w:themeColor="text1"/>
                <w:sz w:val="21"/>
                <w:szCs w:val="21"/>
              </w:rPr>
              <w:t xml:space="preserve">(omeprazole), </w:t>
            </w:r>
            <w:proofErr w:type="spellStart"/>
            <w:r w:rsidRPr="009E464F">
              <w:rPr>
                <w:rFonts w:cs="Times New Roman"/>
                <w:color w:val="000000" w:themeColor="text1"/>
                <w:sz w:val="21"/>
                <w:szCs w:val="21"/>
              </w:rPr>
              <w:t>兰索拉唑</w:t>
            </w:r>
            <w:proofErr w:type="spellEnd"/>
            <w:r w:rsidRPr="009E464F">
              <w:rPr>
                <w:rFonts w:cs="Times New Roman"/>
                <w:color w:val="000000" w:themeColor="text1"/>
                <w:sz w:val="21"/>
                <w:szCs w:val="21"/>
              </w:rPr>
              <w:t>(lansoprazole)</w:t>
            </w:r>
          </w:p>
        </w:tc>
      </w:tr>
      <w:tr w:rsidR="00BF22C5" w:rsidRPr="009E464F" w14:paraId="4A02112A" w14:textId="77777777" w:rsidTr="008663B1">
        <w:trPr>
          <w:jc w:val="center"/>
        </w:trPr>
        <w:tc>
          <w:tcPr>
            <w:tcW w:w="153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2C24359" w14:textId="77777777" w:rsidR="00BF22C5" w:rsidRPr="009E464F" w:rsidRDefault="00BF22C5" w:rsidP="0083505F">
            <w:pPr>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CYP2B6</w:t>
            </w:r>
          </w:p>
        </w:tc>
        <w:tc>
          <w:tcPr>
            <w:tcW w:w="3467"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19E8932"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苯巴比妥</w:t>
            </w:r>
            <w:proofErr w:type="spellEnd"/>
            <w:r w:rsidRPr="009E464F">
              <w:rPr>
                <w:rFonts w:cs="Times New Roman"/>
                <w:color w:val="000000" w:themeColor="text1"/>
                <w:sz w:val="21"/>
                <w:szCs w:val="21"/>
              </w:rPr>
              <w:t>(Phenobarbital)</w:t>
            </w:r>
          </w:p>
        </w:tc>
      </w:tr>
      <w:tr w:rsidR="00BF22C5" w:rsidRPr="009E464F" w14:paraId="599A1495" w14:textId="77777777" w:rsidTr="008663B1">
        <w:trPr>
          <w:jc w:val="center"/>
        </w:trPr>
        <w:tc>
          <w:tcPr>
            <w:tcW w:w="153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C595578" w14:textId="77777777" w:rsidR="00BF22C5" w:rsidRPr="009E464F" w:rsidRDefault="00BF22C5" w:rsidP="0083505F">
            <w:pPr>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CYP2C8</w:t>
            </w:r>
          </w:p>
        </w:tc>
        <w:tc>
          <w:tcPr>
            <w:tcW w:w="3467"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A30B4F0"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利福平</w:t>
            </w:r>
            <w:proofErr w:type="spellEnd"/>
            <w:r w:rsidRPr="009E464F">
              <w:rPr>
                <w:rFonts w:cs="Times New Roman"/>
                <w:color w:val="000000" w:themeColor="text1"/>
                <w:sz w:val="21"/>
                <w:szCs w:val="21"/>
              </w:rPr>
              <w:t>(Rifampicin)</w:t>
            </w:r>
          </w:p>
        </w:tc>
      </w:tr>
      <w:tr w:rsidR="00BF22C5" w:rsidRPr="009E464F" w14:paraId="044F14F1" w14:textId="77777777" w:rsidTr="008663B1">
        <w:trPr>
          <w:jc w:val="center"/>
        </w:trPr>
        <w:tc>
          <w:tcPr>
            <w:tcW w:w="153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7147737" w14:textId="77777777" w:rsidR="00BF22C5" w:rsidRPr="009E464F" w:rsidRDefault="00BF22C5" w:rsidP="0083505F">
            <w:pPr>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CYP2C9</w:t>
            </w:r>
          </w:p>
        </w:tc>
        <w:tc>
          <w:tcPr>
            <w:tcW w:w="3467" w:type="pct"/>
            <w:tcBorders>
              <w:top w:val="outset" w:sz="6" w:space="0" w:color="auto"/>
              <w:left w:val="outset" w:sz="6" w:space="0" w:color="auto"/>
              <w:bottom w:val="outset" w:sz="6" w:space="0" w:color="auto"/>
              <w:right w:val="outset" w:sz="6" w:space="0" w:color="auto"/>
            </w:tcBorders>
            <w:shd w:val="clear" w:color="auto" w:fill="auto"/>
            <w:hideMark/>
          </w:tcPr>
          <w:p w14:paraId="372E3FB7"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利福平</w:t>
            </w:r>
            <w:proofErr w:type="spellEnd"/>
            <w:r w:rsidRPr="009E464F">
              <w:rPr>
                <w:rFonts w:cs="Times New Roman"/>
                <w:color w:val="000000" w:themeColor="text1"/>
                <w:sz w:val="21"/>
                <w:szCs w:val="21"/>
              </w:rPr>
              <w:t>(Rifampicin)</w:t>
            </w:r>
          </w:p>
        </w:tc>
      </w:tr>
      <w:tr w:rsidR="00BF22C5" w:rsidRPr="009E464F" w14:paraId="2981E30D" w14:textId="77777777" w:rsidTr="008663B1">
        <w:trPr>
          <w:jc w:val="center"/>
        </w:trPr>
        <w:tc>
          <w:tcPr>
            <w:tcW w:w="153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8E323A3" w14:textId="77777777" w:rsidR="00BF22C5" w:rsidRPr="009E464F" w:rsidRDefault="00BF22C5" w:rsidP="0083505F">
            <w:pPr>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CYP2C19</w:t>
            </w:r>
          </w:p>
        </w:tc>
        <w:tc>
          <w:tcPr>
            <w:tcW w:w="3467" w:type="pct"/>
            <w:tcBorders>
              <w:top w:val="outset" w:sz="6" w:space="0" w:color="auto"/>
              <w:left w:val="outset" w:sz="6" w:space="0" w:color="auto"/>
              <w:bottom w:val="outset" w:sz="6" w:space="0" w:color="auto"/>
              <w:right w:val="outset" w:sz="6" w:space="0" w:color="auto"/>
            </w:tcBorders>
            <w:shd w:val="clear" w:color="auto" w:fill="auto"/>
            <w:hideMark/>
          </w:tcPr>
          <w:p w14:paraId="6CDB05FE"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利福平</w:t>
            </w:r>
            <w:proofErr w:type="spellEnd"/>
            <w:r w:rsidRPr="009E464F">
              <w:rPr>
                <w:rFonts w:cs="Times New Roman"/>
                <w:color w:val="000000" w:themeColor="text1"/>
                <w:sz w:val="21"/>
                <w:szCs w:val="21"/>
              </w:rPr>
              <w:t>(Rifampicin)</w:t>
            </w:r>
          </w:p>
        </w:tc>
      </w:tr>
      <w:tr w:rsidR="00BF22C5" w:rsidRPr="009E464F" w14:paraId="72AE8763" w14:textId="77777777" w:rsidTr="008663B1">
        <w:trPr>
          <w:jc w:val="center"/>
        </w:trPr>
        <w:tc>
          <w:tcPr>
            <w:tcW w:w="153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6F03446" w14:textId="77777777" w:rsidR="00BF22C5" w:rsidRPr="009E464F" w:rsidRDefault="00BF22C5" w:rsidP="0083505F">
            <w:pPr>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CYP3A4/5</w:t>
            </w:r>
          </w:p>
        </w:tc>
        <w:tc>
          <w:tcPr>
            <w:tcW w:w="3467" w:type="pct"/>
            <w:tcBorders>
              <w:top w:val="outset" w:sz="6" w:space="0" w:color="auto"/>
              <w:left w:val="outset" w:sz="6" w:space="0" w:color="auto"/>
              <w:bottom w:val="outset" w:sz="6" w:space="0" w:color="auto"/>
              <w:right w:val="outset" w:sz="6" w:space="0" w:color="auto"/>
            </w:tcBorders>
            <w:shd w:val="clear" w:color="auto" w:fill="auto"/>
            <w:hideMark/>
          </w:tcPr>
          <w:p w14:paraId="7812575D"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利福平</w:t>
            </w:r>
            <w:proofErr w:type="spellEnd"/>
            <w:r w:rsidRPr="009E464F">
              <w:rPr>
                <w:rFonts w:cs="Times New Roman"/>
                <w:color w:val="000000" w:themeColor="text1"/>
                <w:sz w:val="21"/>
                <w:szCs w:val="21"/>
              </w:rPr>
              <w:t>(Rifampicin)</w:t>
            </w:r>
          </w:p>
        </w:tc>
      </w:tr>
    </w:tbl>
    <w:p w14:paraId="4449EAA1" w14:textId="77777777" w:rsidR="00EB2591" w:rsidRPr="009E464F" w:rsidRDefault="00EB2591" w:rsidP="0083505F">
      <w:pPr>
        <w:spacing w:line="240" w:lineRule="auto"/>
        <w:ind w:firstLineChars="0" w:firstLine="0"/>
        <w:jc w:val="left"/>
        <w:rPr>
          <w:rFonts w:cs="Times New Roman"/>
          <w:color w:val="000000" w:themeColor="text1"/>
          <w:sz w:val="21"/>
          <w:szCs w:val="21"/>
        </w:rPr>
      </w:pPr>
    </w:p>
    <w:p w14:paraId="62BB094A" w14:textId="4B76995A" w:rsidR="00BF22C5" w:rsidRPr="0083505F" w:rsidRDefault="00BF22C5" w:rsidP="00671896">
      <w:pPr>
        <w:spacing w:line="240" w:lineRule="auto"/>
        <w:ind w:firstLineChars="0" w:firstLine="0"/>
        <w:jc w:val="center"/>
        <w:rPr>
          <w:rFonts w:cs="Times New Roman"/>
          <w:color w:val="000000" w:themeColor="text1"/>
          <w:sz w:val="24"/>
          <w:szCs w:val="24"/>
          <w:lang w:eastAsia="zh-CN"/>
        </w:rPr>
      </w:pPr>
      <w:r w:rsidRPr="0083505F">
        <w:rPr>
          <w:rFonts w:cs="Times New Roman" w:hint="eastAsia"/>
          <w:color w:val="000000" w:themeColor="text1"/>
          <w:sz w:val="24"/>
          <w:szCs w:val="24"/>
          <w:lang w:eastAsia="zh-CN"/>
        </w:rPr>
        <w:t>表</w:t>
      </w:r>
      <w:r w:rsidRPr="0083505F">
        <w:rPr>
          <w:rFonts w:cs="Times New Roman"/>
          <w:color w:val="000000" w:themeColor="text1"/>
          <w:sz w:val="24"/>
          <w:szCs w:val="24"/>
          <w:lang w:eastAsia="zh-CN"/>
        </w:rPr>
        <w:t xml:space="preserve"> </w:t>
      </w:r>
      <w:r w:rsidR="00ED1C86" w:rsidRPr="0083505F">
        <w:rPr>
          <w:rFonts w:cs="Times New Roman"/>
          <w:color w:val="000000" w:themeColor="text1"/>
          <w:sz w:val="24"/>
          <w:szCs w:val="24"/>
          <w:lang w:eastAsia="zh-CN"/>
        </w:rPr>
        <w:t xml:space="preserve">5 </w:t>
      </w:r>
      <w:r w:rsidRPr="0083505F">
        <w:rPr>
          <w:rFonts w:cs="Times New Roman" w:hint="eastAsia"/>
          <w:color w:val="000000" w:themeColor="text1"/>
          <w:sz w:val="24"/>
          <w:szCs w:val="24"/>
          <w:lang w:eastAsia="zh-CN"/>
        </w:rPr>
        <w:t>临床试验可选择的</w:t>
      </w:r>
      <w:r w:rsidRPr="0083505F">
        <w:rPr>
          <w:rFonts w:cs="Times New Roman"/>
          <w:color w:val="000000" w:themeColor="text1"/>
          <w:sz w:val="24"/>
          <w:szCs w:val="24"/>
          <w:lang w:eastAsia="zh-CN"/>
        </w:rPr>
        <w:t>CYP</w:t>
      </w:r>
      <w:r w:rsidRPr="0083505F">
        <w:rPr>
          <w:rFonts w:cs="Times New Roman" w:hint="eastAsia"/>
          <w:color w:val="000000" w:themeColor="text1"/>
          <w:sz w:val="24"/>
          <w:szCs w:val="24"/>
          <w:lang w:eastAsia="zh-CN"/>
        </w:rPr>
        <w:t>酶指针底物</w:t>
      </w:r>
    </w:p>
    <w:tbl>
      <w:tblPr>
        <w:tblStyle w:val="af7"/>
        <w:tblW w:w="5000" w:type="pct"/>
        <w:jc w:val="center"/>
        <w:tblLook w:val="04A0" w:firstRow="1" w:lastRow="0" w:firstColumn="1" w:lastColumn="0" w:noHBand="0" w:noVBand="1"/>
      </w:tblPr>
      <w:tblGrid>
        <w:gridCol w:w="2077"/>
        <w:gridCol w:w="3574"/>
        <w:gridCol w:w="3699"/>
      </w:tblGrid>
      <w:tr w:rsidR="00BF22C5" w:rsidRPr="009E464F" w14:paraId="05B3A61E" w14:textId="77777777" w:rsidTr="008663B1">
        <w:trPr>
          <w:jc w:val="center"/>
        </w:trPr>
        <w:tc>
          <w:tcPr>
            <w:tcW w:w="1111" w:type="pct"/>
          </w:tcPr>
          <w:p w14:paraId="3C603DD1" w14:textId="77777777" w:rsidR="00BF22C5" w:rsidRPr="009E464F" w:rsidRDefault="00BF22C5" w:rsidP="0083505F">
            <w:pPr>
              <w:snapToGrid w:val="0"/>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酶</w:t>
            </w:r>
          </w:p>
        </w:tc>
        <w:tc>
          <w:tcPr>
            <w:tcW w:w="1911" w:type="pct"/>
          </w:tcPr>
          <w:p w14:paraId="53303DE9" w14:textId="77777777" w:rsidR="00BF22C5" w:rsidRPr="009E464F" w:rsidRDefault="00BF22C5" w:rsidP="0083505F">
            <w:pPr>
              <w:snapToGrid w:val="0"/>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底物</w:t>
            </w:r>
          </w:p>
        </w:tc>
        <w:tc>
          <w:tcPr>
            <w:tcW w:w="1978" w:type="pct"/>
          </w:tcPr>
          <w:p w14:paraId="7CC3FC51" w14:textId="77777777" w:rsidR="00BF22C5" w:rsidRPr="009E464F" w:rsidRDefault="00BF22C5" w:rsidP="0083505F">
            <w:pPr>
              <w:snapToGrid w:val="0"/>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备注</w:t>
            </w:r>
          </w:p>
        </w:tc>
      </w:tr>
      <w:tr w:rsidR="00BF22C5" w:rsidRPr="009E464F" w14:paraId="22B4F51E" w14:textId="77777777" w:rsidTr="008663B1">
        <w:trPr>
          <w:jc w:val="center"/>
        </w:trPr>
        <w:tc>
          <w:tcPr>
            <w:tcW w:w="1111" w:type="pct"/>
            <w:vMerge w:val="restart"/>
            <w:vAlign w:val="center"/>
          </w:tcPr>
          <w:p w14:paraId="7EBCA7FD"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CYP1A2</w:t>
            </w:r>
          </w:p>
        </w:tc>
        <w:tc>
          <w:tcPr>
            <w:tcW w:w="1911" w:type="pct"/>
            <w:vAlign w:val="center"/>
          </w:tcPr>
          <w:p w14:paraId="2685A05B" w14:textId="77777777" w:rsidR="00BF22C5" w:rsidRPr="009E464F" w:rsidRDefault="00BF22C5" w:rsidP="00AC4346">
            <w:pPr>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shd w:val="clear" w:color="auto" w:fill="FFFFFF"/>
              </w:rPr>
              <w:t>替扎尼定</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tizanidine)</w:t>
            </w:r>
          </w:p>
        </w:tc>
        <w:tc>
          <w:tcPr>
            <w:tcW w:w="1978" w:type="pct"/>
            <w:vAlign w:val="center"/>
          </w:tcPr>
          <w:p w14:paraId="6F6577E1"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72A60226" w14:textId="77777777" w:rsidTr="008663B1">
        <w:trPr>
          <w:trHeight w:val="271"/>
          <w:jc w:val="center"/>
        </w:trPr>
        <w:tc>
          <w:tcPr>
            <w:tcW w:w="1111" w:type="pct"/>
            <w:vMerge/>
            <w:vAlign w:val="center"/>
          </w:tcPr>
          <w:p w14:paraId="132C357A"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1911" w:type="pct"/>
            <w:vAlign w:val="center"/>
          </w:tcPr>
          <w:p w14:paraId="220C37EE" w14:textId="77777777" w:rsidR="00BF22C5" w:rsidRPr="009E464F" w:rsidRDefault="00BF22C5" w:rsidP="00AC4346">
            <w:pPr>
              <w:tabs>
                <w:tab w:val="right" w:pos="2699"/>
              </w:tabs>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咖啡因</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caffeine)</w:t>
            </w:r>
            <w:r w:rsidRPr="009E464F">
              <w:rPr>
                <w:rFonts w:cs="Times New Roman"/>
                <w:color w:val="000000" w:themeColor="text1"/>
                <w:sz w:val="21"/>
                <w:szCs w:val="21"/>
                <w:shd w:val="clear" w:color="auto" w:fill="FFFFFF"/>
              </w:rPr>
              <w:t xml:space="preserve"> </w:t>
            </w:r>
          </w:p>
        </w:tc>
        <w:tc>
          <w:tcPr>
            <w:tcW w:w="1978" w:type="pct"/>
            <w:vAlign w:val="center"/>
          </w:tcPr>
          <w:p w14:paraId="49CA5830"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p>
        </w:tc>
      </w:tr>
      <w:tr w:rsidR="00BF22C5" w:rsidRPr="009E464F" w14:paraId="44685805" w14:textId="77777777" w:rsidTr="008663B1">
        <w:trPr>
          <w:jc w:val="center"/>
        </w:trPr>
        <w:tc>
          <w:tcPr>
            <w:tcW w:w="1111" w:type="pct"/>
            <w:vAlign w:val="center"/>
          </w:tcPr>
          <w:p w14:paraId="65AD6E67"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CYP2B6</w:t>
            </w:r>
          </w:p>
        </w:tc>
        <w:tc>
          <w:tcPr>
            <w:tcW w:w="1911" w:type="pct"/>
            <w:vAlign w:val="center"/>
          </w:tcPr>
          <w:p w14:paraId="49715656" w14:textId="77777777" w:rsidR="00BF22C5" w:rsidRPr="009E464F" w:rsidRDefault="00BF22C5" w:rsidP="00AC4346">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w:t>
            </w:r>
          </w:p>
        </w:tc>
        <w:tc>
          <w:tcPr>
            <w:tcW w:w="1978" w:type="pct"/>
            <w:vAlign w:val="center"/>
          </w:tcPr>
          <w:p w14:paraId="1C09F0D2"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CYP2B6</w:t>
            </w:r>
            <w:r w:rsidRPr="009E464F">
              <w:rPr>
                <w:rFonts w:cs="Times New Roman"/>
                <w:color w:val="000000" w:themeColor="text1"/>
                <w:sz w:val="21"/>
                <w:szCs w:val="21"/>
              </w:rPr>
              <w:t>缺乏指针底物</w:t>
            </w:r>
          </w:p>
        </w:tc>
      </w:tr>
      <w:tr w:rsidR="00BF22C5" w:rsidRPr="009E464F" w14:paraId="658BE522" w14:textId="77777777" w:rsidTr="008663B1">
        <w:trPr>
          <w:jc w:val="center"/>
        </w:trPr>
        <w:tc>
          <w:tcPr>
            <w:tcW w:w="1111" w:type="pct"/>
            <w:vAlign w:val="center"/>
          </w:tcPr>
          <w:p w14:paraId="72058657"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CYP2C8</w:t>
            </w:r>
          </w:p>
        </w:tc>
        <w:tc>
          <w:tcPr>
            <w:tcW w:w="1911" w:type="pct"/>
            <w:vAlign w:val="center"/>
          </w:tcPr>
          <w:p w14:paraId="58FF9F3B" w14:textId="77777777" w:rsidR="00BF22C5" w:rsidRPr="009E464F" w:rsidRDefault="00BF22C5" w:rsidP="00AC4346">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瑞格列奈</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 xml:space="preserve">repaglinide)  </w:t>
            </w:r>
          </w:p>
        </w:tc>
        <w:tc>
          <w:tcPr>
            <w:tcW w:w="1978" w:type="pct"/>
            <w:vAlign w:val="center"/>
          </w:tcPr>
          <w:p w14:paraId="618C7C5D"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OATP1B1</w:t>
            </w:r>
            <w:r w:rsidRPr="009E464F">
              <w:rPr>
                <w:rFonts w:cs="Times New Roman"/>
                <w:color w:val="000000" w:themeColor="text1"/>
                <w:sz w:val="21"/>
                <w:szCs w:val="21"/>
              </w:rPr>
              <w:t>底物</w:t>
            </w:r>
          </w:p>
        </w:tc>
      </w:tr>
      <w:tr w:rsidR="00BF22C5" w:rsidRPr="009E464F" w14:paraId="6E2533A2" w14:textId="77777777" w:rsidTr="008663B1">
        <w:trPr>
          <w:jc w:val="center"/>
        </w:trPr>
        <w:tc>
          <w:tcPr>
            <w:tcW w:w="1111" w:type="pct"/>
            <w:vMerge w:val="restart"/>
            <w:vAlign w:val="center"/>
          </w:tcPr>
          <w:p w14:paraId="7AA606DD"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CYP2C9</w:t>
            </w:r>
          </w:p>
        </w:tc>
        <w:tc>
          <w:tcPr>
            <w:tcW w:w="1911" w:type="pct"/>
            <w:vAlign w:val="center"/>
          </w:tcPr>
          <w:p w14:paraId="4E6241B2" w14:textId="77777777" w:rsidR="00BF22C5" w:rsidRPr="009E464F" w:rsidRDefault="00BF22C5" w:rsidP="00AC4346">
            <w:pPr>
              <w:snapToGrid w:val="0"/>
              <w:spacing w:line="240" w:lineRule="auto"/>
              <w:ind w:left="210" w:hangingChars="100" w:hanging="210"/>
              <w:jc w:val="left"/>
              <w:rPr>
                <w:rFonts w:cs="Times New Roman"/>
                <w:color w:val="000000" w:themeColor="text1"/>
                <w:sz w:val="21"/>
                <w:szCs w:val="21"/>
              </w:rPr>
            </w:pPr>
            <w:r w:rsidRPr="009E464F">
              <w:rPr>
                <w:rFonts w:cs="Times New Roman"/>
                <w:color w:val="000000" w:themeColor="text1"/>
                <w:sz w:val="21"/>
                <w:szCs w:val="21"/>
              </w:rPr>
              <w:t>甲苯</w:t>
            </w:r>
            <w:proofErr w:type="gramStart"/>
            <w:r w:rsidRPr="009E464F">
              <w:rPr>
                <w:rFonts w:cs="Times New Roman"/>
                <w:color w:val="000000" w:themeColor="text1"/>
                <w:sz w:val="21"/>
                <w:szCs w:val="21"/>
              </w:rPr>
              <w:t>磺</w:t>
            </w:r>
            <w:proofErr w:type="gramEnd"/>
            <w:r w:rsidRPr="009E464F">
              <w:rPr>
                <w:rFonts w:cs="Times New Roman"/>
                <w:color w:val="000000" w:themeColor="text1"/>
                <w:sz w:val="21"/>
                <w:szCs w:val="21"/>
              </w:rPr>
              <w:t>丁</w:t>
            </w:r>
            <w:proofErr w:type="gramStart"/>
            <w:r w:rsidRPr="009E464F">
              <w:rPr>
                <w:rFonts w:cs="Times New Roman"/>
                <w:color w:val="000000" w:themeColor="text1"/>
                <w:sz w:val="21"/>
                <w:szCs w:val="21"/>
              </w:rPr>
              <w:t>脲</w:t>
            </w:r>
            <w:proofErr w:type="gramEnd"/>
            <w:r w:rsidRPr="009E464F">
              <w:rPr>
                <w:rFonts w:cs="Times New Roman"/>
                <w:color w:val="000000" w:themeColor="text1"/>
                <w:sz w:val="21"/>
                <w:szCs w:val="21"/>
              </w:rPr>
              <w:t xml:space="preserve">(tolbutamide)  </w:t>
            </w:r>
          </w:p>
        </w:tc>
        <w:tc>
          <w:tcPr>
            <w:tcW w:w="1978" w:type="pct"/>
            <w:vAlign w:val="center"/>
          </w:tcPr>
          <w:p w14:paraId="2A7F3BC8"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中等敏感底物</w:t>
            </w:r>
          </w:p>
        </w:tc>
      </w:tr>
      <w:tr w:rsidR="00BF22C5" w:rsidRPr="009E464F" w14:paraId="0583A703" w14:textId="77777777" w:rsidTr="008663B1">
        <w:trPr>
          <w:jc w:val="center"/>
        </w:trPr>
        <w:tc>
          <w:tcPr>
            <w:tcW w:w="1111" w:type="pct"/>
            <w:vMerge/>
            <w:vAlign w:val="center"/>
          </w:tcPr>
          <w:p w14:paraId="243AAEBC"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1911" w:type="pct"/>
            <w:vAlign w:val="center"/>
          </w:tcPr>
          <w:p w14:paraId="7A4E36E3" w14:textId="77777777" w:rsidR="00BF22C5" w:rsidRPr="009E464F" w:rsidRDefault="00BF22C5" w:rsidP="00AC4346">
            <w:pPr>
              <w:tabs>
                <w:tab w:val="right" w:pos="2699"/>
              </w:tabs>
              <w:snapToGrid w:val="0"/>
              <w:spacing w:line="240" w:lineRule="auto"/>
              <w:ind w:left="210" w:hangingChars="100" w:hanging="210"/>
              <w:jc w:val="left"/>
              <w:rPr>
                <w:rFonts w:cs="Times New Roman"/>
                <w:color w:val="000000" w:themeColor="text1"/>
                <w:sz w:val="21"/>
                <w:szCs w:val="21"/>
              </w:rPr>
            </w:pPr>
            <w:r w:rsidRPr="009E464F">
              <w:rPr>
                <w:rFonts w:cs="Times New Roman"/>
                <w:color w:val="000000" w:themeColor="text1"/>
                <w:sz w:val="21"/>
                <w:szCs w:val="21"/>
              </w:rPr>
              <w:t>S-</w:t>
            </w:r>
            <w:r w:rsidRPr="009E464F">
              <w:rPr>
                <w:rFonts w:cs="Times New Roman"/>
                <w:color w:val="000000" w:themeColor="text1"/>
                <w:sz w:val="21"/>
                <w:szCs w:val="21"/>
              </w:rPr>
              <w:t>华法林</w:t>
            </w:r>
            <w:r w:rsidRPr="009E464F">
              <w:rPr>
                <w:rFonts w:cs="Times New Roman"/>
                <w:color w:val="000000" w:themeColor="text1"/>
                <w:sz w:val="21"/>
                <w:szCs w:val="21"/>
              </w:rPr>
              <w:t xml:space="preserve">(S-warfarin)       </w:t>
            </w:r>
          </w:p>
        </w:tc>
        <w:tc>
          <w:tcPr>
            <w:tcW w:w="1978" w:type="pct"/>
            <w:vAlign w:val="center"/>
          </w:tcPr>
          <w:p w14:paraId="259CA571"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中等敏感底物</w:t>
            </w:r>
          </w:p>
        </w:tc>
      </w:tr>
      <w:tr w:rsidR="00BF22C5" w:rsidRPr="009E464F" w14:paraId="5B3292E1" w14:textId="77777777" w:rsidTr="008663B1">
        <w:trPr>
          <w:jc w:val="center"/>
        </w:trPr>
        <w:tc>
          <w:tcPr>
            <w:tcW w:w="1111" w:type="pct"/>
            <w:vMerge w:val="restart"/>
            <w:vAlign w:val="center"/>
          </w:tcPr>
          <w:p w14:paraId="02C709F6"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CYP2C19</w:t>
            </w:r>
          </w:p>
        </w:tc>
        <w:tc>
          <w:tcPr>
            <w:tcW w:w="1911" w:type="pct"/>
            <w:vAlign w:val="center"/>
          </w:tcPr>
          <w:p w14:paraId="28D5CCDB" w14:textId="77777777" w:rsidR="00BF22C5" w:rsidRPr="009E464F" w:rsidRDefault="00BF22C5" w:rsidP="00AC4346">
            <w:pPr>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rPr>
              <w:t>兰索拉唑</w:t>
            </w:r>
            <w:proofErr w:type="gramEnd"/>
            <w:r w:rsidRPr="009E464F">
              <w:rPr>
                <w:rFonts w:cs="Times New Roman"/>
                <w:color w:val="000000" w:themeColor="text1"/>
                <w:sz w:val="21"/>
                <w:szCs w:val="21"/>
              </w:rPr>
              <w:t>（</w:t>
            </w:r>
            <w:r w:rsidRPr="009E464F">
              <w:rPr>
                <w:rFonts w:cs="Times New Roman"/>
                <w:color w:val="000000" w:themeColor="text1"/>
                <w:sz w:val="21"/>
                <w:szCs w:val="21"/>
              </w:rPr>
              <w:t>lansoprazole</w:t>
            </w:r>
            <w:r w:rsidRPr="009E464F">
              <w:rPr>
                <w:rFonts w:cs="Times New Roman"/>
                <w:color w:val="000000" w:themeColor="text1"/>
                <w:sz w:val="21"/>
                <w:szCs w:val="21"/>
              </w:rPr>
              <w:t>）</w:t>
            </w:r>
          </w:p>
        </w:tc>
        <w:tc>
          <w:tcPr>
            <w:tcW w:w="1978" w:type="pct"/>
            <w:vAlign w:val="center"/>
          </w:tcPr>
          <w:p w14:paraId="2D20B7A9"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中等敏感底物</w:t>
            </w:r>
          </w:p>
        </w:tc>
      </w:tr>
      <w:tr w:rsidR="00BF22C5" w:rsidRPr="009E464F" w14:paraId="79BD485D" w14:textId="77777777" w:rsidTr="008663B1">
        <w:trPr>
          <w:jc w:val="center"/>
        </w:trPr>
        <w:tc>
          <w:tcPr>
            <w:tcW w:w="1111" w:type="pct"/>
            <w:vMerge/>
            <w:vAlign w:val="center"/>
          </w:tcPr>
          <w:p w14:paraId="3E399C54"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1911" w:type="pct"/>
            <w:vAlign w:val="center"/>
          </w:tcPr>
          <w:p w14:paraId="7F181AFB" w14:textId="1FE5FAE6" w:rsidR="00BF22C5" w:rsidRPr="009E464F" w:rsidRDefault="00BF22C5" w:rsidP="00AC4346">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奥美拉</w:t>
            </w:r>
            <w:proofErr w:type="gramStart"/>
            <w:r w:rsidRPr="009E464F">
              <w:rPr>
                <w:rFonts w:cs="Times New Roman"/>
                <w:color w:val="000000" w:themeColor="text1"/>
                <w:sz w:val="21"/>
                <w:szCs w:val="21"/>
              </w:rPr>
              <w:t>唑</w:t>
            </w:r>
            <w:proofErr w:type="gramEnd"/>
            <w:r w:rsidRPr="009E464F">
              <w:rPr>
                <w:rFonts w:cs="Times New Roman"/>
                <w:color w:val="000000" w:themeColor="text1"/>
                <w:sz w:val="21"/>
                <w:szCs w:val="21"/>
              </w:rPr>
              <w:t>(omeprazole)</w:t>
            </w:r>
          </w:p>
        </w:tc>
        <w:tc>
          <w:tcPr>
            <w:tcW w:w="1978" w:type="pct"/>
            <w:vAlign w:val="center"/>
          </w:tcPr>
          <w:p w14:paraId="5AD00784"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033F98AE" w14:textId="77777777" w:rsidTr="008663B1">
        <w:trPr>
          <w:jc w:val="center"/>
        </w:trPr>
        <w:tc>
          <w:tcPr>
            <w:tcW w:w="1111" w:type="pct"/>
            <w:vMerge w:val="restart"/>
            <w:vAlign w:val="center"/>
          </w:tcPr>
          <w:p w14:paraId="6D8E09D3"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CYP2D6</w:t>
            </w:r>
          </w:p>
        </w:tc>
        <w:tc>
          <w:tcPr>
            <w:tcW w:w="1911" w:type="pct"/>
            <w:vAlign w:val="center"/>
          </w:tcPr>
          <w:p w14:paraId="2EE7BE00" w14:textId="54D6FDEE" w:rsidR="00BF22C5" w:rsidRPr="009E464F" w:rsidRDefault="00BF22C5" w:rsidP="00AC4346">
            <w:pPr>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shd w:val="clear" w:color="auto" w:fill="FFFFFF"/>
              </w:rPr>
              <w:t>地昔帕明</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 xml:space="preserve">desipramine) </w:t>
            </w:r>
          </w:p>
        </w:tc>
        <w:tc>
          <w:tcPr>
            <w:tcW w:w="1978" w:type="pct"/>
            <w:vAlign w:val="center"/>
          </w:tcPr>
          <w:p w14:paraId="0B70D8F3"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13117FF5" w14:textId="77777777" w:rsidTr="008663B1">
        <w:trPr>
          <w:jc w:val="center"/>
        </w:trPr>
        <w:tc>
          <w:tcPr>
            <w:tcW w:w="1111" w:type="pct"/>
            <w:vMerge/>
            <w:vAlign w:val="center"/>
          </w:tcPr>
          <w:p w14:paraId="39D0F9BE"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1911" w:type="pct"/>
            <w:vAlign w:val="center"/>
          </w:tcPr>
          <w:p w14:paraId="2109C026" w14:textId="77777777" w:rsidR="00BF22C5" w:rsidRPr="009E464F" w:rsidRDefault="00BF22C5" w:rsidP="00AC4346">
            <w:pPr>
              <w:snapToGrid w:val="0"/>
              <w:spacing w:line="240" w:lineRule="auto"/>
              <w:ind w:left="210" w:hangingChars="100" w:hanging="210"/>
              <w:jc w:val="left"/>
              <w:rPr>
                <w:rFonts w:cs="Times New Roman"/>
                <w:color w:val="000000" w:themeColor="text1"/>
                <w:sz w:val="21"/>
                <w:szCs w:val="21"/>
                <w:shd w:val="clear" w:color="auto" w:fill="FFFFFF"/>
              </w:rPr>
            </w:pPr>
            <w:proofErr w:type="gramStart"/>
            <w:r w:rsidRPr="009E464F">
              <w:rPr>
                <w:rFonts w:cs="Times New Roman"/>
                <w:color w:val="000000" w:themeColor="text1"/>
                <w:sz w:val="21"/>
                <w:szCs w:val="21"/>
                <w:shd w:val="clear" w:color="auto" w:fill="FFFFFF"/>
              </w:rPr>
              <w:t>右美沙芬</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dextromethorphan)</w:t>
            </w:r>
            <w:r w:rsidRPr="009E464F">
              <w:rPr>
                <w:rFonts w:cs="Times New Roman"/>
                <w:color w:val="000000" w:themeColor="text1"/>
                <w:sz w:val="21"/>
                <w:szCs w:val="21"/>
                <w:shd w:val="clear" w:color="auto" w:fill="FFFFFF"/>
              </w:rPr>
              <w:t xml:space="preserve"> </w:t>
            </w:r>
          </w:p>
        </w:tc>
        <w:tc>
          <w:tcPr>
            <w:tcW w:w="1978" w:type="pct"/>
            <w:vAlign w:val="center"/>
          </w:tcPr>
          <w:p w14:paraId="0E1D3F49"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17450959" w14:textId="77777777" w:rsidTr="008663B1">
        <w:trPr>
          <w:jc w:val="center"/>
        </w:trPr>
        <w:tc>
          <w:tcPr>
            <w:tcW w:w="1111" w:type="pct"/>
            <w:vMerge/>
            <w:vAlign w:val="center"/>
          </w:tcPr>
          <w:p w14:paraId="21668278"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1911" w:type="pct"/>
            <w:vAlign w:val="center"/>
          </w:tcPr>
          <w:p w14:paraId="74A7EC5D" w14:textId="77777777" w:rsidR="00BF22C5" w:rsidRPr="009E464F" w:rsidRDefault="00BF22C5" w:rsidP="00AC4346">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奈必洛尔</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nebivolol)</w:t>
            </w:r>
            <w:r w:rsidRPr="009E464F">
              <w:rPr>
                <w:rFonts w:cs="Times New Roman"/>
                <w:color w:val="000000" w:themeColor="text1"/>
                <w:sz w:val="21"/>
                <w:szCs w:val="21"/>
                <w:shd w:val="clear" w:color="auto" w:fill="FFFFFF"/>
              </w:rPr>
              <w:t xml:space="preserve"> </w:t>
            </w:r>
          </w:p>
        </w:tc>
        <w:tc>
          <w:tcPr>
            <w:tcW w:w="1978" w:type="pct"/>
            <w:vAlign w:val="center"/>
          </w:tcPr>
          <w:p w14:paraId="6923A385"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20C4208A" w14:textId="77777777" w:rsidTr="008663B1">
        <w:trPr>
          <w:jc w:val="center"/>
        </w:trPr>
        <w:tc>
          <w:tcPr>
            <w:tcW w:w="1111" w:type="pct"/>
            <w:vMerge/>
            <w:vAlign w:val="center"/>
          </w:tcPr>
          <w:p w14:paraId="4E84619D"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1911" w:type="pct"/>
            <w:vAlign w:val="center"/>
          </w:tcPr>
          <w:p w14:paraId="47A1AC69" w14:textId="77777777" w:rsidR="00BF22C5" w:rsidRPr="009E464F" w:rsidRDefault="00BF22C5" w:rsidP="00AC4346">
            <w:pPr>
              <w:snapToGrid w:val="0"/>
              <w:spacing w:line="240" w:lineRule="auto"/>
              <w:ind w:left="630" w:hangingChars="300" w:hanging="63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美托洛尔（</w:t>
            </w:r>
            <w:r w:rsidRPr="009E464F">
              <w:rPr>
                <w:rFonts w:cs="Times New Roman"/>
                <w:color w:val="000000" w:themeColor="text1"/>
                <w:sz w:val="21"/>
                <w:szCs w:val="21"/>
                <w:shd w:val="clear" w:color="auto" w:fill="FFFFFF"/>
              </w:rPr>
              <w:t>metoprolol</w:t>
            </w:r>
            <w:r w:rsidRPr="009E464F">
              <w:rPr>
                <w:rFonts w:cs="Times New Roman"/>
                <w:color w:val="000000" w:themeColor="text1"/>
                <w:sz w:val="21"/>
                <w:szCs w:val="21"/>
                <w:shd w:val="clear" w:color="auto" w:fill="FFFFFF"/>
              </w:rPr>
              <w:t>）</w:t>
            </w:r>
          </w:p>
        </w:tc>
        <w:tc>
          <w:tcPr>
            <w:tcW w:w="1978" w:type="pct"/>
            <w:vAlign w:val="center"/>
          </w:tcPr>
          <w:p w14:paraId="206012F6"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p>
        </w:tc>
      </w:tr>
      <w:tr w:rsidR="00BF22C5" w:rsidRPr="009E464F" w14:paraId="45FB1116" w14:textId="77777777" w:rsidTr="008663B1">
        <w:trPr>
          <w:jc w:val="center"/>
        </w:trPr>
        <w:tc>
          <w:tcPr>
            <w:tcW w:w="1111" w:type="pct"/>
            <w:vMerge w:val="restart"/>
            <w:vAlign w:val="center"/>
          </w:tcPr>
          <w:p w14:paraId="1F211850"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CYP3A</w:t>
            </w:r>
          </w:p>
        </w:tc>
        <w:tc>
          <w:tcPr>
            <w:tcW w:w="1911" w:type="pct"/>
            <w:vAlign w:val="center"/>
          </w:tcPr>
          <w:p w14:paraId="53AE8828" w14:textId="77777777" w:rsidR="00BF22C5" w:rsidRPr="009E464F" w:rsidRDefault="00BF22C5" w:rsidP="00AC4346">
            <w:pPr>
              <w:snapToGrid w:val="0"/>
              <w:spacing w:line="240" w:lineRule="auto"/>
              <w:ind w:left="210" w:hangingChars="100" w:hanging="210"/>
              <w:jc w:val="left"/>
              <w:rPr>
                <w:rFonts w:cs="Times New Roman"/>
                <w:color w:val="000000" w:themeColor="text1"/>
                <w:sz w:val="21"/>
                <w:szCs w:val="21"/>
              </w:rPr>
            </w:pPr>
            <w:r w:rsidRPr="009E464F">
              <w:rPr>
                <w:rFonts w:cs="Times New Roman"/>
                <w:color w:val="000000" w:themeColor="text1"/>
                <w:sz w:val="21"/>
                <w:szCs w:val="21"/>
              </w:rPr>
              <w:t>咪达唑仑</w:t>
            </w:r>
            <w:r w:rsidRPr="009E464F">
              <w:rPr>
                <w:rFonts w:cs="Times New Roman"/>
                <w:color w:val="000000" w:themeColor="text1"/>
                <w:sz w:val="21"/>
                <w:szCs w:val="21"/>
              </w:rPr>
              <w:t xml:space="preserve">(midazolam)     </w:t>
            </w:r>
          </w:p>
        </w:tc>
        <w:tc>
          <w:tcPr>
            <w:tcW w:w="1978" w:type="pct"/>
            <w:vAlign w:val="center"/>
          </w:tcPr>
          <w:p w14:paraId="69AA513A"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38B21EE7" w14:textId="77777777" w:rsidTr="008663B1">
        <w:trPr>
          <w:jc w:val="center"/>
        </w:trPr>
        <w:tc>
          <w:tcPr>
            <w:tcW w:w="1111" w:type="pct"/>
            <w:vMerge/>
            <w:vAlign w:val="center"/>
          </w:tcPr>
          <w:p w14:paraId="4BCB4BDD"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1911" w:type="pct"/>
            <w:vAlign w:val="center"/>
          </w:tcPr>
          <w:p w14:paraId="512A3314" w14:textId="77777777" w:rsidR="00BF22C5" w:rsidRPr="009E464F" w:rsidRDefault="00BF22C5" w:rsidP="00AC4346">
            <w:pPr>
              <w:snapToGrid w:val="0"/>
              <w:spacing w:line="240" w:lineRule="auto"/>
              <w:ind w:left="420" w:hangingChars="200" w:hanging="420"/>
              <w:jc w:val="left"/>
              <w:rPr>
                <w:rFonts w:cs="Times New Roman"/>
                <w:color w:val="000000" w:themeColor="text1"/>
                <w:sz w:val="21"/>
                <w:szCs w:val="21"/>
              </w:rPr>
            </w:pPr>
            <w:r w:rsidRPr="009E464F">
              <w:rPr>
                <w:rFonts w:cs="Times New Roman"/>
                <w:color w:val="000000" w:themeColor="text1"/>
                <w:sz w:val="21"/>
                <w:szCs w:val="21"/>
              </w:rPr>
              <w:t>三唑</w:t>
            </w:r>
            <w:proofErr w:type="gramStart"/>
            <w:r w:rsidRPr="009E464F">
              <w:rPr>
                <w:rFonts w:cs="Times New Roman"/>
                <w:color w:val="000000" w:themeColor="text1"/>
                <w:sz w:val="21"/>
                <w:szCs w:val="21"/>
              </w:rPr>
              <w:t>仑</w:t>
            </w:r>
            <w:proofErr w:type="gramEnd"/>
            <w:r w:rsidRPr="009E464F">
              <w:rPr>
                <w:rFonts w:cs="Times New Roman"/>
                <w:color w:val="000000" w:themeColor="text1"/>
                <w:sz w:val="21"/>
                <w:szCs w:val="21"/>
              </w:rPr>
              <w:t>（</w:t>
            </w:r>
            <w:r w:rsidRPr="009E464F">
              <w:rPr>
                <w:rFonts w:cs="Times New Roman"/>
                <w:color w:val="000000" w:themeColor="text1"/>
                <w:sz w:val="21"/>
                <w:szCs w:val="21"/>
              </w:rPr>
              <w:t>triazolam</w:t>
            </w:r>
            <w:r w:rsidRPr="009E464F">
              <w:rPr>
                <w:rFonts w:cs="Times New Roman"/>
                <w:color w:val="000000" w:themeColor="text1"/>
                <w:sz w:val="21"/>
                <w:szCs w:val="21"/>
              </w:rPr>
              <w:t>）</w:t>
            </w:r>
          </w:p>
        </w:tc>
        <w:tc>
          <w:tcPr>
            <w:tcW w:w="1978" w:type="pct"/>
            <w:vAlign w:val="center"/>
          </w:tcPr>
          <w:p w14:paraId="5AF65F47" w14:textId="77777777" w:rsidR="00BF22C5" w:rsidRPr="009E464F" w:rsidRDefault="00BF22C5">
            <w:pPr>
              <w:snapToGrid w:val="0"/>
              <w:spacing w:line="240" w:lineRule="auto"/>
              <w:ind w:firstLine="420"/>
              <w:jc w:val="left"/>
              <w:rPr>
                <w:rFonts w:cs="Times New Roman"/>
                <w:color w:val="000000" w:themeColor="text1"/>
                <w:sz w:val="21"/>
                <w:szCs w:val="21"/>
              </w:rPr>
            </w:pPr>
          </w:p>
        </w:tc>
      </w:tr>
    </w:tbl>
    <w:p w14:paraId="24586447" w14:textId="77777777" w:rsidR="00BF22C5" w:rsidRPr="009E464F" w:rsidRDefault="00BF22C5">
      <w:pPr>
        <w:spacing w:line="240" w:lineRule="auto"/>
        <w:ind w:firstLine="420"/>
        <w:jc w:val="left"/>
        <w:rPr>
          <w:rFonts w:cs="Times New Roman"/>
          <w:color w:val="000000" w:themeColor="text1"/>
          <w:sz w:val="21"/>
          <w:szCs w:val="21"/>
        </w:rPr>
      </w:pPr>
    </w:p>
    <w:p w14:paraId="541A60AE" w14:textId="56D86C06" w:rsidR="00BF22C5" w:rsidRPr="0083505F" w:rsidRDefault="00BF22C5" w:rsidP="00671896">
      <w:pPr>
        <w:spacing w:line="240" w:lineRule="auto"/>
        <w:ind w:firstLineChars="0" w:firstLine="0"/>
        <w:jc w:val="center"/>
        <w:rPr>
          <w:rFonts w:cs="Times New Roman"/>
          <w:color w:val="000000" w:themeColor="text1"/>
          <w:sz w:val="24"/>
          <w:szCs w:val="24"/>
          <w:lang w:eastAsia="zh-CN"/>
        </w:rPr>
      </w:pPr>
      <w:r w:rsidRPr="0083505F">
        <w:rPr>
          <w:rFonts w:cs="Times New Roman" w:hint="eastAsia"/>
          <w:color w:val="000000" w:themeColor="text1"/>
          <w:sz w:val="24"/>
          <w:szCs w:val="24"/>
          <w:lang w:eastAsia="zh-CN"/>
        </w:rPr>
        <w:t>表</w:t>
      </w:r>
      <w:r w:rsidRPr="0083505F">
        <w:rPr>
          <w:rFonts w:cs="Times New Roman"/>
          <w:color w:val="000000" w:themeColor="text1"/>
          <w:sz w:val="24"/>
          <w:szCs w:val="24"/>
          <w:lang w:eastAsia="zh-CN"/>
        </w:rPr>
        <w:t xml:space="preserve"> </w:t>
      </w:r>
      <w:r w:rsidR="00ED1C86">
        <w:rPr>
          <w:rFonts w:cs="Times New Roman"/>
          <w:color w:val="000000" w:themeColor="text1"/>
          <w:sz w:val="24"/>
          <w:szCs w:val="24"/>
          <w:lang w:eastAsia="zh-CN"/>
        </w:rPr>
        <w:t xml:space="preserve">6  </w:t>
      </w:r>
      <w:r w:rsidRPr="0083505F">
        <w:rPr>
          <w:rFonts w:cs="Times New Roman" w:hint="eastAsia"/>
          <w:color w:val="000000" w:themeColor="text1"/>
          <w:sz w:val="24"/>
          <w:szCs w:val="24"/>
          <w:lang w:eastAsia="zh-CN"/>
        </w:rPr>
        <w:t>临床试验可选择的</w:t>
      </w:r>
      <w:r w:rsidRPr="0083505F">
        <w:rPr>
          <w:rFonts w:cs="Times New Roman"/>
          <w:color w:val="000000" w:themeColor="text1"/>
          <w:sz w:val="24"/>
          <w:szCs w:val="24"/>
          <w:lang w:eastAsia="zh-CN"/>
        </w:rPr>
        <w:t>CYP</w:t>
      </w:r>
      <w:r w:rsidRPr="0083505F">
        <w:rPr>
          <w:rFonts w:cs="Times New Roman" w:hint="eastAsia"/>
          <w:color w:val="000000" w:themeColor="text1"/>
          <w:sz w:val="24"/>
          <w:szCs w:val="24"/>
          <w:lang w:eastAsia="zh-CN"/>
        </w:rPr>
        <w:t>特异性抑制剂</w:t>
      </w:r>
    </w:p>
    <w:tbl>
      <w:tblPr>
        <w:tblStyle w:val="af7"/>
        <w:tblW w:w="5000" w:type="pct"/>
        <w:jc w:val="center"/>
        <w:tblLook w:val="04A0" w:firstRow="1" w:lastRow="0" w:firstColumn="1" w:lastColumn="0" w:noHBand="0" w:noVBand="1"/>
      </w:tblPr>
      <w:tblGrid>
        <w:gridCol w:w="2113"/>
        <w:gridCol w:w="3602"/>
        <w:gridCol w:w="3635"/>
      </w:tblGrid>
      <w:tr w:rsidR="00BF22C5" w:rsidRPr="009E464F" w14:paraId="26791DA1" w14:textId="77777777" w:rsidTr="008663B1">
        <w:trPr>
          <w:trHeight w:val="87"/>
          <w:jc w:val="center"/>
        </w:trPr>
        <w:tc>
          <w:tcPr>
            <w:tcW w:w="1130" w:type="pct"/>
            <w:vAlign w:val="center"/>
          </w:tcPr>
          <w:p w14:paraId="12FBE208" w14:textId="77777777" w:rsidR="00BF22C5" w:rsidRPr="009E464F" w:rsidRDefault="00BF22C5" w:rsidP="0083505F">
            <w:pPr>
              <w:adjustRightInd w:val="0"/>
              <w:snapToGrid w:val="0"/>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酶</w:t>
            </w:r>
          </w:p>
        </w:tc>
        <w:tc>
          <w:tcPr>
            <w:tcW w:w="1926" w:type="pct"/>
            <w:vAlign w:val="center"/>
          </w:tcPr>
          <w:p w14:paraId="641B192E" w14:textId="77777777" w:rsidR="00BF22C5" w:rsidRPr="009E464F" w:rsidRDefault="00BF22C5" w:rsidP="0083505F">
            <w:pPr>
              <w:adjustRightInd w:val="0"/>
              <w:snapToGrid w:val="0"/>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抑制剂</w:t>
            </w:r>
          </w:p>
        </w:tc>
        <w:tc>
          <w:tcPr>
            <w:tcW w:w="1944" w:type="pct"/>
            <w:vAlign w:val="center"/>
          </w:tcPr>
          <w:p w14:paraId="7EA1F677" w14:textId="77777777" w:rsidR="00BF22C5" w:rsidRPr="009E464F" w:rsidRDefault="00BF22C5" w:rsidP="0083505F">
            <w:pPr>
              <w:adjustRightInd w:val="0"/>
              <w:snapToGrid w:val="0"/>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备注</w:t>
            </w:r>
          </w:p>
        </w:tc>
      </w:tr>
      <w:tr w:rsidR="00BF22C5" w:rsidRPr="00446341" w14:paraId="518424F1" w14:textId="77777777" w:rsidTr="008663B1">
        <w:trPr>
          <w:trHeight w:val="82"/>
          <w:jc w:val="center"/>
        </w:trPr>
        <w:tc>
          <w:tcPr>
            <w:tcW w:w="1130" w:type="pct"/>
            <w:vMerge w:val="restart"/>
            <w:vAlign w:val="center"/>
          </w:tcPr>
          <w:p w14:paraId="0F7280A2"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CYP1A2</w:t>
            </w:r>
          </w:p>
        </w:tc>
        <w:tc>
          <w:tcPr>
            <w:tcW w:w="1926" w:type="pct"/>
            <w:vAlign w:val="center"/>
          </w:tcPr>
          <w:p w14:paraId="36BD83D8"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shd w:val="clear" w:color="auto" w:fill="FFFFFF"/>
              </w:rPr>
              <w:t>氟伏沙明</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 xml:space="preserve">fluvoxamine) </w:t>
            </w:r>
          </w:p>
        </w:tc>
        <w:tc>
          <w:tcPr>
            <w:tcW w:w="1944" w:type="pct"/>
            <w:vAlign w:val="center"/>
          </w:tcPr>
          <w:p w14:paraId="1F77C9C4"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也是</w:t>
            </w:r>
            <w:r w:rsidRPr="009E464F">
              <w:rPr>
                <w:rFonts w:cs="Times New Roman"/>
                <w:color w:val="000000" w:themeColor="text1"/>
                <w:sz w:val="21"/>
                <w:szCs w:val="21"/>
                <w:shd w:val="clear" w:color="auto" w:fill="FFFFFF"/>
              </w:rPr>
              <w:t>CYP2C19</w:t>
            </w:r>
            <w:r w:rsidRPr="009E464F">
              <w:rPr>
                <w:rFonts w:cs="Times New Roman"/>
                <w:color w:val="000000" w:themeColor="text1"/>
                <w:sz w:val="21"/>
                <w:szCs w:val="21"/>
                <w:shd w:val="clear" w:color="auto" w:fill="FFFFFF"/>
              </w:rPr>
              <w:t>的强抑制剂，</w:t>
            </w:r>
            <w:r w:rsidRPr="009E464F" w:rsidDel="000C2B2C">
              <w:rPr>
                <w:rFonts w:cs="Times New Roman"/>
                <w:color w:val="000000" w:themeColor="text1"/>
                <w:sz w:val="21"/>
                <w:szCs w:val="21"/>
                <w:shd w:val="clear" w:color="auto" w:fill="FFFFFF"/>
              </w:rPr>
              <w:t xml:space="preserve"> </w:t>
            </w:r>
            <w:r w:rsidRPr="009E464F">
              <w:rPr>
                <w:rFonts w:cs="Times New Roman"/>
                <w:color w:val="000000" w:themeColor="text1"/>
                <w:sz w:val="21"/>
                <w:szCs w:val="21"/>
              </w:rPr>
              <w:t xml:space="preserve">CYP2D6 </w:t>
            </w:r>
            <w:r w:rsidRPr="009E464F">
              <w:rPr>
                <w:rFonts w:cs="Times New Roman"/>
                <w:color w:val="000000" w:themeColor="text1"/>
                <w:sz w:val="21"/>
                <w:szCs w:val="21"/>
              </w:rPr>
              <w:t>和</w:t>
            </w:r>
            <w:r w:rsidRPr="009E464F">
              <w:rPr>
                <w:rFonts w:cs="Times New Roman"/>
                <w:color w:val="000000" w:themeColor="text1"/>
                <w:sz w:val="21"/>
                <w:szCs w:val="21"/>
              </w:rPr>
              <w:t xml:space="preserve"> CYP3A</w:t>
            </w:r>
            <w:r w:rsidRPr="009E464F">
              <w:rPr>
                <w:rFonts w:cs="Times New Roman"/>
                <w:color w:val="000000" w:themeColor="text1"/>
                <w:sz w:val="21"/>
                <w:szCs w:val="21"/>
              </w:rPr>
              <w:t>的中等强度抑制剂。</w:t>
            </w:r>
          </w:p>
        </w:tc>
      </w:tr>
      <w:tr w:rsidR="00BF22C5" w:rsidRPr="009E464F" w14:paraId="04A78E12" w14:textId="77777777" w:rsidTr="008663B1">
        <w:trPr>
          <w:trHeight w:val="46"/>
          <w:jc w:val="center"/>
        </w:trPr>
        <w:tc>
          <w:tcPr>
            <w:tcW w:w="1130" w:type="pct"/>
            <w:vMerge/>
            <w:vAlign w:val="center"/>
          </w:tcPr>
          <w:p w14:paraId="558A08FE"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26" w:type="pct"/>
            <w:vAlign w:val="center"/>
          </w:tcPr>
          <w:p w14:paraId="2B87D124"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rPr>
              <w:t>依诺沙</w:t>
            </w:r>
            <w:proofErr w:type="gramEnd"/>
            <w:r w:rsidRPr="009E464F">
              <w:rPr>
                <w:rFonts w:cs="Times New Roman"/>
                <w:color w:val="000000" w:themeColor="text1"/>
                <w:sz w:val="21"/>
                <w:szCs w:val="21"/>
              </w:rPr>
              <w:t>星</w:t>
            </w:r>
            <w:r w:rsidRPr="009E464F">
              <w:rPr>
                <w:rFonts w:cs="Times New Roman"/>
                <w:color w:val="000000" w:themeColor="text1"/>
                <w:sz w:val="21"/>
                <w:szCs w:val="21"/>
              </w:rPr>
              <w:t>(</w:t>
            </w:r>
            <w:proofErr w:type="spellStart"/>
            <w:r w:rsidRPr="009E464F">
              <w:rPr>
                <w:rFonts w:cs="Times New Roman"/>
                <w:color w:val="000000" w:themeColor="text1"/>
                <w:sz w:val="21"/>
                <w:szCs w:val="21"/>
              </w:rPr>
              <w:t>enoxacin</w:t>
            </w:r>
            <w:proofErr w:type="spellEnd"/>
            <w:r w:rsidRPr="009E464F">
              <w:rPr>
                <w:rFonts w:cs="Times New Roman"/>
                <w:color w:val="000000" w:themeColor="text1"/>
                <w:sz w:val="21"/>
                <w:szCs w:val="21"/>
              </w:rPr>
              <w:t xml:space="preserve">) </w:t>
            </w:r>
          </w:p>
        </w:tc>
        <w:tc>
          <w:tcPr>
            <w:tcW w:w="1944" w:type="pct"/>
            <w:vAlign w:val="center"/>
          </w:tcPr>
          <w:p w14:paraId="146F15E4"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shd w:val="clear" w:color="auto" w:fill="FFFFFF"/>
              </w:rPr>
            </w:pPr>
          </w:p>
        </w:tc>
      </w:tr>
      <w:tr w:rsidR="00BF22C5" w:rsidRPr="009E464F" w14:paraId="4BD15B12" w14:textId="77777777" w:rsidTr="008663B1">
        <w:trPr>
          <w:trHeight w:val="46"/>
          <w:jc w:val="center"/>
        </w:trPr>
        <w:tc>
          <w:tcPr>
            <w:tcW w:w="1130" w:type="pct"/>
            <w:vMerge/>
            <w:vAlign w:val="center"/>
          </w:tcPr>
          <w:p w14:paraId="2B01EB88"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26" w:type="pct"/>
            <w:vAlign w:val="center"/>
          </w:tcPr>
          <w:p w14:paraId="03B59395"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rPr>
              <w:t>噻氯匹定</w:t>
            </w:r>
            <w:proofErr w:type="gramEnd"/>
            <w:r w:rsidRPr="009E464F">
              <w:rPr>
                <w:rFonts w:cs="Times New Roman"/>
                <w:color w:val="000000" w:themeColor="text1"/>
                <w:sz w:val="21"/>
                <w:szCs w:val="21"/>
              </w:rPr>
              <w:t>（</w:t>
            </w:r>
            <w:r w:rsidRPr="009E464F">
              <w:rPr>
                <w:rFonts w:cs="Times New Roman"/>
                <w:color w:val="000000" w:themeColor="text1"/>
                <w:sz w:val="21"/>
                <w:szCs w:val="21"/>
              </w:rPr>
              <w:t>ticlopidine</w:t>
            </w:r>
            <w:r w:rsidRPr="009E464F">
              <w:rPr>
                <w:rFonts w:cs="Times New Roman"/>
                <w:color w:val="000000" w:themeColor="text1"/>
                <w:sz w:val="21"/>
                <w:szCs w:val="21"/>
              </w:rPr>
              <w:t>）</w:t>
            </w:r>
          </w:p>
        </w:tc>
        <w:tc>
          <w:tcPr>
            <w:tcW w:w="1944" w:type="pct"/>
            <w:vAlign w:val="center"/>
          </w:tcPr>
          <w:p w14:paraId="67EB6011"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p>
        </w:tc>
      </w:tr>
      <w:tr w:rsidR="00BF22C5" w:rsidRPr="009E464F" w14:paraId="22667AA7" w14:textId="77777777" w:rsidTr="008663B1">
        <w:trPr>
          <w:trHeight w:val="46"/>
          <w:jc w:val="center"/>
        </w:trPr>
        <w:tc>
          <w:tcPr>
            <w:tcW w:w="1130" w:type="pct"/>
            <w:vAlign w:val="center"/>
          </w:tcPr>
          <w:p w14:paraId="399F94C9"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CYP2B6</w:t>
            </w:r>
          </w:p>
        </w:tc>
        <w:tc>
          <w:tcPr>
            <w:tcW w:w="1926" w:type="pct"/>
            <w:vAlign w:val="center"/>
          </w:tcPr>
          <w:p w14:paraId="3A1BB54B"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44" w:type="pct"/>
            <w:vAlign w:val="center"/>
          </w:tcPr>
          <w:p w14:paraId="5406C2A8"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CYP2B6</w:t>
            </w:r>
            <w:r w:rsidRPr="009E464F">
              <w:rPr>
                <w:rFonts w:cs="Times New Roman"/>
                <w:color w:val="000000" w:themeColor="text1"/>
                <w:sz w:val="21"/>
                <w:szCs w:val="21"/>
              </w:rPr>
              <w:t>缺乏特异性抑制剂</w:t>
            </w:r>
          </w:p>
        </w:tc>
      </w:tr>
      <w:tr w:rsidR="00BF22C5" w:rsidRPr="009E464F" w14:paraId="75A67773" w14:textId="77777777" w:rsidTr="008663B1">
        <w:trPr>
          <w:trHeight w:val="46"/>
          <w:jc w:val="center"/>
        </w:trPr>
        <w:tc>
          <w:tcPr>
            <w:tcW w:w="1130" w:type="pct"/>
            <w:vMerge w:val="restart"/>
            <w:vAlign w:val="center"/>
          </w:tcPr>
          <w:p w14:paraId="41176A21"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CYP2C8</w:t>
            </w:r>
          </w:p>
        </w:tc>
        <w:tc>
          <w:tcPr>
            <w:tcW w:w="1926" w:type="pct"/>
            <w:vAlign w:val="center"/>
          </w:tcPr>
          <w:p w14:paraId="3A4F5638"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吉非贝齐（</w:t>
            </w:r>
            <w:r w:rsidRPr="009E464F">
              <w:rPr>
                <w:rFonts w:cs="Times New Roman"/>
                <w:color w:val="000000" w:themeColor="text1"/>
                <w:sz w:val="21"/>
                <w:szCs w:val="21"/>
              </w:rPr>
              <w:t>gemfibrozil</w:t>
            </w:r>
            <w:r w:rsidRPr="009E464F">
              <w:rPr>
                <w:rFonts w:cs="Times New Roman"/>
                <w:color w:val="000000" w:themeColor="text1"/>
                <w:sz w:val="21"/>
                <w:szCs w:val="21"/>
              </w:rPr>
              <w:t>）</w:t>
            </w:r>
          </w:p>
          <w:p w14:paraId="10AB8135"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44" w:type="pct"/>
            <w:vAlign w:val="center"/>
          </w:tcPr>
          <w:p w14:paraId="1E888015"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强抑制剂，也是</w:t>
            </w:r>
            <w:r w:rsidRPr="009E464F">
              <w:rPr>
                <w:rFonts w:cs="Times New Roman"/>
                <w:color w:val="000000" w:themeColor="text1"/>
                <w:sz w:val="21"/>
                <w:szCs w:val="21"/>
              </w:rPr>
              <w:t>OATP1B1</w:t>
            </w:r>
            <w:r w:rsidRPr="009E464F">
              <w:rPr>
                <w:rFonts w:cs="Times New Roman"/>
                <w:color w:val="000000" w:themeColor="text1"/>
                <w:sz w:val="21"/>
                <w:szCs w:val="21"/>
              </w:rPr>
              <w:t>和</w:t>
            </w:r>
            <w:r w:rsidRPr="009E464F">
              <w:rPr>
                <w:rFonts w:cs="Times New Roman"/>
                <w:color w:val="000000" w:themeColor="text1"/>
                <w:sz w:val="21"/>
                <w:szCs w:val="21"/>
              </w:rPr>
              <w:t>OAT3</w:t>
            </w:r>
            <w:r w:rsidRPr="009E464F">
              <w:rPr>
                <w:rFonts w:cs="Times New Roman"/>
                <w:color w:val="000000" w:themeColor="text1"/>
                <w:sz w:val="21"/>
                <w:szCs w:val="21"/>
              </w:rPr>
              <w:t>抑制剂，其葡萄糖醛酸结合物是</w:t>
            </w:r>
            <w:r w:rsidRPr="009E464F">
              <w:rPr>
                <w:rFonts w:cs="Times New Roman"/>
                <w:color w:val="000000" w:themeColor="text1"/>
                <w:sz w:val="21"/>
                <w:szCs w:val="21"/>
              </w:rPr>
              <w:t>CYP2C8</w:t>
            </w:r>
            <w:r w:rsidRPr="009E464F">
              <w:rPr>
                <w:rFonts w:cs="Times New Roman"/>
                <w:color w:val="000000" w:themeColor="text1"/>
                <w:sz w:val="21"/>
                <w:szCs w:val="21"/>
              </w:rPr>
              <w:t>和</w:t>
            </w:r>
            <w:r w:rsidRPr="009E464F">
              <w:rPr>
                <w:rFonts w:cs="Times New Roman"/>
                <w:color w:val="000000" w:themeColor="text1"/>
                <w:sz w:val="21"/>
                <w:szCs w:val="21"/>
              </w:rPr>
              <w:t>OATP1B1</w:t>
            </w:r>
            <w:r w:rsidRPr="009E464F">
              <w:rPr>
                <w:rFonts w:cs="Times New Roman"/>
                <w:color w:val="000000" w:themeColor="text1"/>
                <w:sz w:val="21"/>
                <w:szCs w:val="21"/>
              </w:rPr>
              <w:t>的抑制剂。</w:t>
            </w:r>
          </w:p>
        </w:tc>
      </w:tr>
      <w:tr w:rsidR="00BF22C5" w:rsidRPr="009E464F" w14:paraId="3E980D3A" w14:textId="77777777" w:rsidTr="008663B1">
        <w:trPr>
          <w:trHeight w:val="46"/>
          <w:jc w:val="center"/>
        </w:trPr>
        <w:tc>
          <w:tcPr>
            <w:tcW w:w="1130" w:type="pct"/>
            <w:vMerge/>
            <w:vAlign w:val="center"/>
          </w:tcPr>
          <w:p w14:paraId="0E415E1B"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26" w:type="pct"/>
            <w:vAlign w:val="center"/>
          </w:tcPr>
          <w:p w14:paraId="7CC3F7DD"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氯</w:t>
            </w:r>
            <w:proofErr w:type="gramStart"/>
            <w:r w:rsidRPr="009E464F">
              <w:rPr>
                <w:rFonts w:cs="Times New Roman"/>
                <w:color w:val="000000" w:themeColor="text1"/>
                <w:sz w:val="21"/>
                <w:szCs w:val="21"/>
                <w:shd w:val="clear" w:color="auto" w:fill="FFFFFF"/>
              </w:rPr>
              <w:t>吡</w:t>
            </w:r>
            <w:proofErr w:type="gramEnd"/>
            <w:r w:rsidRPr="009E464F">
              <w:rPr>
                <w:rFonts w:cs="Times New Roman"/>
                <w:color w:val="000000" w:themeColor="text1"/>
                <w:sz w:val="21"/>
                <w:szCs w:val="21"/>
                <w:shd w:val="clear" w:color="auto" w:fill="FFFFFF"/>
              </w:rPr>
              <w:t>格雷</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 xml:space="preserve">clopidogrel) </w:t>
            </w:r>
          </w:p>
        </w:tc>
        <w:tc>
          <w:tcPr>
            <w:tcW w:w="1944" w:type="pct"/>
            <w:vAlign w:val="center"/>
          </w:tcPr>
          <w:p w14:paraId="0508D31F"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shd w:val="clear" w:color="auto" w:fill="FFFFFF"/>
              </w:rPr>
              <w:t>中等强度抑制剂，</w:t>
            </w:r>
            <w:r w:rsidRPr="009E464F">
              <w:rPr>
                <w:rFonts w:cs="Times New Roman"/>
                <w:color w:val="000000" w:themeColor="text1"/>
                <w:sz w:val="21"/>
                <w:szCs w:val="21"/>
              </w:rPr>
              <w:t>CYP2B6</w:t>
            </w:r>
            <w:r w:rsidRPr="009E464F">
              <w:rPr>
                <w:rFonts w:cs="Times New Roman"/>
                <w:color w:val="000000" w:themeColor="text1"/>
                <w:sz w:val="21"/>
                <w:szCs w:val="21"/>
              </w:rPr>
              <w:t>的弱抑制剂和</w:t>
            </w:r>
            <w:r w:rsidRPr="009E464F">
              <w:rPr>
                <w:rFonts w:cs="Times New Roman"/>
                <w:color w:val="000000" w:themeColor="text1"/>
                <w:sz w:val="21"/>
                <w:szCs w:val="21"/>
              </w:rPr>
              <w:t>OATP1B1</w:t>
            </w:r>
            <w:r w:rsidRPr="009E464F">
              <w:rPr>
                <w:rFonts w:cs="Times New Roman"/>
                <w:color w:val="000000" w:themeColor="text1"/>
                <w:sz w:val="21"/>
                <w:szCs w:val="21"/>
              </w:rPr>
              <w:t>抑制剂，其葡萄糖醛酸结合物也是</w:t>
            </w:r>
            <w:r w:rsidRPr="009E464F">
              <w:rPr>
                <w:rFonts w:cs="Times New Roman"/>
                <w:color w:val="000000" w:themeColor="text1"/>
                <w:sz w:val="21"/>
                <w:szCs w:val="21"/>
              </w:rPr>
              <w:t xml:space="preserve">CYP2C8 </w:t>
            </w:r>
            <w:r w:rsidRPr="009E464F">
              <w:rPr>
                <w:rFonts w:cs="Times New Roman"/>
                <w:color w:val="000000" w:themeColor="text1"/>
                <w:sz w:val="21"/>
                <w:szCs w:val="21"/>
              </w:rPr>
              <w:t>和</w:t>
            </w:r>
            <w:r w:rsidRPr="009E464F">
              <w:rPr>
                <w:rFonts w:cs="Times New Roman"/>
                <w:color w:val="000000" w:themeColor="text1"/>
                <w:sz w:val="21"/>
                <w:szCs w:val="21"/>
              </w:rPr>
              <w:t xml:space="preserve"> OATP1B1</w:t>
            </w:r>
            <w:r w:rsidRPr="009E464F">
              <w:rPr>
                <w:rFonts w:cs="Times New Roman"/>
                <w:color w:val="000000" w:themeColor="text1"/>
                <w:sz w:val="21"/>
                <w:szCs w:val="21"/>
              </w:rPr>
              <w:t>抑制剂。</w:t>
            </w:r>
          </w:p>
        </w:tc>
      </w:tr>
      <w:tr w:rsidR="00BF22C5" w:rsidRPr="009E464F" w14:paraId="273F8E23" w14:textId="77777777" w:rsidTr="008663B1">
        <w:trPr>
          <w:trHeight w:val="46"/>
          <w:jc w:val="center"/>
        </w:trPr>
        <w:tc>
          <w:tcPr>
            <w:tcW w:w="1130" w:type="pct"/>
            <w:vAlign w:val="center"/>
          </w:tcPr>
          <w:p w14:paraId="3B805597"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lastRenderedPageBreak/>
              <w:t>CYP2C9</w:t>
            </w:r>
          </w:p>
        </w:tc>
        <w:tc>
          <w:tcPr>
            <w:tcW w:w="1926" w:type="pct"/>
            <w:vAlign w:val="center"/>
          </w:tcPr>
          <w:p w14:paraId="456046CA"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氟康</w:t>
            </w:r>
            <w:proofErr w:type="gramStart"/>
            <w:r w:rsidRPr="009E464F">
              <w:rPr>
                <w:rFonts w:cs="Times New Roman"/>
                <w:color w:val="000000" w:themeColor="text1"/>
                <w:sz w:val="21"/>
                <w:szCs w:val="21"/>
              </w:rPr>
              <w:t>唑</w:t>
            </w:r>
            <w:proofErr w:type="gramEnd"/>
            <w:r w:rsidRPr="009E464F">
              <w:rPr>
                <w:rFonts w:cs="Times New Roman"/>
                <w:color w:val="000000" w:themeColor="text1"/>
                <w:sz w:val="21"/>
                <w:szCs w:val="21"/>
              </w:rPr>
              <w:t xml:space="preserve">(fluconazole) </w:t>
            </w:r>
          </w:p>
        </w:tc>
        <w:tc>
          <w:tcPr>
            <w:tcW w:w="1944" w:type="pct"/>
            <w:vAlign w:val="center"/>
          </w:tcPr>
          <w:p w14:paraId="1988916C"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中等强度抑制剂，也是</w:t>
            </w:r>
            <w:r w:rsidRPr="009E464F">
              <w:rPr>
                <w:rFonts w:cs="Times New Roman"/>
                <w:color w:val="000000" w:themeColor="text1"/>
                <w:sz w:val="21"/>
                <w:szCs w:val="21"/>
              </w:rPr>
              <w:t>CYP2C19</w:t>
            </w:r>
            <w:r w:rsidRPr="009E464F">
              <w:rPr>
                <w:rFonts w:cs="Times New Roman"/>
                <w:color w:val="000000" w:themeColor="text1"/>
                <w:sz w:val="21"/>
                <w:szCs w:val="21"/>
              </w:rPr>
              <w:t>的强抑制剂和</w:t>
            </w:r>
            <w:r w:rsidRPr="009E464F">
              <w:rPr>
                <w:rFonts w:cs="Times New Roman"/>
                <w:color w:val="000000" w:themeColor="text1"/>
                <w:sz w:val="21"/>
                <w:szCs w:val="21"/>
              </w:rPr>
              <w:t>CYP3A</w:t>
            </w:r>
            <w:r w:rsidRPr="009E464F">
              <w:rPr>
                <w:rFonts w:cs="Times New Roman"/>
                <w:color w:val="000000" w:themeColor="text1"/>
                <w:sz w:val="21"/>
                <w:szCs w:val="21"/>
              </w:rPr>
              <w:t>的中等强度抑制剂。</w:t>
            </w:r>
          </w:p>
        </w:tc>
      </w:tr>
      <w:tr w:rsidR="00BF22C5" w:rsidRPr="009E464F" w14:paraId="3EABED84" w14:textId="77777777" w:rsidTr="008663B1">
        <w:trPr>
          <w:trHeight w:val="46"/>
          <w:jc w:val="center"/>
        </w:trPr>
        <w:tc>
          <w:tcPr>
            <w:tcW w:w="1130" w:type="pct"/>
            <w:vMerge w:val="restart"/>
            <w:vAlign w:val="center"/>
          </w:tcPr>
          <w:p w14:paraId="7870A5E5"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CYP2C19</w:t>
            </w:r>
          </w:p>
        </w:tc>
        <w:tc>
          <w:tcPr>
            <w:tcW w:w="1926" w:type="pct"/>
            <w:vAlign w:val="center"/>
          </w:tcPr>
          <w:p w14:paraId="1499318A"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shd w:val="clear" w:color="auto" w:fill="FFFFFF"/>
              </w:rPr>
              <w:t>氟伏沙明</w:t>
            </w:r>
            <w:proofErr w:type="gramEnd"/>
            <w:r w:rsidRPr="009E464F">
              <w:rPr>
                <w:rFonts w:cs="Times New Roman"/>
                <w:color w:val="000000" w:themeColor="text1"/>
                <w:sz w:val="21"/>
                <w:szCs w:val="21"/>
                <w:shd w:val="clear" w:color="auto" w:fill="FFFFFF"/>
              </w:rPr>
              <w:t xml:space="preserve"> </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shd w:val="clear" w:color="auto" w:fill="FFFFFF"/>
              </w:rPr>
              <w:t>fluvoxamine</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shd w:val="clear" w:color="auto" w:fill="FFFFFF"/>
              </w:rPr>
              <w:t xml:space="preserve">   </w:t>
            </w:r>
          </w:p>
        </w:tc>
        <w:tc>
          <w:tcPr>
            <w:tcW w:w="1944" w:type="pct"/>
            <w:vAlign w:val="center"/>
          </w:tcPr>
          <w:p w14:paraId="540E2B9C"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shd w:val="clear" w:color="auto" w:fill="FFFFFF"/>
              </w:rPr>
              <w:t>也是</w:t>
            </w:r>
            <w:r w:rsidRPr="009E464F">
              <w:rPr>
                <w:rFonts w:cs="Times New Roman"/>
                <w:color w:val="000000" w:themeColor="text1"/>
                <w:sz w:val="21"/>
                <w:szCs w:val="21"/>
                <w:shd w:val="clear" w:color="auto" w:fill="FFFFFF"/>
              </w:rPr>
              <w:t>CYP1A2</w:t>
            </w:r>
            <w:r w:rsidRPr="009E464F">
              <w:rPr>
                <w:rFonts w:cs="Times New Roman"/>
                <w:color w:val="000000" w:themeColor="text1"/>
                <w:sz w:val="21"/>
                <w:szCs w:val="21"/>
                <w:shd w:val="clear" w:color="auto" w:fill="FFFFFF"/>
              </w:rPr>
              <w:t>的强抑制剂，</w:t>
            </w:r>
            <w:r w:rsidRPr="009E464F" w:rsidDel="000C2B2C">
              <w:rPr>
                <w:rFonts w:cs="Times New Roman"/>
                <w:color w:val="000000" w:themeColor="text1"/>
                <w:sz w:val="21"/>
                <w:szCs w:val="21"/>
                <w:shd w:val="clear" w:color="auto" w:fill="FFFFFF"/>
              </w:rPr>
              <w:t xml:space="preserve"> </w:t>
            </w:r>
            <w:r w:rsidRPr="009E464F">
              <w:rPr>
                <w:rFonts w:cs="Times New Roman"/>
                <w:color w:val="000000" w:themeColor="text1"/>
                <w:sz w:val="21"/>
                <w:szCs w:val="21"/>
              </w:rPr>
              <w:t xml:space="preserve">CYP2D6 </w:t>
            </w:r>
            <w:r w:rsidRPr="009E464F">
              <w:rPr>
                <w:rFonts w:cs="Times New Roman"/>
                <w:color w:val="000000" w:themeColor="text1"/>
                <w:sz w:val="21"/>
                <w:szCs w:val="21"/>
              </w:rPr>
              <w:t>和</w:t>
            </w:r>
            <w:r w:rsidRPr="009E464F">
              <w:rPr>
                <w:rFonts w:cs="Times New Roman"/>
                <w:color w:val="000000" w:themeColor="text1"/>
                <w:sz w:val="21"/>
                <w:szCs w:val="21"/>
              </w:rPr>
              <w:t xml:space="preserve"> CYP3A</w:t>
            </w:r>
            <w:r w:rsidRPr="009E464F">
              <w:rPr>
                <w:rFonts w:cs="Times New Roman"/>
                <w:color w:val="000000" w:themeColor="text1"/>
                <w:sz w:val="21"/>
                <w:szCs w:val="21"/>
              </w:rPr>
              <w:t>的中等强度抑制剂。</w:t>
            </w:r>
          </w:p>
        </w:tc>
      </w:tr>
      <w:tr w:rsidR="00BF22C5" w:rsidRPr="009E464F" w14:paraId="12C5372C" w14:textId="77777777" w:rsidTr="008663B1">
        <w:trPr>
          <w:trHeight w:val="46"/>
          <w:jc w:val="center"/>
        </w:trPr>
        <w:tc>
          <w:tcPr>
            <w:tcW w:w="1130" w:type="pct"/>
            <w:vMerge/>
            <w:vAlign w:val="center"/>
          </w:tcPr>
          <w:p w14:paraId="64C3C5BB"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26" w:type="pct"/>
            <w:vAlign w:val="center"/>
          </w:tcPr>
          <w:p w14:paraId="45857C89"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氟康</w:t>
            </w:r>
            <w:proofErr w:type="gramStart"/>
            <w:r w:rsidRPr="009E464F">
              <w:rPr>
                <w:rFonts w:cs="Times New Roman"/>
                <w:color w:val="000000" w:themeColor="text1"/>
                <w:sz w:val="21"/>
                <w:szCs w:val="21"/>
              </w:rPr>
              <w:t>唑</w:t>
            </w:r>
            <w:proofErr w:type="gramEnd"/>
            <w:r w:rsidRPr="009E464F">
              <w:rPr>
                <w:rFonts w:cs="Times New Roman"/>
                <w:color w:val="000000" w:themeColor="text1"/>
                <w:sz w:val="21"/>
                <w:szCs w:val="21"/>
              </w:rPr>
              <w:t>（</w:t>
            </w:r>
            <w:r w:rsidRPr="009E464F">
              <w:rPr>
                <w:rFonts w:cs="Times New Roman"/>
                <w:color w:val="000000" w:themeColor="text1"/>
                <w:sz w:val="21"/>
                <w:szCs w:val="21"/>
              </w:rPr>
              <w:t>fluconazole</w:t>
            </w:r>
            <w:r w:rsidRPr="009E464F">
              <w:rPr>
                <w:rFonts w:cs="Times New Roman"/>
                <w:color w:val="000000" w:themeColor="text1"/>
                <w:sz w:val="21"/>
                <w:szCs w:val="21"/>
              </w:rPr>
              <w:t>）</w:t>
            </w:r>
          </w:p>
        </w:tc>
        <w:tc>
          <w:tcPr>
            <w:tcW w:w="1944" w:type="pct"/>
            <w:vAlign w:val="center"/>
          </w:tcPr>
          <w:p w14:paraId="2D07794D"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CYP2C9</w:t>
            </w:r>
            <w:r w:rsidRPr="009E464F">
              <w:rPr>
                <w:rFonts w:cs="Times New Roman"/>
                <w:color w:val="000000" w:themeColor="text1"/>
                <w:sz w:val="21"/>
                <w:szCs w:val="21"/>
              </w:rPr>
              <w:t>和</w:t>
            </w:r>
            <w:r w:rsidRPr="009E464F">
              <w:rPr>
                <w:rFonts w:cs="Times New Roman"/>
                <w:color w:val="000000" w:themeColor="text1"/>
                <w:sz w:val="21"/>
                <w:szCs w:val="21"/>
              </w:rPr>
              <w:t>CYP3A</w:t>
            </w:r>
            <w:r w:rsidRPr="009E464F">
              <w:rPr>
                <w:rFonts w:cs="Times New Roman"/>
                <w:color w:val="000000" w:themeColor="text1"/>
                <w:sz w:val="21"/>
                <w:szCs w:val="21"/>
              </w:rPr>
              <w:t>的中等强度抑制剂</w:t>
            </w:r>
          </w:p>
        </w:tc>
      </w:tr>
      <w:tr w:rsidR="00BF22C5" w:rsidRPr="009E464F" w14:paraId="3C13C3D5" w14:textId="77777777" w:rsidTr="008663B1">
        <w:trPr>
          <w:trHeight w:val="46"/>
          <w:jc w:val="center"/>
        </w:trPr>
        <w:tc>
          <w:tcPr>
            <w:tcW w:w="1130" w:type="pct"/>
            <w:vMerge/>
            <w:vAlign w:val="center"/>
          </w:tcPr>
          <w:p w14:paraId="32E24F4E"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26" w:type="pct"/>
            <w:vAlign w:val="center"/>
          </w:tcPr>
          <w:p w14:paraId="2F091F48"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氟西</w:t>
            </w:r>
            <w:proofErr w:type="gramStart"/>
            <w:r w:rsidRPr="009E464F">
              <w:rPr>
                <w:rFonts w:cs="Times New Roman"/>
                <w:color w:val="000000" w:themeColor="text1"/>
                <w:sz w:val="21"/>
                <w:szCs w:val="21"/>
              </w:rPr>
              <w:t>汀</w:t>
            </w:r>
            <w:proofErr w:type="gramEnd"/>
            <w:r w:rsidRPr="009E464F">
              <w:rPr>
                <w:rFonts w:cs="Times New Roman"/>
                <w:color w:val="000000" w:themeColor="text1"/>
                <w:sz w:val="21"/>
                <w:szCs w:val="21"/>
              </w:rPr>
              <w:t xml:space="preserve">(fluoxetine) </w:t>
            </w:r>
          </w:p>
        </w:tc>
        <w:tc>
          <w:tcPr>
            <w:tcW w:w="1944" w:type="pct"/>
            <w:vAlign w:val="center"/>
          </w:tcPr>
          <w:p w14:paraId="0C01CCA0"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CYP2D6</w:t>
            </w:r>
            <w:r w:rsidRPr="009E464F">
              <w:rPr>
                <w:rFonts w:cs="Times New Roman"/>
                <w:color w:val="000000" w:themeColor="text1"/>
                <w:sz w:val="21"/>
                <w:szCs w:val="21"/>
              </w:rPr>
              <w:t>的强抑制剂</w:t>
            </w:r>
          </w:p>
        </w:tc>
      </w:tr>
      <w:tr w:rsidR="00BF22C5" w:rsidRPr="009E464F" w14:paraId="14781404" w14:textId="77777777" w:rsidTr="008663B1">
        <w:trPr>
          <w:trHeight w:val="46"/>
          <w:jc w:val="center"/>
        </w:trPr>
        <w:tc>
          <w:tcPr>
            <w:tcW w:w="1130" w:type="pct"/>
            <w:vMerge/>
            <w:vAlign w:val="center"/>
          </w:tcPr>
          <w:p w14:paraId="5D4C9493"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26" w:type="pct"/>
            <w:vAlign w:val="center"/>
          </w:tcPr>
          <w:p w14:paraId="5DECAF35"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rPr>
              <w:t>噻氯匹定</w:t>
            </w:r>
            <w:proofErr w:type="gramEnd"/>
            <w:r w:rsidRPr="009E464F">
              <w:rPr>
                <w:rFonts w:cs="Times New Roman"/>
                <w:color w:val="000000" w:themeColor="text1"/>
                <w:sz w:val="21"/>
                <w:szCs w:val="21"/>
              </w:rPr>
              <w:t>(ticlopidine)</w:t>
            </w:r>
          </w:p>
        </w:tc>
        <w:tc>
          <w:tcPr>
            <w:tcW w:w="1944" w:type="pct"/>
            <w:vAlign w:val="center"/>
          </w:tcPr>
          <w:p w14:paraId="5C0A5BFE"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p>
        </w:tc>
      </w:tr>
      <w:tr w:rsidR="00BF22C5" w:rsidRPr="009E464F" w14:paraId="04230F2F" w14:textId="77777777" w:rsidTr="008663B1">
        <w:trPr>
          <w:trHeight w:val="46"/>
          <w:jc w:val="center"/>
        </w:trPr>
        <w:tc>
          <w:tcPr>
            <w:tcW w:w="1130" w:type="pct"/>
            <w:vMerge w:val="restart"/>
            <w:vAlign w:val="center"/>
          </w:tcPr>
          <w:p w14:paraId="460F39F6"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CYP2D6</w:t>
            </w:r>
          </w:p>
        </w:tc>
        <w:tc>
          <w:tcPr>
            <w:tcW w:w="1926" w:type="pct"/>
            <w:vAlign w:val="center"/>
          </w:tcPr>
          <w:p w14:paraId="512F5FD8"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帕罗西汀</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paroxetine)</w:t>
            </w:r>
          </w:p>
          <w:p w14:paraId="217CB444"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44" w:type="pct"/>
            <w:vAlign w:val="center"/>
          </w:tcPr>
          <w:p w14:paraId="481C6387"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p>
        </w:tc>
      </w:tr>
      <w:tr w:rsidR="00BF22C5" w:rsidRPr="009E464F" w14:paraId="55B76D1D" w14:textId="77777777" w:rsidTr="008663B1">
        <w:trPr>
          <w:trHeight w:val="46"/>
          <w:jc w:val="center"/>
        </w:trPr>
        <w:tc>
          <w:tcPr>
            <w:tcW w:w="1130" w:type="pct"/>
            <w:vMerge/>
            <w:vAlign w:val="center"/>
          </w:tcPr>
          <w:p w14:paraId="500A2915"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26" w:type="pct"/>
            <w:vAlign w:val="center"/>
          </w:tcPr>
          <w:p w14:paraId="4088CFF0" w14:textId="47B516D8" w:rsidR="00BF22C5" w:rsidRPr="009E464F" w:rsidRDefault="00BF22C5" w:rsidP="0083505F">
            <w:pPr>
              <w:adjustRightInd w:val="0"/>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氟西</w:t>
            </w:r>
            <w:proofErr w:type="gramStart"/>
            <w:r w:rsidRPr="009E464F">
              <w:rPr>
                <w:rFonts w:cs="Times New Roman"/>
                <w:color w:val="000000" w:themeColor="text1"/>
                <w:sz w:val="21"/>
                <w:szCs w:val="21"/>
                <w:shd w:val="clear" w:color="auto" w:fill="FFFFFF"/>
              </w:rPr>
              <w:t>汀</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shd w:val="clear" w:color="auto" w:fill="FFFFFF"/>
              </w:rPr>
              <w:t>fluoxetine</w:t>
            </w:r>
            <w:r w:rsidRPr="009E464F">
              <w:rPr>
                <w:rFonts w:cs="Times New Roman"/>
                <w:color w:val="000000" w:themeColor="text1"/>
                <w:sz w:val="21"/>
                <w:szCs w:val="21"/>
                <w:shd w:val="clear" w:color="auto" w:fill="FFFFFF"/>
              </w:rPr>
              <w:t>）</w:t>
            </w:r>
          </w:p>
        </w:tc>
        <w:tc>
          <w:tcPr>
            <w:tcW w:w="1944" w:type="pct"/>
            <w:vAlign w:val="center"/>
          </w:tcPr>
          <w:p w14:paraId="5B9DF471"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CYP2C19</w:t>
            </w:r>
            <w:r w:rsidRPr="009E464F">
              <w:rPr>
                <w:rFonts w:cs="Times New Roman"/>
                <w:color w:val="000000" w:themeColor="text1"/>
                <w:sz w:val="21"/>
                <w:szCs w:val="21"/>
              </w:rPr>
              <w:t>的强抑制剂，</w:t>
            </w:r>
            <w:r w:rsidRPr="009E464F">
              <w:rPr>
                <w:rFonts w:cs="Times New Roman"/>
                <w:color w:val="000000" w:themeColor="text1"/>
                <w:sz w:val="21"/>
                <w:szCs w:val="21"/>
              </w:rPr>
              <w:t>P-</w:t>
            </w:r>
            <w:proofErr w:type="spellStart"/>
            <w:r w:rsidRPr="009E464F">
              <w:rPr>
                <w:rFonts w:cs="Times New Roman"/>
                <w:color w:val="000000" w:themeColor="text1"/>
                <w:sz w:val="21"/>
                <w:szCs w:val="21"/>
              </w:rPr>
              <w:t>gp</w:t>
            </w:r>
            <w:proofErr w:type="spellEnd"/>
            <w:r w:rsidRPr="009E464F">
              <w:rPr>
                <w:rFonts w:cs="Times New Roman"/>
                <w:color w:val="000000" w:themeColor="text1"/>
                <w:sz w:val="21"/>
                <w:szCs w:val="21"/>
              </w:rPr>
              <w:t xml:space="preserve"> </w:t>
            </w:r>
            <w:r w:rsidRPr="009E464F">
              <w:rPr>
                <w:rFonts w:cs="Times New Roman"/>
                <w:color w:val="000000" w:themeColor="text1"/>
                <w:sz w:val="21"/>
                <w:szCs w:val="21"/>
              </w:rPr>
              <w:t>抑制剂。</w:t>
            </w:r>
          </w:p>
        </w:tc>
      </w:tr>
      <w:tr w:rsidR="00BF22C5" w:rsidRPr="009E464F" w14:paraId="6A4676F1" w14:textId="77777777" w:rsidTr="008663B1">
        <w:trPr>
          <w:trHeight w:val="46"/>
          <w:jc w:val="center"/>
        </w:trPr>
        <w:tc>
          <w:tcPr>
            <w:tcW w:w="1130" w:type="pct"/>
            <w:vMerge/>
            <w:vAlign w:val="center"/>
          </w:tcPr>
          <w:p w14:paraId="78E1D81C"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26" w:type="pct"/>
            <w:vAlign w:val="center"/>
          </w:tcPr>
          <w:p w14:paraId="0B2C9D91"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奎尼丁</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quinidine)</w:t>
            </w:r>
            <w:r w:rsidRPr="009E464F">
              <w:rPr>
                <w:rFonts w:cs="Times New Roman"/>
                <w:color w:val="000000" w:themeColor="text1"/>
                <w:sz w:val="21"/>
                <w:szCs w:val="21"/>
                <w:shd w:val="clear" w:color="auto" w:fill="FFFFFF"/>
              </w:rPr>
              <w:t xml:space="preserve"> </w:t>
            </w:r>
          </w:p>
        </w:tc>
        <w:tc>
          <w:tcPr>
            <w:tcW w:w="1944" w:type="pct"/>
            <w:vAlign w:val="center"/>
          </w:tcPr>
          <w:p w14:paraId="49A56CA9"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P-</w:t>
            </w:r>
            <w:proofErr w:type="spellStart"/>
            <w:r w:rsidRPr="009E464F">
              <w:rPr>
                <w:rFonts w:cs="Times New Roman"/>
                <w:color w:val="000000" w:themeColor="text1"/>
                <w:sz w:val="21"/>
                <w:szCs w:val="21"/>
              </w:rPr>
              <w:t>gp</w:t>
            </w:r>
            <w:proofErr w:type="spellEnd"/>
            <w:r w:rsidRPr="009E464F">
              <w:rPr>
                <w:rFonts w:cs="Times New Roman"/>
                <w:color w:val="000000" w:themeColor="text1"/>
                <w:sz w:val="21"/>
                <w:szCs w:val="21"/>
              </w:rPr>
              <w:t xml:space="preserve"> </w:t>
            </w:r>
            <w:r w:rsidRPr="009E464F">
              <w:rPr>
                <w:rFonts w:cs="Times New Roman"/>
                <w:color w:val="000000" w:themeColor="text1"/>
                <w:sz w:val="21"/>
                <w:szCs w:val="21"/>
              </w:rPr>
              <w:t>抑制剂</w:t>
            </w:r>
          </w:p>
        </w:tc>
      </w:tr>
      <w:tr w:rsidR="00BF22C5" w:rsidRPr="009E464F" w14:paraId="25017DF5" w14:textId="77777777" w:rsidTr="008663B1">
        <w:trPr>
          <w:trHeight w:val="46"/>
          <w:jc w:val="center"/>
        </w:trPr>
        <w:tc>
          <w:tcPr>
            <w:tcW w:w="1130" w:type="pct"/>
            <w:vMerge w:val="restart"/>
            <w:vAlign w:val="center"/>
          </w:tcPr>
          <w:p w14:paraId="2E64F042" w14:textId="42E16C08" w:rsidR="00BF22C5" w:rsidRPr="009E464F" w:rsidRDefault="00801069" w:rsidP="0083505F">
            <w:pPr>
              <w:adjustRightInd w:val="0"/>
              <w:snapToGrid w:val="0"/>
              <w:spacing w:line="240" w:lineRule="auto"/>
              <w:ind w:firstLineChars="0" w:firstLine="0"/>
              <w:jc w:val="left"/>
              <w:rPr>
                <w:rFonts w:cs="Times New Roman"/>
                <w:color w:val="000000" w:themeColor="text1"/>
                <w:sz w:val="21"/>
                <w:szCs w:val="21"/>
              </w:rPr>
            </w:pPr>
            <w:r>
              <w:rPr>
                <w:rFonts w:cs="Times New Roman" w:hint="eastAsia"/>
                <w:color w:val="000000" w:themeColor="text1"/>
                <w:sz w:val="21"/>
                <w:szCs w:val="21"/>
              </w:rPr>
              <w:t xml:space="preserve">        </w:t>
            </w:r>
            <w:r w:rsidR="00BF22C5" w:rsidRPr="009E464F">
              <w:rPr>
                <w:rFonts w:cs="Times New Roman"/>
                <w:color w:val="000000" w:themeColor="text1"/>
                <w:sz w:val="21"/>
                <w:szCs w:val="21"/>
              </w:rPr>
              <w:t>CYP3A4</w:t>
            </w:r>
          </w:p>
        </w:tc>
        <w:tc>
          <w:tcPr>
            <w:tcW w:w="1926" w:type="pct"/>
            <w:vAlign w:val="center"/>
          </w:tcPr>
          <w:p w14:paraId="51AE81F9" w14:textId="5CFA375C" w:rsidR="00BF22C5" w:rsidRPr="009E464F" w:rsidRDefault="00BF22C5" w:rsidP="0083505F">
            <w:pPr>
              <w:adjustRightInd w:val="0"/>
              <w:snapToGrid w:val="0"/>
              <w:spacing w:line="240" w:lineRule="auto"/>
              <w:ind w:leftChars="100" w:left="320" w:firstLineChars="50" w:firstLine="105"/>
              <w:jc w:val="left"/>
              <w:rPr>
                <w:rFonts w:cs="Times New Roman"/>
                <w:color w:val="000000" w:themeColor="text1"/>
                <w:sz w:val="21"/>
                <w:szCs w:val="21"/>
              </w:rPr>
            </w:pPr>
            <w:r w:rsidRPr="009E464F">
              <w:rPr>
                <w:rFonts w:cs="Times New Roman"/>
                <w:color w:val="000000" w:themeColor="text1"/>
                <w:sz w:val="21"/>
                <w:szCs w:val="21"/>
                <w:shd w:val="clear" w:color="auto" w:fill="FFFFFF"/>
              </w:rPr>
              <w:t>克拉霉素</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 xml:space="preserve">clarithromycin)  </w:t>
            </w:r>
          </w:p>
        </w:tc>
        <w:tc>
          <w:tcPr>
            <w:tcW w:w="1944" w:type="pct"/>
            <w:vAlign w:val="center"/>
          </w:tcPr>
          <w:p w14:paraId="2EBD08A5"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P-</w:t>
            </w:r>
            <w:proofErr w:type="spellStart"/>
            <w:r w:rsidRPr="009E464F">
              <w:rPr>
                <w:rFonts w:cs="Times New Roman"/>
                <w:color w:val="000000" w:themeColor="text1"/>
                <w:sz w:val="21"/>
                <w:szCs w:val="21"/>
              </w:rPr>
              <w:t>gp</w:t>
            </w:r>
            <w:proofErr w:type="spellEnd"/>
            <w:r w:rsidRPr="009E464F">
              <w:rPr>
                <w:rFonts w:cs="Times New Roman"/>
                <w:color w:val="000000" w:themeColor="text1"/>
                <w:sz w:val="21"/>
                <w:szCs w:val="21"/>
              </w:rPr>
              <w:t xml:space="preserve"> </w:t>
            </w:r>
            <w:r w:rsidRPr="009E464F">
              <w:rPr>
                <w:rFonts w:cs="Times New Roman"/>
                <w:color w:val="000000" w:themeColor="text1"/>
                <w:sz w:val="21"/>
                <w:szCs w:val="21"/>
              </w:rPr>
              <w:t>抑制剂</w:t>
            </w:r>
          </w:p>
        </w:tc>
      </w:tr>
      <w:tr w:rsidR="00BF22C5" w:rsidRPr="009E464F" w14:paraId="54280172" w14:textId="77777777" w:rsidTr="008663B1">
        <w:trPr>
          <w:trHeight w:val="46"/>
          <w:jc w:val="center"/>
        </w:trPr>
        <w:tc>
          <w:tcPr>
            <w:tcW w:w="1130" w:type="pct"/>
            <w:vMerge/>
            <w:vAlign w:val="center"/>
          </w:tcPr>
          <w:p w14:paraId="4549D594"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26" w:type="pct"/>
            <w:vAlign w:val="center"/>
          </w:tcPr>
          <w:p w14:paraId="7D65FC62" w14:textId="062AB711" w:rsidR="00BF22C5" w:rsidRPr="009E464F" w:rsidRDefault="00BF22C5" w:rsidP="0083505F">
            <w:pPr>
              <w:adjustRightInd w:val="0"/>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rPr>
              <w:t>伊曲康</w:t>
            </w:r>
            <w:proofErr w:type="gramStart"/>
            <w:r w:rsidRPr="009E464F">
              <w:rPr>
                <w:rFonts w:cs="Times New Roman"/>
                <w:color w:val="000000" w:themeColor="text1"/>
                <w:sz w:val="21"/>
                <w:szCs w:val="21"/>
              </w:rPr>
              <w:t>唑</w:t>
            </w:r>
            <w:proofErr w:type="gramEnd"/>
            <w:r w:rsidRPr="009E464F">
              <w:rPr>
                <w:rFonts w:cs="Times New Roman"/>
                <w:color w:val="000000" w:themeColor="text1"/>
                <w:sz w:val="21"/>
                <w:szCs w:val="21"/>
              </w:rPr>
              <w:t>(itraconazole)</w:t>
            </w:r>
          </w:p>
        </w:tc>
        <w:tc>
          <w:tcPr>
            <w:tcW w:w="1944" w:type="pct"/>
            <w:vAlign w:val="center"/>
          </w:tcPr>
          <w:p w14:paraId="4C903AAE"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shd w:val="clear" w:color="auto" w:fill="FFFFFF"/>
              </w:rPr>
            </w:pPr>
            <w:r w:rsidRPr="009E464F">
              <w:rPr>
                <w:rFonts w:cs="Times New Roman"/>
                <w:color w:val="000000" w:themeColor="text1"/>
                <w:sz w:val="21"/>
                <w:szCs w:val="21"/>
              </w:rPr>
              <w:t>也是</w:t>
            </w:r>
            <w:r w:rsidRPr="009E464F">
              <w:rPr>
                <w:rFonts w:cs="Times New Roman"/>
                <w:color w:val="000000" w:themeColor="text1"/>
                <w:sz w:val="21"/>
                <w:szCs w:val="21"/>
              </w:rPr>
              <w:t>P-</w:t>
            </w:r>
            <w:proofErr w:type="spellStart"/>
            <w:r w:rsidRPr="009E464F">
              <w:rPr>
                <w:rFonts w:cs="Times New Roman"/>
                <w:color w:val="000000" w:themeColor="text1"/>
                <w:sz w:val="21"/>
                <w:szCs w:val="21"/>
              </w:rPr>
              <w:t>gp</w:t>
            </w:r>
            <w:proofErr w:type="spellEnd"/>
            <w:r w:rsidRPr="009E464F">
              <w:rPr>
                <w:rFonts w:cs="Times New Roman"/>
                <w:color w:val="000000" w:themeColor="text1"/>
                <w:sz w:val="21"/>
                <w:szCs w:val="21"/>
              </w:rPr>
              <w:t xml:space="preserve"> </w:t>
            </w:r>
            <w:r w:rsidRPr="009E464F">
              <w:rPr>
                <w:rFonts w:cs="Times New Roman"/>
                <w:color w:val="000000" w:themeColor="text1"/>
                <w:sz w:val="21"/>
                <w:szCs w:val="21"/>
              </w:rPr>
              <w:t>抑制剂</w:t>
            </w:r>
          </w:p>
        </w:tc>
      </w:tr>
      <w:tr w:rsidR="00BF22C5" w:rsidRPr="009E464F" w14:paraId="60D4AF1E" w14:textId="77777777" w:rsidTr="008663B1">
        <w:trPr>
          <w:trHeight w:val="46"/>
          <w:jc w:val="center"/>
        </w:trPr>
        <w:tc>
          <w:tcPr>
            <w:tcW w:w="1130" w:type="pct"/>
            <w:vMerge/>
            <w:vAlign w:val="center"/>
          </w:tcPr>
          <w:p w14:paraId="1DCC6342"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26" w:type="pct"/>
            <w:vAlign w:val="center"/>
          </w:tcPr>
          <w:p w14:paraId="4508A395"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rPr>
              <w:t>酮康</w:t>
            </w:r>
            <w:proofErr w:type="gramStart"/>
            <w:r w:rsidRPr="009E464F">
              <w:rPr>
                <w:rFonts w:cs="Times New Roman"/>
                <w:color w:val="000000" w:themeColor="text1"/>
                <w:sz w:val="21"/>
                <w:szCs w:val="21"/>
              </w:rPr>
              <w:t>唑</w:t>
            </w:r>
            <w:proofErr w:type="gramEnd"/>
            <w:r w:rsidRPr="009E464F">
              <w:rPr>
                <w:rFonts w:cs="Times New Roman"/>
                <w:color w:val="000000" w:themeColor="text1"/>
                <w:sz w:val="21"/>
                <w:szCs w:val="21"/>
              </w:rPr>
              <w:t>(ketoconazole)</w:t>
            </w:r>
            <w:r w:rsidRPr="009E464F">
              <w:rPr>
                <w:rFonts w:cs="Times New Roman"/>
                <w:color w:val="000000" w:themeColor="text1"/>
                <w:sz w:val="21"/>
                <w:szCs w:val="21"/>
                <w:shd w:val="clear" w:color="auto" w:fill="FFFFFF"/>
              </w:rPr>
              <w:t xml:space="preserve"> </w:t>
            </w:r>
          </w:p>
        </w:tc>
        <w:tc>
          <w:tcPr>
            <w:tcW w:w="1944" w:type="pct"/>
            <w:vAlign w:val="center"/>
          </w:tcPr>
          <w:p w14:paraId="77786557"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P-</w:t>
            </w:r>
            <w:proofErr w:type="spellStart"/>
            <w:r w:rsidRPr="009E464F">
              <w:rPr>
                <w:rFonts w:cs="Times New Roman"/>
                <w:color w:val="000000" w:themeColor="text1"/>
                <w:sz w:val="21"/>
                <w:szCs w:val="21"/>
              </w:rPr>
              <w:t>gp</w:t>
            </w:r>
            <w:proofErr w:type="spellEnd"/>
            <w:r w:rsidRPr="009E464F">
              <w:rPr>
                <w:rFonts w:cs="Times New Roman"/>
                <w:color w:val="000000" w:themeColor="text1"/>
                <w:sz w:val="21"/>
                <w:szCs w:val="21"/>
              </w:rPr>
              <w:t xml:space="preserve"> </w:t>
            </w:r>
            <w:r w:rsidRPr="009E464F">
              <w:rPr>
                <w:rFonts w:cs="Times New Roman"/>
                <w:color w:val="000000" w:themeColor="text1"/>
                <w:sz w:val="21"/>
                <w:szCs w:val="21"/>
              </w:rPr>
              <w:t>抑制剂</w:t>
            </w:r>
          </w:p>
        </w:tc>
      </w:tr>
      <w:tr w:rsidR="00BF22C5" w:rsidRPr="009E464F" w14:paraId="67D32D55" w14:textId="77777777" w:rsidTr="008663B1">
        <w:trPr>
          <w:trHeight w:val="46"/>
          <w:jc w:val="center"/>
        </w:trPr>
        <w:tc>
          <w:tcPr>
            <w:tcW w:w="1130" w:type="pct"/>
            <w:vMerge/>
            <w:vAlign w:val="center"/>
          </w:tcPr>
          <w:p w14:paraId="5A4EFD1F"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rPr>
            </w:pPr>
          </w:p>
        </w:tc>
        <w:tc>
          <w:tcPr>
            <w:tcW w:w="1926" w:type="pct"/>
            <w:vAlign w:val="center"/>
          </w:tcPr>
          <w:p w14:paraId="23516555" w14:textId="77777777" w:rsidR="00BF22C5" w:rsidRPr="009E464F" w:rsidRDefault="00BF22C5" w:rsidP="0083505F">
            <w:pPr>
              <w:adjustRightInd w:val="0"/>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利托那韦</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ritonavir)</w:t>
            </w:r>
          </w:p>
        </w:tc>
        <w:tc>
          <w:tcPr>
            <w:tcW w:w="1944" w:type="pct"/>
            <w:vAlign w:val="center"/>
          </w:tcPr>
          <w:p w14:paraId="04A923E8" w14:textId="77777777" w:rsidR="00BF22C5" w:rsidRPr="009E464F" w:rsidRDefault="00BF22C5" w:rsidP="00AC4346">
            <w:pPr>
              <w:adjustRightInd w:val="0"/>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P-</w:t>
            </w:r>
            <w:proofErr w:type="spellStart"/>
            <w:r w:rsidRPr="009E464F">
              <w:rPr>
                <w:rFonts w:cs="Times New Roman"/>
                <w:color w:val="000000" w:themeColor="text1"/>
                <w:sz w:val="21"/>
                <w:szCs w:val="21"/>
              </w:rPr>
              <w:t>gp</w:t>
            </w:r>
            <w:proofErr w:type="spellEnd"/>
            <w:r w:rsidRPr="009E464F">
              <w:rPr>
                <w:rFonts w:cs="Times New Roman"/>
                <w:color w:val="000000" w:themeColor="text1"/>
                <w:sz w:val="21"/>
                <w:szCs w:val="21"/>
              </w:rPr>
              <w:t xml:space="preserve"> </w:t>
            </w:r>
            <w:r w:rsidRPr="009E464F">
              <w:rPr>
                <w:rFonts w:cs="Times New Roman"/>
                <w:color w:val="000000" w:themeColor="text1"/>
                <w:sz w:val="21"/>
                <w:szCs w:val="21"/>
              </w:rPr>
              <w:t>抑制剂</w:t>
            </w:r>
          </w:p>
        </w:tc>
      </w:tr>
    </w:tbl>
    <w:p w14:paraId="2B7EFC9B" w14:textId="77777777" w:rsidR="00BF22C5" w:rsidRPr="009E464F" w:rsidRDefault="00BF22C5">
      <w:pPr>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 xml:space="preserve"> </w:t>
      </w:r>
    </w:p>
    <w:p w14:paraId="41ADA146" w14:textId="2FBDB735" w:rsidR="00BF22C5" w:rsidRPr="0083505F" w:rsidRDefault="00BF22C5" w:rsidP="00671896">
      <w:pPr>
        <w:spacing w:line="240" w:lineRule="auto"/>
        <w:ind w:firstLineChars="0" w:firstLine="0"/>
        <w:jc w:val="center"/>
        <w:rPr>
          <w:rFonts w:cs="Times New Roman"/>
          <w:color w:val="000000" w:themeColor="text1"/>
          <w:sz w:val="24"/>
          <w:szCs w:val="24"/>
          <w:lang w:eastAsia="zh-CN"/>
        </w:rPr>
      </w:pPr>
      <w:r w:rsidRPr="0083505F">
        <w:rPr>
          <w:rFonts w:cs="Times New Roman" w:hint="eastAsia"/>
          <w:color w:val="000000" w:themeColor="text1"/>
          <w:sz w:val="24"/>
          <w:szCs w:val="24"/>
          <w:lang w:eastAsia="zh-CN"/>
        </w:rPr>
        <w:t>表</w:t>
      </w:r>
      <w:r w:rsidR="00ED1C86">
        <w:rPr>
          <w:rFonts w:cs="Times New Roman"/>
          <w:color w:val="000000" w:themeColor="text1"/>
          <w:sz w:val="24"/>
          <w:szCs w:val="24"/>
          <w:lang w:eastAsia="zh-CN"/>
        </w:rPr>
        <w:t xml:space="preserve">7 </w:t>
      </w:r>
      <w:r w:rsidRPr="0083505F">
        <w:rPr>
          <w:rFonts w:cs="Times New Roman" w:hint="eastAsia"/>
          <w:color w:val="000000" w:themeColor="text1"/>
          <w:sz w:val="24"/>
          <w:szCs w:val="24"/>
          <w:lang w:eastAsia="zh-CN"/>
        </w:rPr>
        <w:t>临床试验可选择的</w:t>
      </w:r>
      <w:r w:rsidRPr="0083505F">
        <w:rPr>
          <w:rFonts w:cs="Times New Roman"/>
          <w:color w:val="000000" w:themeColor="text1"/>
          <w:sz w:val="24"/>
          <w:szCs w:val="24"/>
          <w:lang w:eastAsia="zh-CN"/>
        </w:rPr>
        <w:t>CYP</w:t>
      </w:r>
      <w:r w:rsidRPr="0083505F">
        <w:rPr>
          <w:rFonts w:cs="Times New Roman" w:hint="eastAsia"/>
          <w:color w:val="000000" w:themeColor="text1"/>
          <w:sz w:val="24"/>
          <w:szCs w:val="24"/>
          <w:lang w:eastAsia="zh-CN"/>
        </w:rPr>
        <w:t>酶诱导剂</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8"/>
        <w:gridCol w:w="3575"/>
        <w:gridCol w:w="3861"/>
      </w:tblGrid>
      <w:tr w:rsidR="00BF22C5" w:rsidRPr="009E464F" w14:paraId="25AFF642" w14:textId="77777777" w:rsidTr="008663B1">
        <w:trPr>
          <w:jc w:val="center"/>
        </w:trPr>
        <w:tc>
          <w:tcPr>
            <w:tcW w:w="1021"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D10C18A" w14:textId="77777777" w:rsidR="00BF22C5" w:rsidRPr="009E464F" w:rsidRDefault="00BF22C5" w:rsidP="0083505F">
            <w:pPr>
              <w:spacing w:after="0" w:line="240" w:lineRule="auto"/>
              <w:ind w:firstLine="420"/>
              <w:jc w:val="center"/>
              <w:rPr>
                <w:rFonts w:cs="Times New Roman"/>
                <w:color w:val="000000" w:themeColor="text1"/>
                <w:sz w:val="21"/>
                <w:szCs w:val="21"/>
              </w:rPr>
            </w:pPr>
            <w:r w:rsidRPr="009E464F">
              <w:rPr>
                <w:rFonts w:cs="Times New Roman"/>
                <w:color w:val="000000" w:themeColor="text1"/>
                <w:sz w:val="21"/>
                <w:szCs w:val="21"/>
              </w:rPr>
              <w:t>酶</w:t>
            </w:r>
          </w:p>
        </w:tc>
        <w:tc>
          <w:tcPr>
            <w:tcW w:w="191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6DD8D12" w14:textId="77777777" w:rsidR="00BF22C5" w:rsidRPr="009E464F" w:rsidRDefault="00BF22C5" w:rsidP="0083505F">
            <w:pPr>
              <w:spacing w:after="0" w:line="240" w:lineRule="auto"/>
              <w:ind w:firstLine="420"/>
              <w:jc w:val="center"/>
              <w:rPr>
                <w:rFonts w:cs="Times New Roman"/>
                <w:color w:val="000000" w:themeColor="text1"/>
                <w:sz w:val="21"/>
                <w:szCs w:val="21"/>
              </w:rPr>
            </w:pPr>
            <w:proofErr w:type="spellStart"/>
            <w:r w:rsidRPr="009E464F">
              <w:rPr>
                <w:rFonts w:cs="Times New Roman"/>
                <w:color w:val="000000" w:themeColor="text1"/>
                <w:sz w:val="21"/>
                <w:szCs w:val="21"/>
              </w:rPr>
              <w:t>诱导剂</w:t>
            </w:r>
            <w:proofErr w:type="spellEnd"/>
          </w:p>
        </w:tc>
        <w:tc>
          <w:tcPr>
            <w:tcW w:w="2066" w:type="pct"/>
            <w:tcBorders>
              <w:top w:val="outset" w:sz="6" w:space="0" w:color="auto"/>
              <w:left w:val="outset" w:sz="6" w:space="0" w:color="auto"/>
              <w:bottom w:val="outset" w:sz="6" w:space="0" w:color="auto"/>
              <w:right w:val="outset" w:sz="6" w:space="0" w:color="auto"/>
            </w:tcBorders>
            <w:vAlign w:val="center"/>
          </w:tcPr>
          <w:p w14:paraId="3C79BF62" w14:textId="77777777" w:rsidR="00BF22C5" w:rsidRPr="009E464F" w:rsidRDefault="00BF22C5" w:rsidP="0083505F">
            <w:pPr>
              <w:spacing w:after="0" w:line="240" w:lineRule="auto"/>
              <w:ind w:firstLine="420"/>
              <w:jc w:val="center"/>
              <w:rPr>
                <w:rFonts w:cs="Times New Roman"/>
                <w:color w:val="000000" w:themeColor="text1"/>
                <w:sz w:val="21"/>
                <w:szCs w:val="21"/>
              </w:rPr>
            </w:pPr>
            <w:proofErr w:type="spellStart"/>
            <w:r w:rsidRPr="009E464F">
              <w:rPr>
                <w:rFonts w:cs="Times New Roman"/>
                <w:color w:val="000000" w:themeColor="text1"/>
                <w:sz w:val="21"/>
                <w:szCs w:val="21"/>
              </w:rPr>
              <w:t>备注</w:t>
            </w:r>
            <w:proofErr w:type="spellEnd"/>
          </w:p>
        </w:tc>
      </w:tr>
      <w:tr w:rsidR="00BF22C5" w:rsidRPr="009E464F" w14:paraId="7004034A" w14:textId="77777777" w:rsidTr="008663B1">
        <w:trPr>
          <w:jc w:val="center"/>
        </w:trPr>
        <w:tc>
          <w:tcPr>
            <w:tcW w:w="1021" w:type="pct"/>
            <w:vMerge w:val="restart"/>
            <w:tcBorders>
              <w:top w:val="outset" w:sz="6" w:space="0" w:color="auto"/>
              <w:left w:val="outset" w:sz="6" w:space="0" w:color="auto"/>
              <w:right w:val="outset" w:sz="6" w:space="0" w:color="auto"/>
            </w:tcBorders>
            <w:shd w:val="clear" w:color="auto" w:fill="auto"/>
            <w:vAlign w:val="center"/>
            <w:hideMark/>
          </w:tcPr>
          <w:p w14:paraId="6A870BC7" w14:textId="77777777" w:rsidR="00BF22C5" w:rsidRPr="009E464F" w:rsidRDefault="00BF22C5" w:rsidP="0083505F">
            <w:pPr>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CYP1A2</w:t>
            </w:r>
          </w:p>
        </w:tc>
        <w:tc>
          <w:tcPr>
            <w:tcW w:w="191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9DBCE46" w14:textId="77777777" w:rsidR="00BF22C5" w:rsidRPr="009E464F" w:rsidRDefault="00BF22C5" w:rsidP="0083505F">
            <w:pPr>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 </w:t>
            </w:r>
            <w:proofErr w:type="spellStart"/>
            <w:r w:rsidRPr="009E464F">
              <w:rPr>
                <w:rFonts w:cs="Times New Roman"/>
                <w:color w:val="000000" w:themeColor="text1"/>
                <w:sz w:val="21"/>
                <w:szCs w:val="21"/>
              </w:rPr>
              <w:t>苯妥因</w:t>
            </w:r>
            <w:proofErr w:type="spellEnd"/>
            <w:r w:rsidRPr="009E464F">
              <w:rPr>
                <w:rFonts w:cs="Times New Roman"/>
                <w:color w:val="000000" w:themeColor="text1"/>
                <w:sz w:val="21"/>
                <w:szCs w:val="21"/>
              </w:rPr>
              <w:t xml:space="preserve">(phenytoin) </w:t>
            </w:r>
          </w:p>
        </w:tc>
        <w:tc>
          <w:tcPr>
            <w:tcW w:w="2066" w:type="pct"/>
            <w:tcBorders>
              <w:top w:val="outset" w:sz="6" w:space="0" w:color="auto"/>
              <w:left w:val="outset" w:sz="6" w:space="0" w:color="auto"/>
              <w:bottom w:val="outset" w:sz="6" w:space="0" w:color="auto"/>
              <w:right w:val="outset" w:sz="6" w:space="0" w:color="auto"/>
            </w:tcBorders>
            <w:vAlign w:val="center"/>
          </w:tcPr>
          <w:p w14:paraId="60852C5E"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中等强度诱导剂</w:t>
            </w:r>
            <w:proofErr w:type="spellEnd"/>
          </w:p>
        </w:tc>
      </w:tr>
      <w:tr w:rsidR="00BF22C5" w:rsidRPr="009E464F" w14:paraId="5946D0E5" w14:textId="77777777" w:rsidTr="008663B1">
        <w:trPr>
          <w:jc w:val="center"/>
        </w:trPr>
        <w:tc>
          <w:tcPr>
            <w:tcW w:w="1021" w:type="pct"/>
            <w:vMerge/>
            <w:tcBorders>
              <w:left w:val="outset" w:sz="6" w:space="0" w:color="auto"/>
              <w:bottom w:val="outset" w:sz="6" w:space="0" w:color="auto"/>
              <w:right w:val="outset" w:sz="6" w:space="0" w:color="auto"/>
            </w:tcBorders>
            <w:shd w:val="clear" w:color="auto" w:fill="auto"/>
            <w:vAlign w:val="center"/>
          </w:tcPr>
          <w:p w14:paraId="64FF125C" w14:textId="77777777" w:rsidR="00BF22C5" w:rsidRPr="009E464F" w:rsidRDefault="00BF22C5" w:rsidP="0083505F">
            <w:pPr>
              <w:spacing w:after="0" w:line="240" w:lineRule="auto"/>
              <w:ind w:firstLine="420"/>
              <w:jc w:val="left"/>
              <w:rPr>
                <w:rFonts w:cs="Times New Roman"/>
                <w:color w:val="000000" w:themeColor="text1"/>
                <w:sz w:val="21"/>
                <w:szCs w:val="21"/>
              </w:rPr>
            </w:pPr>
          </w:p>
        </w:tc>
        <w:tc>
          <w:tcPr>
            <w:tcW w:w="1913" w:type="pct"/>
            <w:tcBorders>
              <w:top w:val="outset" w:sz="6" w:space="0" w:color="auto"/>
              <w:left w:val="outset" w:sz="6" w:space="0" w:color="auto"/>
              <w:bottom w:val="outset" w:sz="6" w:space="0" w:color="auto"/>
              <w:right w:val="outset" w:sz="6" w:space="0" w:color="auto"/>
            </w:tcBorders>
            <w:shd w:val="clear" w:color="auto" w:fill="auto"/>
            <w:vAlign w:val="center"/>
          </w:tcPr>
          <w:p w14:paraId="28704397"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利福平</w:t>
            </w:r>
            <w:proofErr w:type="spellEnd"/>
            <w:r w:rsidRPr="009E464F">
              <w:rPr>
                <w:rFonts w:cs="Times New Roman"/>
                <w:color w:val="000000" w:themeColor="text1"/>
                <w:sz w:val="21"/>
                <w:szCs w:val="21"/>
              </w:rPr>
              <w:t>(rifampin)</w:t>
            </w:r>
          </w:p>
        </w:tc>
        <w:tc>
          <w:tcPr>
            <w:tcW w:w="2066" w:type="pct"/>
            <w:tcBorders>
              <w:top w:val="outset" w:sz="6" w:space="0" w:color="auto"/>
              <w:left w:val="outset" w:sz="6" w:space="0" w:color="auto"/>
              <w:bottom w:val="outset" w:sz="6" w:space="0" w:color="auto"/>
              <w:right w:val="outset" w:sz="6" w:space="0" w:color="auto"/>
            </w:tcBorders>
            <w:vAlign w:val="center"/>
          </w:tcPr>
          <w:p w14:paraId="75DDCE78"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强诱导剂</w:t>
            </w:r>
            <w:proofErr w:type="spellEnd"/>
          </w:p>
        </w:tc>
      </w:tr>
      <w:tr w:rsidR="00BF22C5" w:rsidRPr="009E464F" w14:paraId="74D0E204" w14:textId="77777777" w:rsidTr="008663B1">
        <w:trPr>
          <w:jc w:val="center"/>
        </w:trPr>
        <w:tc>
          <w:tcPr>
            <w:tcW w:w="1021" w:type="pct"/>
            <w:vMerge w:val="restart"/>
            <w:tcBorders>
              <w:top w:val="outset" w:sz="6" w:space="0" w:color="auto"/>
              <w:left w:val="outset" w:sz="6" w:space="0" w:color="auto"/>
              <w:right w:val="outset" w:sz="6" w:space="0" w:color="auto"/>
            </w:tcBorders>
            <w:shd w:val="clear" w:color="auto" w:fill="auto"/>
            <w:vAlign w:val="center"/>
            <w:hideMark/>
          </w:tcPr>
          <w:p w14:paraId="0CC8D269" w14:textId="77777777" w:rsidR="00BF22C5" w:rsidRPr="009E464F" w:rsidRDefault="00BF22C5" w:rsidP="0083505F">
            <w:pPr>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CYP2B6</w:t>
            </w:r>
          </w:p>
        </w:tc>
        <w:tc>
          <w:tcPr>
            <w:tcW w:w="191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F3CCB3B"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利福平</w:t>
            </w:r>
            <w:proofErr w:type="spellEnd"/>
            <w:r w:rsidRPr="009E464F">
              <w:rPr>
                <w:rFonts w:cs="Times New Roman"/>
                <w:color w:val="000000" w:themeColor="text1"/>
                <w:sz w:val="21"/>
                <w:szCs w:val="21"/>
              </w:rPr>
              <w:t xml:space="preserve">(rifampin) </w:t>
            </w:r>
          </w:p>
        </w:tc>
        <w:tc>
          <w:tcPr>
            <w:tcW w:w="2066" w:type="pct"/>
            <w:tcBorders>
              <w:top w:val="outset" w:sz="6" w:space="0" w:color="auto"/>
              <w:left w:val="outset" w:sz="6" w:space="0" w:color="auto"/>
              <w:bottom w:val="outset" w:sz="6" w:space="0" w:color="auto"/>
              <w:right w:val="outset" w:sz="6" w:space="0" w:color="auto"/>
            </w:tcBorders>
            <w:vAlign w:val="center"/>
          </w:tcPr>
          <w:p w14:paraId="2A4D5C0B"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中等强度诱导剂</w:t>
            </w:r>
            <w:proofErr w:type="spellEnd"/>
          </w:p>
        </w:tc>
      </w:tr>
      <w:tr w:rsidR="00BF22C5" w:rsidRPr="009E464F" w14:paraId="0D8026F7" w14:textId="77777777" w:rsidTr="008663B1">
        <w:trPr>
          <w:jc w:val="center"/>
        </w:trPr>
        <w:tc>
          <w:tcPr>
            <w:tcW w:w="1021" w:type="pct"/>
            <w:vMerge/>
            <w:tcBorders>
              <w:left w:val="outset" w:sz="6" w:space="0" w:color="auto"/>
              <w:bottom w:val="outset" w:sz="6" w:space="0" w:color="auto"/>
              <w:right w:val="outset" w:sz="6" w:space="0" w:color="auto"/>
            </w:tcBorders>
            <w:shd w:val="clear" w:color="auto" w:fill="auto"/>
            <w:vAlign w:val="center"/>
          </w:tcPr>
          <w:p w14:paraId="0C7BB35C" w14:textId="77777777" w:rsidR="00BF22C5" w:rsidRPr="009E464F" w:rsidRDefault="00BF22C5" w:rsidP="0083505F">
            <w:pPr>
              <w:spacing w:after="0" w:line="240" w:lineRule="auto"/>
              <w:ind w:firstLine="420"/>
              <w:jc w:val="left"/>
              <w:rPr>
                <w:rFonts w:cs="Times New Roman"/>
                <w:color w:val="000000" w:themeColor="text1"/>
                <w:sz w:val="21"/>
                <w:szCs w:val="21"/>
              </w:rPr>
            </w:pPr>
          </w:p>
        </w:tc>
        <w:tc>
          <w:tcPr>
            <w:tcW w:w="1913" w:type="pct"/>
            <w:tcBorders>
              <w:top w:val="outset" w:sz="6" w:space="0" w:color="auto"/>
              <w:left w:val="outset" w:sz="6" w:space="0" w:color="auto"/>
              <w:bottom w:val="outset" w:sz="6" w:space="0" w:color="auto"/>
              <w:right w:val="outset" w:sz="6" w:space="0" w:color="auto"/>
            </w:tcBorders>
            <w:shd w:val="clear" w:color="auto" w:fill="auto"/>
            <w:vAlign w:val="center"/>
          </w:tcPr>
          <w:p w14:paraId="009C864D" w14:textId="77777777" w:rsidR="00BF22C5" w:rsidRPr="009E464F" w:rsidRDefault="00BF22C5" w:rsidP="0083505F">
            <w:pPr>
              <w:spacing w:after="0" w:line="240" w:lineRule="auto"/>
              <w:ind w:leftChars="100" w:left="320" w:firstLineChars="50" w:firstLine="105"/>
              <w:jc w:val="left"/>
              <w:rPr>
                <w:rFonts w:cs="Times New Roman"/>
                <w:color w:val="000000" w:themeColor="text1"/>
                <w:sz w:val="21"/>
                <w:szCs w:val="21"/>
              </w:rPr>
            </w:pPr>
            <w:proofErr w:type="spellStart"/>
            <w:r w:rsidRPr="009E464F">
              <w:rPr>
                <w:rFonts w:cs="Times New Roman"/>
                <w:color w:val="000000" w:themeColor="text1"/>
                <w:sz w:val="21"/>
                <w:szCs w:val="21"/>
              </w:rPr>
              <w:t>卡马西平</w:t>
            </w:r>
            <w:proofErr w:type="spellEnd"/>
            <w:r w:rsidRPr="009E464F">
              <w:rPr>
                <w:rFonts w:cs="Times New Roman"/>
                <w:color w:val="000000" w:themeColor="text1"/>
                <w:sz w:val="21"/>
                <w:szCs w:val="21"/>
              </w:rPr>
              <w:t xml:space="preserve">(carbamazepine) </w:t>
            </w:r>
          </w:p>
        </w:tc>
        <w:tc>
          <w:tcPr>
            <w:tcW w:w="2066" w:type="pct"/>
            <w:tcBorders>
              <w:top w:val="outset" w:sz="6" w:space="0" w:color="auto"/>
              <w:left w:val="outset" w:sz="6" w:space="0" w:color="auto"/>
              <w:bottom w:val="outset" w:sz="6" w:space="0" w:color="auto"/>
              <w:right w:val="outset" w:sz="6" w:space="0" w:color="auto"/>
            </w:tcBorders>
            <w:vAlign w:val="center"/>
          </w:tcPr>
          <w:p w14:paraId="0FD8DC17" w14:textId="77777777" w:rsidR="00BF22C5" w:rsidRPr="009E464F" w:rsidRDefault="00BF22C5" w:rsidP="0083505F">
            <w:pPr>
              <w:spacing w:after="0" w:line="240" w:lineRule="auto"/>
              <w:ind w:firstLine="420"/>
              <w:jc w:val="left"/>
              <w:rPr>
                <w:rFonts w:cs="Times New Roman"/>
                <w:color w:val="000000" w:themeColor="text1"/>
                <w:sz w:val="21"/>
                <w:szCs w:val="21"/>
              </w:rPr>
            </w:pPr>
          </w:p>
        </w:tc>
      </w:tr>
      <w:tr w:rsidR="00BF22C5" w:rsidRPr="009E464F" w14:paraId="519EE5CF" w14:textId="77777777" w:rsidTr="008663B1">
        <w:trPr>
          <w:jc w:val="center"/>
        </w:trPr>
        <w:tc>
          <w:tcPr>
            <w:tcW w:w="1021"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8639116" w14:textId="77777777" w:rsidR="00BF22C5" w:rsidRPr="009E464F" w:rsidRDefault="00BF22C5" w:rsidP="0083505F">
            <w:pPr>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CYP2C8</w:t>
            </w:r>
          </w:p>
        </w:tc>
        <w:tc>
          <w:tcPr>
            <w:tcW w:w="191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EC1AF6D"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利福平</w:t>
            </w:r>
            <w:proofErr w:type="spellEnd"/>
            <w:r w:rsidRPr="009E464F">
              <w:rPr>
                <w:rFonts w:cs="Times New Roman"/>
                <w:color w:val="000000" w:themeColor="text1"/>
                <w:sz w:val="21"/>
                <w:szCs w:val="21"/>
              </w:rPr>
              <w:t>(rifampin)</w:t>
            </w:r>
          </w:p>
        </w:tc>
        <w:tc>
          <w:tcPr>
            <w:tcW w:w="2066" w:type="pct"/>
            <w:tcBorders>
              <w:top w:val="outset" w:sz="6" w:space="0" w:color="auto"/>
              <w:left w:val="outset" w:sz="6" w:space="0" w:color="auto"/>
              <w:bottom w:val="outset" w:sz="6" w:space="0" w:color="auto"/>
              <w:right w:val="outset" w:sz="6" w:space="0" w:color="auto"/>
            </w:tcBorders>
            <w:vAlign w:val="center"/>
          </w:tcPr>
          <w:p w14:paraId="1773D429"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中等强度诱导剂</w:t>
            </w:r>
            <w:proofErr w:type="spellEnd"/>
          </w:p>
        </w:tc>
      </w:tr>
      <w:tr w:rsidR="00BF22C5" w:rsidRPr="009E464F" w14:paraId="143A71C1" w14:textId="77777777" w:rsidTr="008663B1">
        <w:trPr>
          <w:jc w:val="center"/>
        </w:trPr>
        <w:tc>
          <w:tcPr>
            <w:tcW w:w="1021"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7E329E3" w14:textId="77777777" w:rsidR="00BF22C5" w:rsidRPr="009E464F" w:rsidRDefault="00BF22C5" w:rsidP="0083505F">
            <w:pPr>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CYP2C9</w:t>
            </w:r>
          </w:p>
        </w:tc>
        <w:tc>
          <w:tcPr>
            <w:tcW w:w="191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0CAD4B0"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利福平</w:t>
            </w:r>
            <w:proofErr w:type="spellEnd"/>
            <w:r w:rsidRPr="009E464F">
              <w:rPr>
                <w:rFonts w:cs="Times New Roman"/>
                <w:color w:val="000000" w:themeColor="text1"/>
                <w:sz w:val="21"/>
                <w:szCs w:val="21"/>
              </w:rPr>
              <w:t xml:space="preserve">(rifampin) </w:t>
            </w:r>
          </w:p>
        </w:tc>
        <w:tc>
          <w:tcPr>
            <w:tcW w:w="2066" w:type="pct"/>
            <w:tcBorders>
              <w:top w:val="outset" w:sz="6" w:space="0" w:color="auto"/>
              <w:left w:val="outset" w:sz="6" w:space="0" w:color="auto"/>
              <w:bottom w:val="outset" w:sz="6" w:space="0" w:color="auto"/>
              <w:right w:val="outset" w:sz="6" w:space="0" w:color="auto"/>
            </w:tcBorders>
            <w:vAlign w:val="center"/>
          </w:tcPr>
          <w:p w14:paraId="404E3B01"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中等强度诱导剂</w:t>
            </w:r>
            <w:proofErr w:type="spellEnd"/>
          </w:p>
        </w:tc>
      </w:tr>
      <w:tr w:rsidR="00BF22C5" w:rsidRPr="009E464F" w14:paraId="68A39ED8" w14:textId="77777777" w:rsidTr="008663B1">
        <w:trPr>
          <w:jc w:val="center"/>
        </w:trPr>
        <w:tc>
          <w:tcPr>
            <w:tcW w:w="1021" w:type="pct"/>
            <w:vMerge w:val="restart"/>
            <w:tcBorders>
              <w:top w:val="outset" w:sz="6" w:space="0" w:color="auto"/>
              <w:left w:val="outset" w:sz="6" w:space="0" w:color="auto"/>
              <w:right w:val="outset" w:sz="6" w:space="0" w:color="auto"/>
            </w:tcBorders>
            <w:shd w:val="clear" w:color="auto" w:fill="auto"/>
            <w:vAlign w:val="center"/>
            <w:hideMark/>
          </w:tcPr>
          <w:p w14:paraId="212AAB2B" w14:textId="77777777" w:rsidR="00BF22C5" w:rsidRPr="009E464F" w:rsidRDefault="00BF22C5" w:rsidP="0083505F">
            <w:pPr>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CYP2C19</w:t>
            </w:r>
          </w:p>
        </w:tc>
        <w:tc>
          <w:tcPr>
            <w:tcW w:w="191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CF550FB"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利福平</w:t>
            </w:r>
            <w:proofErr w:type="spellEnd"/>
            <w:r w:rsidRPr="009E464F">
              <w:rPr>
                <w:rFonts w:cs="Times New Roman"/>
                <w:color w:val="000000" w:themeColor="text1"/>
                <w:sz w:val="21"/>
                <w:szCs w:val="21"/>
              </w:rPr>
              <w:t xml:space="preserve"> (rifampin) </w:t>
            </w:r>
          </w:p>
        </w:tc>
        <w:tc>
          <w:tcPr>
            <w:tcW w:w="2066" w:type="pct"/>
            <w:tcBorders>
              <w:top w:val="outset" w:sz="6" w:space="0" w:color="auto"/>
              <w:left w:val="outset" w:sz="6" w:space="0" w:color="auto"/>
              <w:bottom w:val="outset" w:sz="6" w:space="0" w:color="auto"/>
              <w:right w:val="outset" w:sz="6" w:space="0" w:color="auto"/>
            </w:tcBorders>
            <w:vAlign w:val="center"/>
          </w:tcPr>
          <w:p w14:paraId="6A30AE82"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强诱导剂</w:t>
            </w:r>
            <w:proofErr w:type="spellEnd"/>
          </w:p>
        </w:tc>
      </w:tr>
      <w:tr w:rsidR="00BF22C5" w:rsidRPr="009E464F" w14:paraId="334AC7FE" w14:textId="77777777" w:rsidTr="008663B1">
        <w:trPr>
          <w:jc w:val="center"/>
        </w:trPr>
        <w:tc>
          <w:tcPr>
            <w:tcW w:w="1021" w:type="pct"/>
            <w:vMerge/>
            <w:tcBorders>
              <w:left w:val="outset" w:sz="6" w:space="0" w:color="auto"/>
              <w:bottom w:val="outset" w:sz="6" w:space="0" w:color="auto"/>
              <w:right w:val="outset" w:sz="6" w:space="0" w:color="auto"/>
            </w:tcBorders>
            <w:shd w:val="clear" w:color="auto" w:fill="auto"/>
            <w:vAlign w:val="center"/>
          </w:tcPr>
          <w:p w14:paraId="6811BAB4" w14:textId="77777777" w:rsidR="00BF22C5" w:rsidRPr="009E464F" w:rsidRDefault="00BF22C5" w:rsidP="0083505F">
            <w:pPr>
              <w:spacing w:after="0" w:line="240" w:lineRule="auto"/>
              <w:ind w:firstLine="420"/>
              <w:jc w:val="left"/>
              <w:rPr>
                <w:rFonts w:cs="Times New Roman"/>
                <w:color w:val="000000" w:themeColor="text1"/>
                <w:sz w:val="21"/>
                <w:szCs w:val="21"/>
              </w:rPr>
            </w:pPr>
          </w:p>
        </w:tc>
        <w:tc>
          <w:tcPr>
            <w:tcW w:w="1913" w:type="pct"/>
            <w:tcBorders>
              <w:top w:val="outset" w:sz="6" w:space="0" w:color="auto"/>
              <w:left w:val="outset" w:sz="6" w:space="0" w:color="auto"/>
              <w:bottom w:val="outset" w:sz="6" w:space="0" w:color="auto"/>
              <w:right w:val="outset" w:sz="6" w:space="0" w:color="auto"/>
            </w:tcBorders>
            <w:shd w:val="clear" w:color="auto" w:fill="auto"/>
            <w:vAlign w:val="center"/>
          </w:tcPr>
          <w:p w14:paraId="0B347D5C"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苯妥因（</w:t>
            </w:r>
            <w:r w:rsidRPr="009E464F">
              <w:rPr>
                <w:rFonts w:cs="Times New Roman"/>
                <w:color w:val="000000" w:themeColor="text1"/>
                <w:sz w:val="21"/>
                <w:szCs w:val="21"/>
              </w:rPr>
              <w:t>Phenytoin</w:t>
            </w:r>
            <w:proofErr w:type="spellEnd"/>
            <w:r w:rsidRPr="009E464F">
              <w:rPr>
                <w:rFonts w:cs="Times New Roman"/>
                <w:color w:val="000000" w:themeColor="text1"/>
                <w:sz w:val="21"/>
                <w:szCs w:val="21"/>
              </w:rPr>
              <w:t>）</w:t>
            </w:r>
          </w:p>
        </w:tc>
        <w:tc>
          <w:tcPr>
            <w:tcW w:w="2066" w:type="pct"/>
            <w:tcBorders>
              <w:top w:val="outset" w:sz="6" w:space="0" w:color="auto"/>
              <w:left w:val="outset" w:sz="6" w:space="0" w:color="auto"/>
              <w:bottom w:val="outset" w:sz="6" w:space="0" w:color="auto"/>
              <w:right w:val="outset" w:sz="6" w:space="0" w:color="auto"/>
            </w:tcBorders>
            <w:vAlign w:val="center"/>
          </w:tcPr>
          <w:p w14:paraId="77B9F076"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中等强度诱导剂</w:t>
            </w:r>
            <w:proofErr w:type="spellEnd"/>
          </w:p>
        </w:tc>
      </w:tr>
      <w:tr w:rsidR="00BF22C5" w:rsidRPr="009E464F" w14:paraId="453DDD05" w14:textId="77777777" w:rsidTr="008663B1">
        <w:trPr>
          <w:jc w:val="center"/>
        </w:trPr>
        <w:tc>
          <w:tcPr>
            <w:tcW w:w="1021" w:type="pct"/>
            <w:vMerge w:val="restart"/>
            <w:tcBorders>
              <w:top w:val="outset" w:sz="6" w:space="0" w:color="auto"/>
              <w:left w:val="outset" w:sz="6" w:space="0" w:color="auto"/>
              <w:right w:val="outset" w:sz="6" w:space="0" w:color="auto"/>
            </w:tcBorders>
            <w:shd w:val="clear" w:color="auto" w:fill="auto"/>
            <w:vAlign w:val="center"/>
            <w:hideMark/>
          </w:tcPr>
          <w:p w14:paraId="56E72F1E" w14:textId="77777777" w:rsidR="00BF22C5" w:rsidRPr="009E464F" w:rsidRDefault="00BF22C5" w:rsidP="0083505F">
            <w:pPr>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CYP3A</w:t>
            </w:r>
          </w:p>
        </w:tc>
        <w:tc>
          <w:tcPr>
            <w:tcW w:w="191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E07758D" w14:textId="77777777" w:rsidR="00BF22C5" w:rsidRPr="009E464F" w:rsidRDefault="00BF22C5" w:rsidP="0083505F">
            <w:pPr>
              <w:spacing w:after="0" w:line="240" w:lineRule="auto"/>
              <w:ind w:leftChars="100" w:left="320" w:firstLineChars="50" w:firstLine="105"/>
              <w:rPr>
                <w:rFonts w:cs="Times New Roman"/>
                <w:color w:val="000000" w:themeColor="text1"/>
                <w:sz w:val="21"/>
                <w:szCs w:val="21"/>
              </w:rPr>
            </w:pPr>
            <w:proofErr w:type="spellStart"/>
            <w:r w:rsidRPr="009E464F">
              <w:rPr>
                <w:rFonts w:cs="Times New Roman"/>
                <w:color w:val="000000" w:themeColor="text1"/>
                <w:sz w:val="21"/>
                <w:szCs w:val="21"/>
              </w:rPr>
              <w:t>利福平</w:t>
            </w:r>
            <w:proofErr w:type="spellEnd"/>
            <w:r w:rsidRPr="009E464F">
              <w:rPr>
                <w:rFonts w:cs="Times New Roman"/>
                <w:color w:val="000000" w:themeColor="text1"/>
                <w:sz w:val="21"/>
                <w:szCs w:val="21"/>
              </w:rPr>
              <w:t xml:space="preserve"> (rifampin)</w:t>
            </w:r>
          </w:p>
        </w:tc>
        <w:tc>
          <w:tcPr>
            <w:tcW w:w="2066" w:type="pct"/>
            <w:tcBorders>
              <w:top w:val="outset" w:sz="6" w:space="0" w:color="auto"/>
              <w:left w:val="outset" w:sz="6" w:space="0" w:color="auto"/>
              <w:bottom w:val="outset" w:sz="6" w:space="0" w:color="auto"/>
              <w:right w:val="outset" w:sz="6" w:space="0" w:color="auto"/>
            </w:tcBorders>
            <w:vAlign w:val="center"/>
          </w:tcPr>
          <w:p w14:paraId="7F359263"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强诱导剂</w:t>
            </w:r>
            <w:proofErr w:type="spellEnd"/>
          </w:p>
        </w:tc>
      </w:tr>
      <w:tr w:rsidR="00BF22C5" w:rsidRPr="009E464F" w14:paraId="5657EE1C" w14:textId="77777777" w:rsidTr="008663B1">
        <w:trPr>
          <w:jc w:val="center"/>
        </w:trPr>
        <w:tc>
          <w:tcPr>
            <w:tcW w:w="1021" w:type="pct"/>
            <w:vMerge/>
            <w:tcBorders>
              <w:left w:val="outset" w:sz="6" w:space="0" w:color="auto"/>
              <w:right w:val="outset" w:sz="6" w:space="0" w:color="auto"/>
            </w:tcBorders>
            <w:shd w:val="clear" w:color="auto" w:fill="auto"/>
            <w:vAlign w:val="center"/>
          </w:tcPr>
          <w:p w14:paraId="7154E8CC" w14:textId="77777777" w:rsidR="00BF22C5" w:rsidRPr="009E464F" w:rsidRDefault="00BF22C5" w:rsidP="0083505F">
            <w:pPr>
              <w:spacing w:after="0" w:line="240" w:lineRule="auto"/>
              <w:ind w:firstLine="420"/>
              <w:jc w:val="left"/>
              <w:rPr>
                <w:rFonts w:cs="Times New Roman"/>
                <w:color w:val="000000" w:themeColor="text1"/>
                <w:sz w:val="21"/>
                <w:szCs w:val="21"/>
              </w:rPr>
            </w:pPr>
          </w:p>
        </w:tc>
        <w:tc>
          <w:tcPr>
            <w:tcW w:w="1913" w:type="pct"/>
            <w:tcBorders>
              <w:top w:val="outset" w:sz="6" w:space="0" w:color="auto"/>
              <w:left w:val="outset" w:sz="6" w:space="0" w:color="auto"/>
              <w:bottom w:val="outset" w:sz="6" w:space="0" w:color="auto"/>
              <w:right w:val="outset" w:sz="6" w:space="0" w:color="auto"/>
            </w:tcBorders>
            <w:shd w:val="clear" w:color="auto" w:fill="auto"/>
            <w:vAlign w:val="center"/>
          </w:tcPr>
          <w:p w14:paraId="32B675D1" w14:textId="1C2A304B" w:rsidR="00BF22C5" w:rsidRPr="009E464F" w:rsidRDefault="00BF22C5" w:rsidP="0083505F">
            <w:pPr>
              <w:spacing w:after="0" w:line="240" w:lineRule="auto"/>
              <w:ind w:leftChars="100" w:left="320" w:firstLineChars="50" w:firstLine="105"/>
              <w:rPr>
                <w:rFonts w:cs="Times New Roman"/>
                <w:color w:val="000000" w:themeColor="text1"/>
                <w:sz w:val="21"/>
                <w:szCs w:val="21"/>
              </w:rPr>
            </w:pPr>
            <w:proofErr w:type="spellStart"/>
            <w:r w:rsidRPr="009E464F">
              <w:rPr>
                <w:rFonts w:cs="Times New Roman"/>
                <w:color w:val="000000" w:themeColor="text1"/>
                <w:sz w:val="21"/>
                <w:szCs w:val="21"/>
              </w:rPr>
              <w:t>苯妥因（</w:t>
            </w:r>
            <w:r w:rsidRPr="009E464F">
              <w:rPr>
                <w:rFonts w:cs="Times New Roman"/>
                <w:color w:val="000000" w:themeColor="text1"/>
                <w:sz w:val="21"/>
                <w:szCs w:val="21"/>
              </w:rPr>
              <w:t>Phenytoin</w:t>
            </w:r>
            <w:proofErr w:type="spellEnd"/>
            <w:r w:rsidRPr="009E464F">
              <w:rPr>
                <w:rFonts w:cs="Times New Roman"/>
                <w:color w:val="000000" w:themeColor="text1"/>
                <w:sz w:val="21"/>
                <w:szCs w:val="21"/>
              </w:rPr>
              <w:t>）</w:t>
            </w:r>
          </w:p>
        </w:tc>
        <w:tc>
          <w:tcPr>
            <w:tcW w:w="2066" w:type="pct"/>
            <w:tcBorders>
              <w:top w:val="outset" w:sz="6" w:space="0" w:color="auto"/>
              <w:left w:val="outset" w:sz="6" w:space="0" w:color="auto"/>
              <w:bottom w:val="outset" w:sz="6" w:space="0" w:color="auto"/>
              <w:right w:val="outset" w:sz="6" w:space="0" w:color="auto"/>
            </w:tcBorders>
            <w:vAlign w:val="center"/>
          </w:tcPr>
          <w:p w14:paraId="1CD29983" w14:textId="77777777" w:rsidR="00BF22C5" w:rsidRPr="009E464F" w:rsidRDefault="00BF22C5" w:rsidP="0083505F">
            <w:pPr>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强诱导剂</w:t>
            </w:r>
            <w:proofErr w:type="spellEnd"/>
          </w:p>
        </w:tc>
      </w:tr>
      <w:tr w:rsidR="00BF22C5" w:rsidRPr="009E464F" w14:paraId="45D4AB81" w14:textId="77777777" w:rsidTr="008663B1">
        <w:trPr>
          <w:jc w:val="center"/>
        </w:trPr>
        <w:tc>
          <w:tcPr>
            <w:tcW w:w="1021" w:type="pct"/>
            <w:vMerge/>
            <w:tcBorders>
              <w:left w:val="outset" w:sz="6" w:space="0" w:color="auto"/>
              <w:bottom w:val="outset" w:sz="6" w:space="0" w:color="auto"/>
              <w:right w:val="outset" w:sz="6" w:space="0" w:color="auto"/>
            </w:tcBorders>
            <w:shd w:val="clear" w:color="auto" w:fill="auto"/>
            <w:vAlign w:val="center"/>
          </w:tcPr>
          <w:p w14:paraId="065698DE" w14:textId="77777777" w:rsidR="00BF22C5" w:rsidRPr="009E464F" w:rsidRDefault="00BF22C5" w:rsidP="0083505F">
            <w:pPr>
              <w:spacing w:after="0" w:line="240" w:lineRule="auto"/>
              <w:ind w:firstLine="420"/>
              <w:jc w:val="left"/>
              <w:rPr>
                <w:rFonts w:cs="Times New Roman"/>
                <w:color w:val="000000" w:themeColor="text1"/>
                <w:sz w:val="21"/>
                <w:szCs w:val="21"/>
              </w:rPr>
            </w:pPr>
          </w:p>
        </w:tc>
        <w:tc>
          <w:tcPr>
            <w:tcW w:w="1913" w:type="pct"/>
            <w:tcBorders>
              <w:top w:val="outset" w:sz="6" w:space="0" w:color="auto"/>
              <w:left w:val="outset" w:sz="6" w:space="0" w:color="auto"/>
              <w:bottom w:val="outset" w:sz="6" w:space="0" w:color="auto"/>
              <w:right w:val="outset" w:sz="6" w:space="0" w:color="auto"/>
            </w:tcBorders>
            <w:shd w:val="clear" w:color="auto" w:fill="auto"/>
            <w:vAlign w:val="center"/>
          </w:tcPr>
          <w:p w14:paraId="43333751" w14:textId="77777777" w:rsidR="00BF22C5" w:rsidRPr="009E464F" w:rsidRDefault="00BF22C5" w:rsidP="0083505F">
            <w:pPr>
              <w:spacing w:after="0" w:line="240" w:lineRule="auto"/>
              <w:ind w:leftChars="100" w:left="320" w:firstLineChars="50" w:firstLine="105"/>
              <w:jc w:val="left"/>
              <w:rPr>
                <w:rFonts w:cs="Times New Roman"/>
                <w:color w:val="000000" w:themeColor="text1"/>
                <w:sz w:val="21"/>
                <w:szCs w:val="21"/>
              </w:rPr>
            </w:pPr>
            <w:proofErr w:type="spellStart"/>
            <w:r w:rsidRPr="009E464F">
              <w:rPr>
                <w:rFonts w:cs="Times New Roman"/>
                <w:color w:val="000000" w:themeColor="text1"/>
                <w:sz w:val="21"/>
                <w:szCs w:val="21"/>
              </w:rPr>
              <w:t>卡马西平（</w:t>
            </w:r>
            <w:r w:rsidRPr="009E464F">
              <w:rPr>
                <w:rFonts w:cs="Times New Roman"/>
                <w:color w:val="000000" w:themeColor="text1"/>
                <w:sz w:val="21"/>
                <w:szCs w:val="21"/>
              </w:rPr>
              <w:t>Carbamazepine</w:t>
            </w:r>
            <w:proofErr w:type="spellEnd"/>
            <w:r w:rsidRPr="009E464F">
              <w:rPr>
                <w:rFonts w:cs="Times New Roman"/>
                <w:color w:val="000000" w:themeColor="text1"/>
                <w:sz w:val="21"/>
                <w:szCs w:val="21"/>
              </w:rPr>
              <w:t>）</w:t>
            </w:r>
          </w:p>
        </w:tc>
        <w:tc>
          <w:tcPr>
            <w:tcW w:w="2066" w:type="pct"/>
            <w:tcBorders>
              <w:top w:val="outset" w:sz="6" w:space="0" w:color="auto"/>
              <w:left w:val="outset" w:sz="6" w:space="0" w:color="auto"/>
              <w:bottom w:val="outset" w:sz="6" w:space="0" w:color="auto"/>
              <w:right w:val="outset" w:sz="6" w:space="0" w:color="auto"/>
            </w:tcBorders>
            <w:vAlign w:val="center"/>
          </w:tcPr>
          <w:p w14:paraId="1EDE00E2" w14:textId="77777777" w:rsidR="00BF22C5" w:rsidRPr="009E464F" w:rsidRDefault="00BF22C5" w:rsidP="0083505F">
            <w:pPr>
              <w:spacing w:after="0" w:line="240" w:lineRule="auto"/>
              <w:ind w:firstLine="420"/>
              <w:jc w:val="left"/>
              <w:rPr>
                <w:rFonts w:cs="Times New Roman"/>
                <w:color w:val="000000" w:themeColor="text1"/>
                <w:sz w:val="21"/>
                <w:szCs w:val="21"/>
              </w:rPr>
            </w:pPr>
          </w:p>
        </w:tc>
      </w:tr>
    </w:tbl>
    <w:p w14:paraId="233BF866" w14:textId="1048397B" w:rsidR="00AC4346" w:rsidRDefault="00BF22C5" w:rsidP="00AC4346">
      <w:pPr>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 xml:space="preserve"> </w:t>
      </w:r>
    </w:p>
    <w:p w14:paraId="25CC3C40" w14:textId="198B5E07" w:rsidR="00BF22C5" w:rsidRPr="0083505F" w:rsidRDefault="00BF22C5" w:rsidP="00671896">
      <w:pPr>
        <w:spacing w:line="240" w:lineRule="auto"/>
        <w:ind w:firstLineChars="0" w:firstLine="0"/>
        <w:jc w:val="center"/>
        <w:rPr>
          <w:rFonts w:cs="Times New Roman"/>
          <w:color w:val="000000" w:themeColor="text1"/>
          <w:sz w:val="24"/>
          <w:szCs w:val="24"/>
          <w:lang w:eastAsia="zh-CN"/>
        </w:rPr>
      </w:pPr>
      <w:bookmarkStart w:id="85" w:name="table4-1"/>
      <w:bookmarkStart w:id="86" w:name="table4-2"/>
      <w:bookmarkEnd w:id="85"/>
      <w:bookmarkEnd w:id="86"/>
      <w:r w:rsidRPr="0083505F">
        <w:rPr>
          <w:rFonts w:cs="Times New Roman" w:hint="eastAsia"/>
          <w:color w:val="000000" w:themeColor="text1"/>
          <w:sz w:val="24"/>
          <w:szCs w:val="24"/>
          <w:lang w:eastAsia="zh-CN"/>
        </w:rPr>
        <w:t>表</w:t>
      </w:r>
      <w:r w:rsidRPr="0083505F">
        <w:rPr>
          <w:rFonts w:cs="Times New Roman"/>
          <w:color w:val="000000" w:themeColor="text1"/>
          <w:sz w:val="24"/>
          <w:szCs w:val="24"/>
          <w:lang w:eastAsia="zh-CN"/>
        </w:rPr>
        <w:t xml:space="preserve"> </w:t>
      </w:r>
      <w:r w:rsidR="00ED1C86">
        <w:rPr>
          <w:rFonts w:cs="Times New Roman"/>
          <w:color w:val="000000" w:themeColor="text1"/>
          <w:sz w:val="24"/>
          <w:szCs w:val="24"/>
          <w:lang w:eastAsia="zh-CN"/>
        </w:rPr>
        <w:t>8</w:t>
      </w:r>
      <w:r w:rsidRPr="0083505F">
        <w:rPr>
          <w:rFonts w:cs="Times New Roman" w:hint="eastAsia"/>
          <w:color w:val="000000" w:themeColor="text1"/>
          <w:sz w:val="24"/>
          <w:szCs w:val="24"/>
          <w:lang w:eastAsia="zh-CN"/>
        </w:rPr>
        <w:t>体外试验可选择的转运体指针底物</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8"/>
        <w:gridCol w:w="4306"/>
        <w:gridCol w:w="3440"/>
      </w:tblGrid>
      <w:tr w:rsidR="00BF22C5" w:rsidRPr="009E464F" w14:paraId="1FCD3525" w14:textId="77777777" w:rsidTr="008663B1">
        <w:trPr>
          <w:jc w:val="center"/>
        </w:trPr>
        <w:tc>
          <w:tcPr>
            <w:tcW w:w="85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73019A6" w14:textId="77777777" w:rsidR="00BF22C5" w:rsidRPr="009E464F" w:rsidRDefault="00BF22C5" w:rsidP="0083505F">
            <w:pPr>
              <w:adjustRightInd w:val="0"/>
              <w:snapToGrid w:val="0"/>
              <w:spacing w:after="0" w:line="240" w:lineRule="auto"/>
              <w:ind w:firstLine="420"/>
              <w:jc w:val="center"/>
              <w:rPr>
                <w:rFonts w:cs="Times New Roman"/>
                <w:color w:val="000000" w:themeColor="text1"/>
                <w:sz w:val="21"/>
                <w:szCs w:val="21"/>
              </w:rPr>
            </w:pPr>
            <w:proofErr w:type="spellStart"/>
            <w:r w:rsidRPr="009E464F">
              <w:rPr>
                <w:rFonts w:cs="Times New Roman"/>
                <w:color w:val="000000" w:themeColor="text1"/>
                <w:sz w:val="21"/>
                <w:szCs w:val="21"/>
              </w:rPr>
              <w:t>转运体</w:t>
            </w:r>
            <w:proofErr w:type="spellEnd"/>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B54CA32" w14:textId="77777777" w:rsidR="00BF22C5" w:rsidRPr="009E464F" w:rsidRDefault="00BF22C5" w:rsidP="0083505F">
            <w:pPr>
              <w:adjustRightInd w:val="0"/>
              <w:snapToGrid w:val="0"/>
              <w:spacing w:after="0" w:line="240" w:lineRule="auto"/>
              <w:ind w:firstLine="420"/>
              <w:jc w:val="center"/>
              <w:rPr>
                <w:rFonts w:cs="Times New Roman"/>
                <w:color w:val="000000" w:themeColor="text1"/>
                <w:sz w:val="21"/>
                <w:szCs w:val="21"/>
              </w:rPr>
            </w:pPr>
            <w:proofErr w:type="spellStart"/>
            <w:r w:rsidRPr="009E464F">
              <w:rPr>
                <w:rFonts w:cs="Times New Roman"/>
                <w:color w:val="000000" w:themeColor="text1"/>
                <w:sz w:val="21"/>
                <w:szCs w:val="21"/>
              </w:rPr>
              <w:t>底物</w:t>
            </w:r>
            <w:proofErr w:type="spellEnd"/>
          </w:p>
        </w:tc>
        <w:tc>
          <w:tcPr>
            <w:tcW w:w="1841" w:type="pct"/>
            <w:tcBorders>
              <w:top w:val="outset" w:sz="6" w:space="0" w:color="auto"/>
              <w:left w:val="outset" w:sz="6" w:space="0" w:color="auto"/>
              <w:bottom w:val="outset" w:sz="6" w:space="0" w:color="auto"/>
              <w:right w:val="outset" w:sz="6" w:space="0" w:color="auto"/>
            </w:tcBorders>
          </w:tcPr>
          <w:p w14:paraId="7EDDD8A5" w14:textId="77777777" w:rsidR="00BF22C5" w:rsidRPr="009E464F" w:rsidRDefault="00BF22C5" w:rsidP="0083505F">
            <w:pPr>
              <w:adjustRightInd w:val="0"/>
              <w:snapToGrid w:val="0"/>
              <w:spacing w:after="0" w:line="240" w:lineRule="auto"/>
              <w:ind w:firstLine="420"/>
              <w:jc w:val="center"/>
              <w:rPr>
                <w:rFonts w:cs="Times New Roman"/>
                <w:color w:val="000000" w:themeColor="text1"/>
                <w:sz w:val="21"/>
                <w:szCs w:val="21"/>
              </w:rPr>
            </w:pPr>
            <w:proofErr w:type="spellStart"/>
            <w:r w:rsidRPr="009E464F">
              <w:rPr>
                <w:rFonts w:cs="Times New Roman"/>
                <w:color w:val="000000" w:themeColor="text1"/>
                <w:sz w:val="21"/>
                <w:szCs w:val="21"/>
              </w:rPr>
              <w:t>备注</w:t>
            </w:r>
            <w:proofErr w:type="spellEnd"/>
          </w:p>
        </w:tc>
      </w:tr>
      <w:tr w:rsidR="00BF22C5" w:rsidRPr="009E464F" w14:paraId="019518DF" w14:textId="77777777" w:rsidTr="008663B1">
        <w:trPr>
          <w:jc w:val="center"/>
        </w:trPr>
        <w:tc>
          <w:tcPr>
            <w:tcW w:w="855"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1E7C8204"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P-</w:t>
            </w:r>
            <w:proofErr w:type="spellStart"/>
            <w:r w:rsidRPr="009E464F">
              <w:rPr>
                <w:rFonts w:cs="Times New Roman"/>
                <w:color w:val="000000" w:themeColor="text1"/>
                <w:sz w:val="21"/>
                <w:szCs w:val="21"/>
              </w:rPr>
              <w:t>gp</w:t>
            </w:r>
            <w:proofErr w:type="spellEnd"/>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994A86C"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地高辛</w:t>
            </w:r>
            <w:proofErr w:type="spellEnd"/>
            <w:r w:rsidRPr="009E464F">
              <w:rPr>
                <w:rFonts w:cs="Times New Roman"/>
                <w:color w:val="000000" w:themeColor="text1"/>
                <w:sz w:val="21"/>
                <w:szCs w:val="21"/>
              </w:rPr>
              <w:t>(digoxin)</w:t>
            </w:r>
          </w:p>
        </w:tc>
        <w:tc>
          <w:tcPr>
            <w:tcW w:w="1841" w:type="pct"/>
            <w:tcBorders>
              <w:top w:val="outset" w:sz="6" w:space="0" w:color="auto"/>
              <w:left w:val="outset" w:sz="6" w:space="0" w:color="auto"/>
              <w:bottom w:val="outset" w:sz="6" w:space="0" w:color="auto"/>
              <w:right w:val="outset" w:sz="6" w:space="0" w:color="auto"/>
            </w:tcBorders>
          </w:tcPr>
          <w:p w14:paraId="470E1053"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OATP1B3</w:t>
            </w:r>
            <w:r w:rsidRPr="009E464F">
              <w:rPr>
                <w:rFonts w:cs="Times New Roman"/>
                <w:color w:val="000000" w:themeColor="text1"/>
                <w:sz w:val="21"/>
                <w:szCs w:val="21"/>
              </w:rPr>
              <w:t>底物</w:t>
            </w:r>
          </w:p>
        </w:tc>
      </w:tr>
      <w:tr w:rsidR="00BF22C5" w:rsidRPr="009E464F" w14:paraId="158EE6BF"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E7D8E2"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C7846F3"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非索非那丁</w:t>
            </w:r>
            <w:proofErr w:type="spell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fexofenadine)</w:t>
            </w:r>
          </w:p>
        </w:tc>
        <w:tc>
          <w:tcPr>
            <w:tcW w:w="1841" w:type="pct"/>
            <w:tcBorders>
              <w:top w:val="outset" w:sz="6" w:space="0" w:color="auto"/>
              <w:left w:val="outset" w:sz="6" w:space="0" w:color="auto"/>
              <w:bottom w:val="outset" w:sz="6" w:space="0" w:color="auto"/>
              <w:right w:val="outset" w:sz="6" w:space="0" w:color="auto"/>
            </w:tcBorders>
          </w:tcPr>
          <w:p w14:paraId="7D4685FB"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也是</w:t>
            </w:r>
            <w:r w:rsidRPr="009E464F">
              <w:rPr>
                <w:rFonts w:cs="Times New Roman"/>
                <w:color w:val="000000" w:themeColor="text1"/>
                <w:sz w:val="21"/>
                <w:szCs w:val="21"/>
              </w:rPr>
              <w:t>OATPs</w:t>
            </w:r>
            <w:r w:rsidRPr="009E464F">
              <w:rPr>
                <w:rFonts w:cs="Times New Roman"/>
                <w:color w:val="000000" w:themeColor="text1"/>
                <w:sz w:val="21"/>
                <w:szCs w:val="21"/>
                <w:shd w:val="clear" w:color="auto" w:fill="FFFFFF"/>
              </w:rPr>
              <w:t>,MRP2</w:t>
            </w:r>
            <w:r w:rsidRPr="009E464F">
              <w:rPr>
                <w:rFonts w:cs="Times New Roman"/>
                <w:color w:val="000000" w:themeColor="text1"/>
                <w:sz w:val="21"/>
                <w:szCs w:val="21"/>
              </w:rPr>
              <w:t>和</w:t>
            </w:r>
            <w:r w:rsidRPr="009E464F">
              <w:rPr>
                <w:rFonts w:cs="Times New Roman"/>
                <w:color w:val="000000" w:themeColor="text1"/>
                <w:sz w:val="21"/>
                <w:szCs w:val="21"/>
              </w:rPr>
              <w:t>MRP3</w:t>
            </w:r>
            <w:r w:rsidRPr="009E464F">
              <w:rPr>
                <w:rFonts w:cs="Times New Roman"/>
                <w:color w:val="000000" w:themeColor="text1"/>
                <w:sz w:val="21"/>
                <w:szCs w:val="21"/>
                <w:shd w:val="clear" w:color="auto" w:fill="FFFFFF"/>
              </w:rPr>
              <w:t>底物</w:t>
            </w:r>
          </w:p>
        </w:tc>
      </w:tr>
      <w:tr w:rsidR="00BF22C5" w:rsidRPr="009E464F" w14:paraId="61054316"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36EAE8"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3DE7EA1"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洛哌丁胺</w:t>
            </w:r>
            <w:proofErr w:type="spell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loperamide</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29ACB0B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shd w:val="clear" w:color="auto" w:fill="FFFFFF"/>
              </w:rPr>
            </w:pPr>
          </w:p>
        </w:tc>
      </w:tr>
      <w:tr w:rsidR="00BF22C5" w:rsidRPr="009E464F" w14:paraId="0989563C"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EB8992"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409731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奎尼丁</w:t>
            </w:r>
            <w:proofErr w:type="spellEnd"/>
            <w:r w:rsidRPr="009E464F">
              <w:rPr>
                <w:rFonts w:cs="Times New Roman"/>
                <w:color w:val="000000" w:themeColor="text1"/>
                <w:sz w:val="21"/>
                <w:szCs w:val="21"/>
              </w:rPr>
              <w:t>(quinidine)</w:t>
            </w:r>
          </w:p>
        </w:tc>
        <w:tc>
          <w:tcPr>
            <w:tcW w:w="1841" w:type="pct"/>
            <w:tcBorders>
              <w:top w:val="outset" w:sz="6" w:space="0" w:color="auto"/>
              <w:left w:val="outset" w:sz="6" w:space="0" w:color="auto"/>
              <w:bottom w:val="outset" w:sz="6" w:space="0" w:color="auto"/>
              <w:right w:val="outset" w:sz="6" w:space="0" w:color="auto"/>
            </w:tcBorders>
          </w:tcPr>
          <w:p w14:paraId="59902286"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2DAFFACF"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BDF052"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5B9604B"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他林洛尔</w:t>
            </w:r>
            <w:proofErr w:type="spell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talinolol</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23AFE34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也是</w:t>
            </w:r>
            <w:r w:rsidRPr="009E464F">
              <w:rPr>
                <w:rFonts w:cs="Times New Roman"/>
                <w:color w:val="000000" w:themeColor="text1"/>
                <w:sz w:val="21"/>
                <w:szCs w:val="21"/>
                <w:shd w:val="clear" w:color="auto" w:fill="FFFFFF"/>
              </w:rPr>
              <w:t>MRP2</w:t>
            </w:r>
            <w:r w:rsidRPr="009E464F">
              <w:rPr>
                <w:rFonts w:cs="Times New Roman"/>
                <w:color w:val="000000" w:themeColor="text1"/>
                <w:sz w:val="21"/>
                <w:szCs w:val="21"/>
                <w:shd w:val="clear" w:color="auto" w:fill="FFFFFF"/>
              </w:rPr>
              <w:t>底物</w:t>
            </w:r>
          </w:p>
        </w:tc>
      </w:tr>
      <w:tr w:rsidR="00BF22C5" w:rsidRPr="009E464F" w14:paraId="7E36DD11"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359803"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A15898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长春碱</w:t>
            </w:r>
            <w:proofErr w:type="spell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vinblastine)</w:t>
            </w:r>
          </w:p>
        </w:tc>
        <w:tc>
          <w:tcPr>
            <w:tcW w:w="1841" w:type="pct"/>
            <w:tcBorders>
              <w:top w:val="outset" w:sz="6" w:space="0" w:color="auto"/>
              <w:left w:val="outset" w:sz="6" w:space="0" w:color="auto"/>
              <w:bottom w:val="outset" w:sz="6" w:space="0" w:color="auto"/>
              <w:right w:val="outset" w:sz="6" w:space="0" w:color="auto"/>
            </w:tcBorders>
          </w:tcPr>
          <w:p w14:paraId="3748C83F"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也是</w:t>
            </w:r>
            <w:r w:rsidRPr="009E464F">
              <w:rPr>
                <w:rFonts w:cs="Times New Roman"/>
                <w:color w:val="000000" w:themeColor="text1"/>
                <w:sz w:val="21"/>
                <w:szCs w:val="21"/>
                <w:shd w:val="clear" w:color="auto" w:fill="FFFFFF"/>
              </w:rPr>
              <w:t>MRP2</w:t>
            </w:r>
            <w:r w:rsidRPr="009E464F">
              <w:rPr>
                <w:rFonts w:cs="Times New Roman"/>
                <w:color w:val="000000" w:themeColor="text1"/>
                <w:sz w:val="21"/>
                <w:szCs w:val="21"/>
                <w:shd w:val="clear" w:color="auto" w:fill="FFFFFF"/>
              </w:rPr>
              <w:t>底物</w:t>
            </w:r>
          </w:p>
        </w:tc>
      </w:tr>
      <w:tr w:rsidR="00BF22C5" w:rsidRPr="009E464F" w14:paraId="5DCC96CC" w14:textId="77777777" w:rsidTr="008663B1">
        <w:trPr>
          <w:jc w:val="center"/>
        </w:trPr>
        <w:tc>
          <w:tcPr>
            <w:tcW w:w="855"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19CBE09F"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lastRenderedPageBreak/>
              <w:t>BCRP</w:t>
            </w: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D74E896"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2-</w:t>
            </w:r>
            <w:r w:rsidRPr="009E464F">
              <w:rPr>
                <w:rFonts w:cs="Times New Roman"/>
                <w:color w:val="000000" w:themeColor="text1"/>
                <w:sz w:val="21"/>
                <w:szCs w:val="21"/>
              </w:rPr>
              <w:t>氨基</w:t>
            </w:r>
            <w:r w:rsidRPr="009E464F">
              <w:rPr>
                <w:rFonts w:cs="Times New Roman"/>
                <w:color w:val="000000" w:themeColor="text1"/>
                <w:sz w:val="21"/>
                <w:szCs w:val="21"/>
              </w:rPr>
              <w:t>-1-</w:t>
            </w:r>
            <w:r w:rsidRPr="009E464F">
              <w:rPr>
                <w:rFonts w:cs="Times New Roman"/>
                <w:color w:val="000000" w:themeColor="text1"/>
                <w:sz w:val="21"/>
                <w:szCs w:val="21"/>
              </w:rPr>
              <w:t>甲基</w:t>
            </w:r>
            <w:r w:rsidRPr="009E464F">
              <w:rPr>
                <w:rFonts w:cs="Times New Roman"/>
                <w:color w:val="000000" w:themeColor="text1"/>
                <w:sz w:val="21"/>
                <w:szCs w:val="21"/>
              </w:rPr>
              <w:t>-6-</w:t>
            </w:r>
            <w:proofErr w:type="spellStart"/>
            <w:r w:rsidRPr="009E464F">
              <w:rPr>
                <w:rFonts w:cs="Times New Roman"/>
                <w:color w:val="000000" w:themeColor="text1"/>
                <w:sz w:val="21"/>
                <w:szCs w:val="21"/>
              </w:rPr>
              <w:t>苯基咪唑并</w:t>
            </w:r>
            <w:proofErr w:type="spellEnd"/>
            <w:r w:rsidRPr="009E464F">
              <w:rPr>
                <w:rFonts w:cs="Times New Roman"/>
                <w:color w:val="000000" w:themeColor="text1"/>
                <w:sz w:val="21"/>
                <w:szCs w:val="21"/>
              </w:rPr>
              <w:t>[4,5-b]</w:t>
            </w:r>
            <w:proofErr w:type="spellStart"/>
            <w:r w:rsidRPr="009E464F">
              <w:rPr>
                <w:rFonts w:cs="Times New Roman"/>
                <w:color w:val="000000" w:themeColor="text1"/>
                <w:sz w:val="21"/>
                <w:szCs w:val="21"/>
              </w:rPr>
              <w:t>吡啶</w:t>
            </w:r>
            <w:proofErr w:type="spellEnd"/>
            <w:r w:rsidRPr="009E464F">
              <w:rPr>
                <w:rFonts w:cs="Times New Roman"/>
                <w:color w:val="000000" w:themeColor="text1"/>
                <w:sz w:val="21"/>
                <w:szCs w:val="21"/>
              </w:rPr>
              <w:t xml:space="preserve">(2-amino-1-methyl-6-phenylimidazo[4,5-b]pyridine) </w:t>
            </w:r>
            <w:proofErr w:type="spellStart"/>
            <w:r w:rsidRPr="009E464F">
              <w:rPr>
                <w:rFonts w:cs="Times New Roman"/>
                <w:color w:val="000000" w:themeColor="text1"/>
                <w:sz w:val="21"/>
                <w:szCs w:val="21"/>
              </w:rPr>
              <w:t>PhiP</w:t>
            </w:r>
            <w:proofErr w:type="spellEnd"/>
          </w:p>
        </w:tc>
        <w:tc>
          <w:tcPr>
            <w:tcW w:w="1841" w:type="pct"/>
            <w:tcBorders>
              <w:top w:val="outset" w:sz="6" w:space="0" w:color="auto"/>
              <w:left w:val="outset" w:sz="6" w:space="0" w:color="auto"/>
              <w:bottom w:val="outset" w:sz="6" w:space="0" w:color="auto"/>
              <w:right w:val="outset" w:sz="6" w:space="0" w:color="auto"/>
            </w:tcBorders>
          </w:tcPr>
          <w:p w14:paraId="490B9E81"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MRP2</w:t>
            </w:r>
            <w:r w:rsidRPr="009E464F">
              <w:rPr>
                <w:rFonts w:cs="Times New Roman"/>
                <w:color w:val="000000" w:themeColor="text1"/>
                <w:sz w:val="21"/>
                <w:szCs w:val="21"/>
              </w:rPr>
              <w:t>和</w:t>
            </w:r>
            <w:r w:rsidRPr="009E464F">
              <w:rPr>
                <w:rFonts w:cs="Times New Roman"/>
                <w:color w:val="000000" w:themeColor="text1"/>
                <w:sz w:val="21"/>
                <w:szCs w:val="21"/>
              </w:rPr>
              <w:t>P-gp</w:t>
            </w:r>
            <w:r w:rsidRPr="009E464F">
              <w:rPr>
                <w:rFonts w:cs="Times New Roman"/>
                <w:color w:val="000000" w:themeColor="text1"/>
                <w:sz w:val="21"/>
                <w:szCs w:val="21"/>
              </w:rPr>
              <w:t>底物</w:t>
            </w:r>
          </w:p>
        </w:tc>
      </w:tr>
      <w:tr w:rsidR="00BF22C5" w:rsidRPr="009E464F" w14:paraId="0E45AFFC"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C20B72"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B3DC725"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考迈斯托醇</w:t>
            </w:r>
            <w:proofErr w:type="spell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coumestrol</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5C0D88CB"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31E94BF8"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7D2107"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568D226"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大豆甙元</w:t>
            </w:r>
            <w:proofErr w:type="spell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daidzein</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1152D606"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4116394A"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142DE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730E0D6"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丹曲林</w:t>
            </w:r>
            <w:proofErr w:type="spellEnd"/>
            <w:r w:rsidRPr="009E464F">
              <w:rPr>
                <w:rFonts w:cs="Times New Roman"/>
                <w:color w:val="000000" w:themeColor="text1"/>
                <w:sz w:val="21"/>
                <w:szCs w:val="21"/>
              </w:rPr>
              <w:t>(</w:t>
            </w:r>
            <w:proofErr w:type="spellStart"/>
            <w:r w:rsidRPr="009E464F">
              <w:rPr>
                <w:rFonts w:cs="Times New Roman"/>
                <w:color w:val="000000" w:themeColor="text1"/>
                <w:sz w:val="21"/>
                <w:szCs w:val="21"/>
              </w:rPr>
              <w:t>dantrolene</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392E524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2C8C9C9F"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A0B622"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C77FF8F"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雌酮</w:t>
            </w:r>
            <w:r w:rsidRPr="009E464F">
              <w:rPr>
                <w:rFonts w:cs="Times New Roman"/>
                <w:color w:val="000000" w:themeColor="text1"/>
                <w:sz w:val="21"/>
                <w:szCs w:val="21"/>
              </w:rPr>
              <w:t>-3-</w:t>
            </w:r>
            <w:r w:rsidRPr="009E464F">
              <w:rPr>
                <w:rFonts w:cs="Times New Roman"/>
                <w:color w:val="000000" w:themeColor="text1"/>
                <w:sz w:val="21"/>
                <w:szCs w:val="21"/>
              </w:rPr>
              <w:t>硫酸酯</w:t>
            </w:r>
            <w:r w:rsidRPr="009E464F">
              <w:rPr>
                <w:rFonts w:cs="Times New Roman"/>
                <w:color w:val="000000" w:themeColor="text1"/>
                <w:sz w:val="21"/>
                <w:szCs w:val="21"/>
              </w:rPr>
              <w:t>(estrone-3-sulfate)</w:t>
            </w:r>
          </w:p>
        </w:tc>
        <w:tc>
          <w:tcPr>
            <w:tcW w:w="1841" w:type="pct"/>
            <w:tcBorders>
              <w:top w:val="outset" w:sz="6" w:space="0" w:color="auto"/>
              <w:left w:val="outset" w:sz="6" w:space="0" w:color="auto"/>
              <w:bottom w:val="outset" w:sz="6" w:space="0" w:color="auto"/>
              <w:right w:val="outset" w:sz="6" w:space="0" w:color="auto"/>
            </w:tcBorders>
          </w:tcPr>
          <w:p w14:paraId="7293D62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也是</w:t>
            </w:r>
            <w:r w:rsidRPr="009E464F">
              <w:rPr>
                <w:rFonts w:cs="Times New Roman"/>
                <w:color w:val="000000" w:themeColor="text1"/>
                <w:sz w:val="21"/>
                <w:szCs w:val="21"/>
              </w:rPr>
              <w:t>OATPs</w:t>
            </w:r>
            <w:r w:rsidRPr="009E464F">
              <w:rPr>
                <w:rFonts w:cs="Times New Roman"/>
                <w:color w:val="000000" w:themeColor="text1"/>
                <w:sz w:val="21"/>
                <w:szCs w:val="21"/>
              </w:rPr>
              <w:t>和</w:t>
            </w:r>
            <w:r w:rsidRPr="009E464F">
              <w:rPr>
                <w:rFonts w:cs="Times New Roman"/>
                <w:color w:val="000000" w:themeColor="text1"/>
                <w:sz w:val="21"/>
                <w:szCs w:val="21"/>
              </w:rPr>
              <w:t>NTCP</w:t>
            </w:r>
            <w:r w:rsidRPr="009E464F">
              <w:rPr>
                <w:rFonts w:cs="Times New Roman"/>
                <w:color w:val="000000" w:themeColor="text1"/>
                <w:sz w:val="21"/>
                <w:szCs w:val="21"/>
              </w:rPr>
              <w:t>底物</w:t>
            </w:r>
            <w:proofErr w:type="spellEnd"/>
          </w:p>
        </w:tc>
      </w:tr>
      <w:tr w:rsidR="00BF22C5" w:rsidRPr="009E464F" w14:paraId="2D771AF2"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61479F"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40559A9"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染料木素</w:t>
            </w:r>
            <w:proofErr w:type="spell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genistein</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2C4D5308"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61E0EF7E"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5182DD"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B164707"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哌唑嗪</w:t>
            </w:r>
            <w:proofErr w:type="spellEnd"/>
            <w:r w:rsidRPr="009E464F">
              <w:rPr>
                <w:rFonts w:cs="Times New Roman"/>
                <w:color w:val="000000" w:themeColor="text1"/>
                <w:sz w:val="21"/>
                <w:szCs w:val="21"/>
              </w:rPr>
              <w:t>(</w:t>
            </w:r>
            <w:proofErr w:type="spellStart"/>
            <w:r w:rsidRPr="009E464F">
              <w:rPr>
                <w:rFonts w:cs="Times New Roman"/>
                <w:color w:val="000000" w:themeColor="text1"/>
                <w:sz w:val="21"/>
                <w:szCs w:val="21"/>
              </w:rPr>
              <w:t>prazosin</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30AFC337"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也是</w:t>
            </w:r>
            <w:r w:rsidRPr="009E464F">
              <w:rPr>
                <w:rFonts w:cs="Times New Roman"/>
                <w:color w:val="000000" w:themeColor="text1"/>
                <w:sz w:val="21"/>
                <w:szCs w:val="21"/>
              </w:rPr>
              <w:t>P-gp</w:t>
            </w:r>
            <w:r w:rsidRPr="009E464F">
              <w:rPr>
                <w:rFonts w:cs="Times New Roman"/>
                <w:color w:val="000000" w:themeColor="text1"/>
                <w:sz w:val="21"/>
                <w:szCs w:val="21"/>
              </w:rPr>
              <w:t>底物</w:t>
            </w:r>
            <w:proofErr w:type="spellEnd"/>
          </w:p>
        </w:tc>
      </w:tr>
      <w:tr w:rsidR="00BF22C5" w:rsidRPr="009E464F" w14:paraId="37F55877"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509ECD"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8E8D2C5"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柳氮磺胺吡啶</w:t>
            </w:r>
            <w:proofErr w:type="spell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sulfasalazine)</w:t>
            </w:r>
          </w:p>
        </w:tc>
        <w:tc>
          <w:tcPr>
            <w:tcW w:w="1841" w:type="pct"/>
            <w:tcBorders>
              <w:top w:val="outset" w:sz="6" w:space="0" w:color="auto"/>
              <w:left w:val="outset" w:sz="6" w:space="0" w:color="auto"/>
              <w:bottom w:val="outset" w:sz="6" w:space="0" w:color="auto"/>
              <w:right w:val="outset" w:sz="6" w:space="0" w:color="auto"/>
            </w:tcBorders>
          </w:tcPr>
          <w:p w14:paraId="46EAC787"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6BFFD17E" w14:textId="77777777" w:rsidTr="008663B1">
        <w:trPr>
          <w:jc w:val="center"/>
        </w:trPr>
        <w:tc>
          <w:tcPr>
            <w:tcW w:w="855"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5A4F9F93"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OATP1B1,</w:t>
            </w:r>
          </w:p>
          <w:p w14:paraId="3BA9BC25"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OATP1B3</w:t>
            </w: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9A3A6F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 xml:space="preserve">cck-8(cholecystokinin octapeptide) </w:t>
            </w:r>
          </w:p>
        </w:tc>
        <w:tc>
          <w:tcPr>
            <w:tcW w:w="1841" w:type="pct"/>
            <w:tcBorders>
              <w:top w:val="outset" w:sz="6" w:space="0" w:color="auto"/>
              <w:left w:val="outset" w:sz="6" w:space="0" w:color="auto"/>
              <w:bottom w:val="outset" w:sz="6" w:space="0" w:color="auto"/>
              <w:right w:val="outset" w:sz="6" w:space="0" w:color="auto"/>
            </w:tcBorders>
          </w:tcPr>
          <w:p w14:paraId="16483AA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OATP1B3</w:t>
            </w:r>
            <w:r w:rsidRPr="009E464F">
              <w:rPr>
                <w:rFonts w:cs="Times New Roman"/>
                <w:color w:val="000000" w:themeColor="text1"/>
                <w:sz w:val="21"/>
                <w:szCs w:val="21"/>
              </w:rPr>
              <w:t>的选择性底物（相比于</w:t>
            </w:r>
            <w:r w:rsidRPr="009E464F">
              <w:rPr>
                <w:rFonts w:cs="Times New Roman"/>
                <w:color w:val="000000" w:themeColor="text1"/>
                <w:sz w:val="21"/>
                <w:szCs w:val="21"/>
              </w:rPr>
              <w:t>OATP1B1</w:t>
            </w:r>
            <w:r w:rsidRPr="009E464F">
              <w:rPr>
                <w:rFonts w:cs="Times New Roman"/>
                <w:color w:val="000000" w:themeColor="text1"/>
                <w:sz w:val="21"/>
                <w:szCs w:val="21"/>
              </w:rPr>
              <w:t>）</w:t>
            </w:r>
          </w:p>
        </w:tc>
      </w:tr>
      <w:tr w:rsidR="00BF22C5" w:rsidRPr="009E464F" w14:paraId="0A9F16BF"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14B606"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597E9B5"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雌二醇</w:t>
            </w:r>
            <w:r w:rsidRPr="009E464F">
              <w:rPr>
                <w:rFonts w:cs="Times New Roman"/>
                <w:color w:val="000000" w:themeColor="text1"/>
                <w:sz w:val="21"/>
                <w:szCs w:val="21"/>
              </w:rPr>
              <w:t>17</w:t>
            </w:r>
            <w:r w:rsidRPr="009E464F">
              <w:rPr>
                <w:rFonts w:cs="Times New Roman"/>
                <w:color w:val="000000" w:themeColor="text1"/>
                <w:sz w:val="21"/>
                <w:szCs w:val="21"/>
              </w:rPr>
              <w:sym w:font="Symbol" w:char="F062"/>
            </w:r>
            <w:r w:rsidRPr="009E464F">
              <w:rPr>
                <w:rFonts w:cs="Times New Roman"/>
                <w:color w:val="000000" w:themeColor="text1"/>
                <w:sz w:val="21"/>
                <w:szCs w:val="21"/>
              </w:rPr>
              <w:t>-</w:t>
            </w:r>
            <w:proofErr w:type="spellStart"/>
            <w:r w:rsidRPr="009E464F">
              <w:rPr>
                <w:rFonts w:cs="Times New Roman"/>
                <w:color w:val="000000" w:themeColor="text1"/>
                <w:sz w:val="21"/>
                <w:szCs w:val="21"/>
              </w:rPr>
              <w:t>葡萄糖醛酸苷</w:t>
            </w:r>
            <w:proofErr w:type="spellEnd"/>
            <w:r w:rsidRPr="009E464F">
              <w:rPr>
                <w:rFonts w:cs="Times New Roman"/>
                <w:color w:val="000000" w:themeColor="text1"/>
                <w:sz w:val="21"/>
                <w:szCs w:val="21"/>
              </w:rPr>
              <w:t>(estradiol-17β-glucuronide)</w:t>
            </w:r>
          </w:p>
        </w:tc>
        <w:tc>
          <w:tcPr>
            <w:tcW w:w="1841" w:type="pct"/>
            <w:tcBorders>
              <w:top w:val="outset" w:sz="6" w:space="0" w:color="auto"/>
              <w:left w:val="outset" w:sz="6" w:space="0" w:color="auto"/>
              <w:bottom w:val="outset" w:sz="6" w:space="0" w:color="auto"/>
              <w:right w:val="outset" w:sz="6" w:space="0" w:color="auto"/>
            </w:tcBorders>
          </w:tcPr>
          <w:p w14:paraId="6FEDA35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34962F08"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385968"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0CAB137"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雌酮</w:t>
            </w:r>
            <w:r w:rsidRPr="009E464F">
              <w:rPr>
                <w:rFonts w:cs="Times New Roman"/>
                <w:color w:val="000000" w:themeColor="text1"/>
                <w:sz w:val="21"/>
                <w:szCs w:val="21"/>
              </w:rPr>
              <w:t>3-</w:t>
            </w:r>
            <w:r w:rsidRPr="009E464F">
              <w:rPr>
                <w:rFonts w:cs="Times New Roman"/>
                <w:color w:val="000000" w:themeColor="text1"/>
                <w:sz w:val="21"/>
                <w:szCs w:val="21"/>
              </w:rPr>
              <w:t>硫酸酯</w:t>
            </w:r>
            <w:r w:rsidRPr="009E464F">
              <w:rPr>
                <w:rFonts w:cs="Times New Roman"/>
                <w:color w:val="000000" w:themeColor="text1"/>
                <w:sz w:val="21"/>
                <w:szCs w:val="21"/>
              </w:rPr>
              <w:t>(estrone-3-sulfate)</w:t>
            </w:r>
          </w:p>
        </w:tc>
        <w:tc>
          <w:tcPr>
            <w:tcW w:w="1841" w:type="pct"/>
            <w:tcBorders>
              <w:top w:val="outset" w:sz="6" w:space="0" w:color="auto"/>
              <w:left w:val="outset" w:sz="6" w:space="0" w:color="auto"/>
              <w:bottom w:val="outset" w:sz="6" w:space="0" w:color="auto"/>
              <w:right w:val="outset" w:sz="6" w:space="0" w:color="auto"/>
            </w:tcBorders>
          </w:tcPr>
          <w:p w14:paraId="0AFD5AEF"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OATP1B1</w:t>
            </w:r>
            <w:r w:rsidRPr="009E464F">
              <w:rPr>
                <w:rFonts w:cs="Times New Roman"/>
                <w:color w:val="000000" w:themeColor="text1"/>
                <w:sz w:val="21"/>
                <w:szCs w:val="21"/>
              </w:rPr>
              <w:t>的选择性底物（相比于</w:t>
            </w:r>
            <w:r w:rsidRPr="009E464F">
              <w:rPr>
                <w:rFonts w:cs="Times New Roman"/>
                <w:color w:val="000000" w:themeColor="text1"/>
                <w:sz w:val="21"/>
                <w:szCs w:val="21"/>
              </w:rPr>
              <w:t>OATP1B3</w:t>
            </w:r>
            <w:r w:rsidRPr="009E464F">
              <w:rPr>
                <w:rFonts w:cs="Times New Roman"/>
                <w:color w:val="000000" w:themeColor="text1"/>
                <w:sz w:val="21"/>
                <w:szCs w:val="21"/>
              </w:rPr>
              <w:t>）</w:t>
            </w:r>
          </w:p>
        </w:tc>
      </w:tr>
      <w:tr w:rsidR="00BF22C5" w:rsidRPr="009E464F" w14:paraId="23FE0F3C"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972631"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1A0E8F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匹伐他汀</w:t>
            </w:r>
            <w:proofErr w:type="spell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pitavastatin</w:t>
            </w:r>
            <w:proofErr w:type="spellEnd"/>
          </w:p>
        </w:tc>
        <w:tc>
          <w:tcPr>
            <w:tcW w:w="1841" w:type="pct"/>
            <w:tcBorders>
              <w:top w:val="outset" w:sz="6" w:space="0" w:color="auto"/>
              <w:left w:val="outset" w:sz="6" w:space="0" w:color="auto"/>
              <w:bottom w:val="outset" w:sz="6" w:space="0" w:color="auto"/>
              <w:right w:val="outset" w:sz="6" w:space="0" w:color="auto"/>
            </w:tcBorders>
          </w:tcPr>
          <w:p w14:paraId="55150F7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MRP2</w:t>
            </w:r>
            <w:r w:rsidRPr="009E464F">
              <w:rPr>
                <w:rFonts w:cs="Times New Roman"/>
                <w:color w:val="000000" w:themeColor="text1"/>
                <w:sz w:val="21"/>
                <w:szCs w:val="21"/>
              </w:rPr>
              <w:t>，</w:t>
            </w:r>
            <w:r w:rsidRPr="009E464F">
              <w:rPr>
                <w:rFonts w:cs="Times New Roman"/>
                <w:color w:val="000000" w:themeColor="text1"/>
                <w:sz w:val="21"/>
                <w:szCs w:val="21"/>
              </w:rPr>
              <w:t xml:space="preserve">P-gp </w:t>
            </w:r>
            <w:r w:rsidRPr="009E464F">
              <w:rPr>
                <w:rFonts w:cs="Times New Roman"/>
                <w:color w:val="000000" w:themeColor="text1"/>
                <w:sz w:val="21"/>
                <w:szCs w:val="21"/>
              </w:rPr>
              <w:t>和</w:t>
            </w:r>
            <w:r w:rsidRPr="009E464F">
              <w:rPr>
                <w:rFonts w:cs="Times New Roman"/>
                <w:color w:val="000000" w:themeColor="text1"/>
                <w:sz w:val="21"/>
                <w:szCs w:val="21"/>
              </w:rPr>
              <w:t>NTCP</w:t>
            </w:r>
            <w:r w:rsidRPr="009E464F">
              <w:rPr>
                <w:rFonts w:cs="Times New Roman"/>
                <w:color w:val="000000" w:themeColor="text1"/>
                <w:sz w:val="21"/>
                <w:szCs w:val="21"/>
              </w:rPr>
              <w:t>底物。</w:t>
            </w:r>
            <w:r w:rsidRPr="009E464F">
              <w:rPr>
                <w:rFonts w:cs="Times New Roman"/>
                <w:color w:val="000000" w:themeColor="text1"/>
                <w:sz w:val="21"/>
                <w:szCs w:val="21"/>
              </w:rPr>
              <w:t>OATP1B1</w:t>
            </w:r>
            <w:r w:rsidRPr="009E464F">
              <w:rPr>
                <w:rFonts w:cs="Times New Roman"/>
                <w:color w:val="000000" w:themeColor="text1"/>
                <w:sz w:val="21"/>
                <w:szCs w:val="21"/>
              </w:rPr>
              <w:t>的选择性底物（相比于</w:t>
            </w:r>
            <w:r w:rsidRPr="009E464F">
              <w:rPr>
                <w:rFonts w:cs="Times New Roman"/>
                <w:color w:val="000000" w:themeColor="text1"/>
                <w:sz w:val="21"/>
                <w:szCs w:val="21"/>
              </w:rPr>
              <w:t>OATP1B3</w:t>
            </w:r>
            <w:r w:rsidRPr="009E464F">
              <w:rPr>
                <w:rFonts w:cs="Times New Roman"/>
                <w:color w:val="000000" w:themeColor="text1"/>
                <w:sz w:val="21"/>
                <w:szCs w:val="21"/>
              </w:rPr>
              <w:t>）</w:t>
            </w:r>
          </w:p>
        </w:tc>
      </w:tr>
      <w:tr w:rsidR="00BF22C5" w:rsidRPr="009E464F" w14:paraId="2D0687EB"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9B3894"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1D6600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普伐他汀</w:t>
            </w:r>
            <w:proofErr w:type="spellEnd"/>
            <w:r w:rsidRPr="009E464F">
              <w:rPr>
                <w:rFonts w:cs="Times New Roman"/>
                <w:color w:val="000000" w:themeColor="text1"/>
                <w:sz w:val="21"/>
                <w:szCs w:val="21"/>
              </w:rPr>
              <w:t>(pravastatin)</w:t>
            </w:r>
          </w:p>
        </w:tc>
        <w:tc>
          <w:tcPr>
            <w:tcW w:w="1841" w:type="pct"/>
            <w:tcBorders>
              <w:top w:val="outset" w:sz="6" w:space="0" w:color="auto"/>
              <w:left w:val="outset" w:sz="6" w:space="0" w:color="auto"/>
              <w:bottom w:val="outset" w:sz="6" w:space="0" w:color="auto"/>
              <w:right w:val="outset" w:sz="6" w:space="0" w:color="auto"/>
            </w:tcBorders>
          </w:tcPr>
          <w:p w14:paraId="082FCE35"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 xml:space="preserve">MRP2, OAT3 </w:t>
            </w:r>
            <w:proofErr w:type="spellStart"/>
            <w:r w:rsidRPr="009E464F">
              <w:rPr>
                <w:rFonts w:cs="Times New Roman"/>
                <w:color w:val="000000" w:themeColor="text1"/>
                <w:sz w:val="21"/>
                <w:szCs w:val="21"/>
              </w:rPr>
              <w:t>和</w:t>
            </w:r>
            <w:r w:rsidRPr="009E464F">
              <w:rPr>
                <w:rFonts w:cs="Times New Roman"/>
                <w:color w:val="000000" w:themeColor="text1"/>
                <w:sz w:val="21"/>
                <w:szCs w:val="21"/>
              </w:rPr>
              <w:t>NTCP</w:t>
            </w:r>
            <w:r w:rsidRPr="009E464F">
              <w:rPr>
                <w:rFonts w:cs="Times New Roman"/>
                <w:color w:val="000000" w:themeColor="text1"/>
                <w:sz w:val="21"/>
                <w:szCs w:val="21"/>
              </w:rPr>
              <w:t>底物</w:t>
            </w:r>
            <w:proofErr w:type="spellEnd"/>
            <w:r w:rsidRPr="009E464F">
              <w:rPr>
                <w:rFonts w:cs="Times New Roman"/>
                <w:color w:val="000000" w:themeColor="text1"/>
                <w:sz w:val="21"/>
                <w:szCs w:val="21"/>
              </w:rPr>
              <w:t>。</w:t>
            </w:r>
          </w:p>
        </w:tc>
      </w:tr>
      <w:tr w:rsidR="00BF22C5" w:rsidRPr="009E464F" w14:paraId="4976AF2E"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9912D7"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174C575"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替米沙坦</w:t>
            </w:r>
            <w:proofErr w:type="spell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telmisartan</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77C7DD03"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OATP1B1</w:t>
            </w:r>
            <w:r w:rsidRPr="009E464F">
              <w:rPr>
                <w:rFonts w:cs="Times New Roman"/>
                <w:color w:val="000000" w:themeColor="text1"/>
                <w:sz w:val="21"/>
                <w:szCs w:val="21"/>
              </w:rPr>
              <w:t>的选择性底物（相比于</w:t>
            </w:r>
            <w:r w:rsidRPr="009E464F">
              <w:rPr>
                <w:rFonts w:cs="Times New Roman"/>
                <w:color w:val="000000" w:themeColor="text1"/>
                <w:sz w:val="21"/>
                <w:szCs w:val="21"/>
              </w:rPr>
              <w:t>OATP1B3</w:t>
            </w:r>
            <w:r w:rsidRPr="009E464F">
              <w:rPr>
                <w:rFonts w:cs="Times New Roman"/>
                <w:color w:val="000000" w:themeColor="text1"/>
                <w:sz w:val="21"/>
                <w:szCs w:val="21"/>
              </w:rPr>
              <w:t>）</w:t>
            </w:r>
          </w:p>
        </w:tc>
      </w:tr>
      <w:tr w:rsidR="00BF22C5" w:rsidRPr="009E464F" w14:paraId="0ADB3A95"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2B5D16"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F9F0BFB"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瑞舒伐他汀</w:t>
            </w:r>
            <w:proofErr w:type="spellEnd"/>
            <w:r w:rsidRPr="009E464F">
              <w:rPr>
                <w:rFonts w:cs="Times New Roman"/>
                <w:color w:val="000000" w:themeColor="text1"/>
                <w:sz w:val="21"/>
                <w:szCs w:val="21"/>
              </w:rPr>
              <w:t>(</w:t>
            </w:r>
            <w:proofErr w:type="spellStart"/>
            <w:r w:rsidRPr="009E464F">
              <w:rPr>
                <w:rFonts w:cs="Times New Roman"/>
                <w:color w:val="000000" w:themeColor="text1"/>
                <w:sz w:val="21"/>
                <w:szCs w:val="21"/>
              </w:rPr>
              <w:t>rosuvastatin</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539B60B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 xml:space="preserve">MRP2, OAT3, </w:t>
            </w:r>
            <w:proofErr w:type="spellStart"/>
            <w:r w:rsidRPr="009E464F">
              <w:rPr>
                <w:rFonts w:cs="Times New Roman"/>
                <w:color w:val="000000" w:themeColor="text1"/>
                <w:sz w:val="21"/>
                <w:szCs w:val="21"/>
              </w:rPr>
              <w:t>NTCP</w:t>
            </w:r>
            <w:r w:rsidRPr="009E464F">
              <w:rPr>
                <w:rFonts w:cs="Times New Roman"/>
                <w:color w:val="000000" w:themeColor="text1"/>
                <w:sz w:val="21"/>
                <w:szCs w:val="21"/>
              </w:rPr>
              <w:t>和</w:t>
            </w:r>
            <w:r w:rsidRPr="009E464F">
              <w:rPr>
                <w:rFonts w:cs="Times New Roman"/>
                <w:color w:val="000000" w:themeColor="text1"/>
                <w:sz w:val="21"/>
                <w:szCs w:val="21"/>
              </w:rPr>
              <w:t>BCRP</w:t>
            </w:r>
            <w:r w:rsidRPr="009E464F">
              <w:rPr>
                <w:rFonts w:cs="Times New Roman"/>
                <w:color w:val="000000" w:themeColor="text1"/>
                <w:sz w:val="21"/>
                <w:szCs w:val="21"/>
              </w:rPr>
              <w:t>底物</w:t>
            </w:r>
            <w:proofErr w:type="spellEnd"/>
          </w:p>
        </w:tc>
      </w:tr>
      <w:tr w:rsidR="00BF22C5" w:rsidRPr="009E464F" w14:paraId="5B966721" w14:textId="77777777" w:rsidTr="008663B1">
        <w:trPr>
          <w:jc w:val="center"/>
        </w:trPr>
        <w:tc>
          <w:tcPr>
            <w:tcW w:w="855"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17632CA4"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OAT1</w:t>
            </w: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2B44021"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阿德福韦</w:t>
            </w:r>
            <w:proofErr w:type="spellEnd"/>
            <w:r w:rsidRPr="009E464F">
              <w:rPr>
                <w:rFonts w:cs="Times New Roman"/>
                <w:color w:val="000000" w:themeColor="text1"/>
                <w:sz w:val="21"/>
                <w:szCs w:val="21"/>
              </w:rPr>
              <w:t>(</w:t>
            </w:r>
            <w:proofErr w:type="spellStart"/>
            <w:r w:rsidRPr="009E464F">
              <w:rPr>
                <w:rFonts w:cs="Times New Roman"/>
                <w:color w:val="000000" w:themeColor="text1"/>
                <w:sz w:val="21"/>
                <w:szCs w:val="21"/>
              </w:rPr>
              <w:t>adefovir</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680D26CD"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7405AE96"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FF42F7"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2B8DFBC"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对氨基马尿酸</w:t>
            </w:r>
            <w:proofErr w:type="spell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p-</w:t>
            </w:r>
            <w:proofErr w:type="spellStart"/>
            <w:r w:rsidRPr="009E464F">
              <w:rPr>
                <w:rFonts w:cs="Times New Roman"/>
                <w:color w:val="000000" w:themeColor="text1"/>
                <w:sz w:val="21"/>
                <w:szCs w:val="21"/>
              </w:rPr>
              <w:t>aminohippurate</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696C1F9D"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2BFCF03B"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07A78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5B3BE3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西多福韦</w:t>
            </w:r>
            <w:proofErr w:type="spell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cidofovir</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6B941BD7"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5B0141BF"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98DB48"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0211674"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替诺福韦</w:t>
            </w:r>
            <w:proofErr w:type="spell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tenofovir</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10670396"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
        </w:tc>
      </w:tr>
      <w:tr w:rsidR="00BF22C5" w:rsidRPr="009E464F" w14:paraId="2113E5A8" w14:textId="77777777" w:rsidTr="008663B1">
        <w:trPr>
          <w:jc w:val="center"/>
        </w:trPr>
        <w:tc>
          <w:tcPr>
            <w:tcW w:w="855"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5A4423B1" w14:textId="77777777" w:rsidR="00BF22C5" w:rsidRPr="009E464F" w:rsidRDefault="00BF22C5" w:rsidP="0083505F">
            <w:pPr>
              <w:pStyle w:val="afc"/>
              <w:spacing w:before="0" w:after="0" w:line="240" w:lineRule="auto"/>
              <w:ind w:firstLine="480"/>
              <w:jc w:val="left"/>
              <w:rPr>
                <w:rFonts w:ascii="Times New Roman" w:eastAsia="仿宋_GB2312" w:hAnsi="Times New Roman" w:cs="Times New Roman"/>
                <w:b w:val="0"/>
                <w:color w:val="000000" w:themeColor="text1"/>
                <w:sz w:val="21"/>
                <w:szCs w:val="21"/>
              </w:rPr>
            </w:pPr>
            <w:bookmarkStart w:id="87" w:name="_Toc49273328"/>
            <w:bookmarkStart w:id="88" w:name="_Toc50395763"/>
            <w:bookmarkStart w:id="89" w:name="_Toc50395984"/>
            <w:r w:rsidRPr="009E464F">
              <w:rPr>
                <w:rFonts w:ascii="Times New Roman" w:eastAsia="仿宋_GB2312" w:hAnsi="Times New Roman" w:cs="Times New Roman"/>
                <w:b w:val="0"/>
                <w:color w:val="000000" w:themeColor="text1"/>
                <w:sz w:val="21"/>
                <w:szCs w:val="21"/>
              </w:rPr>
              <w:t>OAT3</w:t>
            </w:r>
            <w:bookmarkEnd w:id="87"/>
            <w:bookmarkEnd w:id="88"/>
            <w:bookmarkEnd w:id="89"/>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31A3185"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苄甲青霉素</w:t>
            </w:r>
            <w:proofErr w:type="spell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benzylpenicillin</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1EEA643B"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也是</w:t>
            </w:r>
            <w:r w:rsidRPr="009E464F">
              <w:rPr>
                <w:rFonts w:cs="Times New Roman"/>
                <w:color w:val="000000" w:themeColor="text1"/>
                <w:sz w:val="21"/>
                <w:szCs w:val="21"/>
              </w:rPr>
              <w:t>OATPs</w:t>
            </w:r>
            <w:r w:rsidRPr="009E464F">
              <w:rPr>
                <w:rFonts w:cs="Times New Roman"/>
                <w:color w:val="000000" w:themeColor="text1"/>
                <w:sz w:val="21"/>
                <w:szCs w:val="21"/>
              </w:rPr>
              <w:t>底物</w:t>
            </w:r>
            <w:proofErr w:type="spellEnd"/>
          </w:p>
        </w:tc>
      </w:tr>
      <w:tr w:rsidR="00BF22C5" w:rsidRPr="009E464F" w14:paraId="12ECEF62"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5E2DAF"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F0B4946"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雌酮</w:t>
            </w:r>
            <w:r w:rsidRPr="009E464F">
              <w:rPr>
                <w:rFonts w:cs="Times New Roman"/>
                <w:color w:val="000000" w:themeColor="text1"/>
                <w:sz w:val="21"/>
                <w:szCs w:val="21"/>
              </w:rPr>
              <w:t>3-</w:t>
            </w:r>
            <w:r w:rsidRPr="009E464F">
              <w:rPr>
                <w:rFonts w:cs="Times New Roman"/>
                <w:color w:val="000000" w:themeColor="text1"/>
                <w:sz w:val="21"/>
                <w:szCs w:val="21"/>
              </w:rPr>
              <w:t>硫酸酯</w:t>
            </w:r>
            <w:r w:rsidRPr="009E464F">
              <w:rPr>
                <w:rFonts w:cs="Times New Roman"/>
                <w:color w:val="000000" w:themeColor="text1"/>
                <w:sz w:val="21"/>
                <w:szCs w:val="21"/>
              </w:rPr>
              <w:t xml:space="preserve"> </w:t>
            </w:r>
          </w:p>
        </w:tc>
        <w:tc>
          <w:tcPr>
            <w:tcW w:w="1841" w:type="pct"/>
            <w:tcBorders>
              <w:top w:val="outset" w:sz="6" w:space="0" w:color="auto"/>
              <w:left w:val="outset" w:sz="6" w:space="0" w:color="auto"/>
              <w:bottom w:val="outset" w:sz="6" w:space="0" w:color="auto"/>
              <w:right w:val="outset" w:sz="6" w:space="0" w:color="auto"/>
            </w:tcBorders>
          </w:tcPr>
          <w:p w14:paraId="0F06CCD6"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BCRP</w:t>
            </w:r>
            <w:r w:rsidRPr="009E464F">
              <w:rPr>
                <w:rFonts w:cs="Times New Roman"/>
                <w:color w:val="000000" w:themeColor="text1"/>
                <w:sz w:val="21"/>
                <w:szCs w:val="21"/>
              </w:rPr>
              <w:t>和</w:t>
            </w:r>
            <w:r w:rsidRPr="009E464F">
              <w:rPr>
                <w:rFonts w:cs="Times New Roman"/>
                <w:color w:val="000000" w:themeColor="text1"/>
                <w:sz w:val="21"/>
                <w:szCs w:val="21"/>
              </w:rPr>
              <w:t>OATP1B1</w:t>
            </w:r>
            <w:r w:rsidRPr="009E464F">
              <w:rPr>
                <w:rFonts w:cs="Times New Roman"/>
                <w:color w:val="000000" w:themeColor="text1"/>
                <w:sz w:val="21"/>
                <w:szCs w:val="21"/>
              </w:rPr>
              <w:t>底物</w:t>
            </w:r>
          </w:p>
        </w:tc>
      </w:tr>
      <w:tr w:rsidR="00BF22C5" w:rsidRPr="009E464F" w14:paraId="4A14B628"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A83A93"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EDBE72E"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普伐他汀（</w:t>
            </w:r>
            <w:r w:rsidRPr="009E464F">
              <w:rPr>
                <w:rFonts w:cs="Times New Roman"/>
                <w:color w:val="000000" w:themeColor="text1"/>
                <w:sz w:val="21"/>
                <w:szCs w:val="21"/>
              </w:rPr>
              <w:t>pravastatin</w:t>
            </w:r>
            <w:proofErr w:type="spellEnd"/>
            <w:r w:rsidRPr="009E464F">
              <w:rPr>
                <w:rFonts w:cs="Times New Roman"/>
                <w:color w:val="000000" w:themeColor="text1"/>
                <w:sz w:val="21"/>
                <w:szCs w:val="21"/>
              </w:rPr>
              <w:t>）</w:t>
            </w:r>
          </w:p>
        </w:tc>
        <w:tc>
          <w:tcPr>
            <w:tcW w:w="1841" w:type="pct"/>
            <w:tcBorders>
              <w:top w:val="outset" w:sz="6" w:space="0" w:color="auto"/>
              <w:left w:val="outset" w:sz="6" w:space="0" w:color="auto"/>
              <w:bottom w:val="outset" w:sz="6" w:space="0" w:color="auto"/>
              <w:right w:val="outset" w:sz="6" w:space="0" w:color="auto"/>
            </w:tcBorders>
          </w:tcPr>
          <w:p w14:paraId="75409804"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OATPs</w:t>
            </w:r>
            <w:r w:rsidRPr="009E464F">
              <w:rPr>
                <w:rFonts w:cs="Times New Roman"/>
                <w:color w:val="000000" w:themeColor="text1"/>
                <w:sz w:val="21"/>
                <w:szCs w:val="21"/>
              </w:rPr>
              <w:t>和</w:t>
            </w:r>
            <w:r w:rsidRPr="009E464F">
              <w:rPr>
                <w:rFonts w:cs="Times New Roman"/>
                <w:color w:val="000000" w:themeColor="text1"/>
                <w:sz w:val="21"/>
                <w:szCs w:val="21"/>
              </w:rPr>
              <w:t>MRP2</w:t>
            </w:r>
            <w:r w:rsidRPr="009E464F">
              <w:rPr>
                <w:rFonts w:cs="Times New Roman"/>
                <w:color w:val="000000" w:themeColor="text1"/>
                <w:sz w:val="21"/>
                <w:szCs w:val="21"/>
              </w:rPr>
              <w:t>底物</w:t>
            </w:r>
          </w:p>
        </w:tc>
      </w:tr>
      <w:tr w:rsidR="00BF22C5" w:rsidRPr="009E464F" w14:paraId="1A3262D2" w14:textId="77777777" w:rsidTr="008663B1">
        <w:trPr>
          <w:jc w:val="center"/>
        </w:trPr>
        <w:tc>
          <w:tcPr>
            <w:tcW w:w="855"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179CFB2B"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MATE1</w:t>
            </w:r>
            <w:r w:rsidRPr="009E464F">
              <w:rPr>
                <w:rFonts w:cs="Times New Roman"/>
                <w:color w:val="000000" w:themeColor="text1"/>
                <w:sz w:val="21"/>
                <w:szCs w:val="21"/>
              </w:rPr>
              <w:t>，</w:t>
            </w:r>
          </w:p>
          <w:p w14:paraId="7C5C63E7"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MATE-2K</w:t>
            </w: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F719976"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二甲双胍</w:t>
            </w:r>
            <w:proofErr w:type="spellEnd"/>
            <w:r w:rsidRPr="009E464F">
              <w:rPr>
                <w:rFonts w:cs="Times New Roman"/>
                <w:color w:val="000000" w:themeColor="text1"/>
                <w:sz w:val="21"/>
                <w:szCs w:val="21"/>
              </w:rPr>
              <w:t>(metformin)</w:t>
            </w:r>
          </w:p>
        </w:tc>
        <w:tc>
          <w:tcPr>
            <w:tcW w:w="1841" w:type="pct"/>
            <w:tcBorders>
              <w:top w:val="outset" w:sz="6" w:space="0" w:color="auto"/>
              <w:left w:val="outset" w:sz="6" w:space="0" w:color="auto"/>
              <w:bottom w:val="outset" w:sz="6" w:space="0" w:color="auto"/>
              <w:right w:val="outset" w:sz="6" w:space="0" w:color="auto"/>
            </w:tcBorders>
          </w:tcPr>
          <w:p w14:paraId="44195082"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OCTs</w:t>
            </w:r>
            <w:r w:rsidRPr="009E464F">
              <w:rPr>
                <w:rFonts w:cs="Times New Roman"/>
                <w:color w:val="000000" w:themeColor="text1"/>
                <w:sz w:val="21"/>
                <w:szCs w:val="21"/>
              </w:rPr>
              <w:t>和</w:t>
            </w:r>
            <w:r w:rsidRPr="009E464F">
              <w:rPr>
                <w:rFonts w:cs="Times New Roman"/>
                <w:color w:val="000000" w:themeColor="text1"/>
                <w:sz w:val="21"/>
                <w:szCs w:val="21"/>
              </w:rPr>
              <w:t>MATES</w:t>
            </w:r>
            <w:r w:rsidRPr="009E464F">
              <w:rPr>
                <w:rFonts w:cs="Times New Roman"/>
                <w:color w:val="000000" w:themeColor="text1"/>
                <w:sz w:val="21"/>
                <w:szCs w:val="21"/>
              </w:rPr>
              <w:t>底物</w:t>
            </w:r>
            <w:proofErr w:type="spellEnd"/>
          </w:p>
        </w:tc>
      </w:tr>
      <w:tr w:rsidR="00BF22C5" w:rsidRPr="009E464F" w14:paraId="26D3EA5E"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05D2BB"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C720B80" w14:textId="77777777" w:rsidR="00BF22C5" w:rsidRPr="009E464F" w:rsidRDefault="00BF22C5">
            <w:pPr>
              <w:pStyle w:val="ad"/>
              <w:numPr>
                <w:ilvl w:val="0"/>
                <w:numId w:val="42"/>
              </w:numPr>
              <w:snapToGrid w:val="0"/>
              <w:ind w:firstLineChars="0"/>
              <w:jc w:val="left"/>
              <w:rPr>
                <w:rFonts w:eastAsia="仿宋_GB2312" w:cs="Times New Roman"/>
                <w:color w:val="000000" w:themeColor="text1"/>
                <w:szCs w:val="21"/>
              </w:rPr>
            </w:pPr>
            <w:r w:rsidRPr="009E464F">
              <w:rPr>
                <w:rFonts w:eastAsia="仿宋_GB2312" w:cs="Times New Roman"/>
                <w:color w:val="000000" w:themeColor="text1"/>
                <w:szCs w:val="21"/>
              </w:rPr>
              <w:t>甲基</w:t>
            </w:r>
            <w:r w:rsidRPr="009E464F">
              <w:rPr>
                <w:rFonts w:eastAsia="仿宋_GB2312" w:cs="Times New Roman"/>
                <w:color w:val="000000" w:themeColor="text1"/>
                <w:szCs w:val="21"/>
              </w:rPr>
              <w:t>-4-</w:t>
            </w:r>
            <w:r w:rsidRPr="009E464F">
              <w:rPr>
                <w:rFonts w:eastAsia="仿宋_GB2312" w:cs="Times New Roman"/>
                <w:color w:val="000000" w:themeColor="text1"/>
                <w:szCs w:val="21"/>
              </w:rPr>
              <w:t>苄基吡啶</w:t>
            </w:r>
          </w:p>
          <w:p w14:paraId="6E3016D9"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(1-methyl-4-phenylpyridinium(MPP+))</w:t>
            </w:r>
          </w:p>
        </w:tc>
        <w:tc>
          <w:tcPr>
            <w:tcW w:w="1841" w:type="pct"/>
            <w:tcBorders>
              <w:top w:val="outset" w:sz="6" w:space="0" w:color="auto"/>
              <w:left w:val="outset" w:sz="6" w:space="0" w:color="auto"/>
              <w:bottom w:val="outset" w:sz="6" w:space="0" w:color="auto"/>
              <w:right w:val="outset" w:sz="6" w:space="0" w:color="auto"/>
            </w:tcBorders>
          </w:tcPr>
          <w:p w14:paraId="45E96BA8"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OCTs</w:t>
            </w:r>
            <w:r w:rsidRPr="009E464F">
              <w:rPr>
                <w:rFonts w:cs="Times New Roman"/>
                <w:color w:val="000000" w:themeColor="text1"/>
                <w:sz w:val="21"/>
                <w:szCs w:val="21"/>
              </w:rPr>
              <w:t>和</w:t>
            </w:r>
            <w:r w:rsidRPr="009E464F">
              <w:rPr>
                <w:rFonts w:cs="Times New Roman"/>
                <w:color w:val="000000" w:themeColor="text1"/>
                <w:sz w:val="21"/>
                <w:szCs w:val="21"/>
              </w:rPr>
              <w:t>MATES</w:t>
            </w:r>
            <w:r w:rsidRPr="009E464F">
              <w:rPr>
                <w:rFonts w:cs="Times New Roman"/>
                <w:color w:val="000000" w:themeColor="text1"/>
                <w:sz w:val="21"/>
                <w:szCs w:val="21"/>
              </w:rPr>
              <w:t>底物</w:t>
            </w:r>
            <w:proofErr w:type="spellEnd"/>
          </w:p>
        </w:tc>
      </w:tr>
      <w:tr w:rsidR="00BF22C5" w:rsidRPr="009E464F" w14:paraId="40E136D7"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D2E5ED"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7CB7D66" w14:textId="77777777" w:rsidR="00BF22C5" w:rsidRPr="009E464F" w:rsidRDefault="00BF22C5" w:rsidP="0083505F">
            <w:pPr>
              <w:snapToGrid w:val="0"/>
              <w:spacing w:after="0" w:line="240" w:lineRule="auto"/>
              <w:ind w:firstLine="420"/>
              <w:jc w:val="left"/>
              <w:rPr>
                <w:rFonts w:cs="Times New Roman"/>
                <w:color w:val="000000" w:themeColor="text1"/>
                <w:sz w:val="21"/>
                <w:szCs w:val="21"/>
                <w:shd w:val="clear" w:color="auto" w:fill="FFFFFF"/>
              </w:rPr>
            </w:pPr>
            <w:proofErr w:type="spellStart"/>
            <w:r w:rsidRPr="009E464F">
              <w:rPr>
                <w:rFonts w:cs="Times New Roman"/>
                <w:color w:val="000000" w:themeColor="text1"/>
                <w:sz w:val="21"/>
                <w:szCs w:val="21"/>
                <w:shd w:val="clear" w:color="auto" w:fill="FFFFFF"/>
              </w:rPr>
              <w:t>四乙基氯化铵</w:t>
            </w:r>
            <w:proofErr w:type="spellEnd"/>
          </w:p>
          <w:p w14:paraId="5496BD1F"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tetraethylammonium (TEA))</w:t>
            </w:r>
          </w:p>
        </w:tc>
        <w:tc>
          <w:tcPr>
            <w:tcW w:w="1841" w:type="pct"/>
            <w:tcBorders>
              <w:top w:val="outset" w:sz="6" w:space="0" w:color="auto"/>
              <w:left w:val="outset" w:sz="6" w:space="0" w:color="auto"/>
              <w:bottom w:val="outset" w:sz="6" w:space="0" w:color="auto"/>
              <w:right w:val="outset" w:sz="6" w:space="0" w:color="auto"/>
            </w:tcBorders>
          </w:tcPr>
          <w:p w14:paraId="35E22CE6"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OCTs</w:t>
            </w:r>
            <w:r w:rsidRPr="009E464F">
              <w:rPr>
                <w:rFonts w:cs="Times New Roman"/>
                <w:color w:val="000000" w:themeColor="text1"/>
                <w:sz w:val="21"/>
                <w:szCs w:val="21"/>
              </w:rPr>
              <w:t>和</w:t>
            </w:r>
            <w:r w:rsidRPr="009E464F">
              <w:rPr>
                <w:rFonts w:cs="Times New Roman"/>
                <w:color w:val="000000" w:themeColor="text1"/>
                <w:sz w:val="21"/>
                <w:szCs w:val="21"/>
              </w:rPr>
              <w:t>MATES</w:t>
            </w:r>
            <w:r w:rsidRPr="009E464F">
              <w:rPr>
                <w:rFonts w:cs="Times New Roman"/>
                <w:color w:val="000000" w:themeColor="text1"/>
                <w:sz w:val="21"/>
                <w:szCs w:val="21"/>
              </w:rPr>
              <w:t>底物</w:t>
            </w:r>
            <w:proofErr w:type="spellEnd"/>
          </w:p>
        </w:tc>
      </w:tr>
      <w:tr w:rsidR="00BF22C5" w:rsidRPr="009E464F" w14:paraId="4A6AE716" w14:textId="77777777" w:rsidTr="008663B1">
        <w:trPr>
          <w:jc w:val="center"/>
        </w:trPr>
        <w:tc>
          <w:tcPr>
            <w:tcW w:w="855"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1B01B44B"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OCT2</w:t>
            </w: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B6E6116"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二甲双胍</w:t>
            </w:r>
            <w:proofErr w:type="spellEnd"/>
          </w:p>
        </w:tc>
        <w:tc>
          <w:tcPr>
            <w:tcW w:w="1841" w:type="pct"/>
            <w:tcBorders>
              <w:top w:val="outset" w:sz="6" w:space="0" w:color="auto"/>
              <w:left w:val="outset" w:sz="6" w:space="0" w:color="auto"/>
              <w:bottom w:val="outset" w:sz="6" w:space="0" w:color="auto"/>
              <w:right w:val="outset" w:sz="6" w:space="0" w:color="auto"/>
            </w:tcBorders>
          </w:tcPr>
          <w:p w14:paraId="448F598A"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OCTs</w:t>
            </w:r>
            <w:r w:rsidRPr="009E464F">
              <w:rPr>
                <w:rFonts w:cs="Times New Roman"/>
                <w:color w:val="000000" w:themeColor="text1"/>
                <w:sz w:val="21"/>
                <w:szCs w:val="21"/>
              </w:rPr>
              <w:t>和</w:t>
            </w:r>
            <w:r w:rsidRPr="009E464F">
              <w:rPr>
                <w:rFonts w:cs="Times New Roman"/>
                <w:color w:val="000000" w:themeColor="text1"/>
                <w:sz w:val="21"/>
                <w:szCs w:val="21"/>
              </w:rPr>
              <w:t>MATES</w:t>
            </w:r>
            <w:r w:rsidRPr="009E464F">
              <w:rPr>
                <w:rFonts w:cs="Times New Roman"/>
                <w:color w:val="000000" w:themeColor="text1"/>
                <w:sz w:val="21"/>
                <w:szCs w:val="21"/>
              </w:rPr>
              <w:t>底物</w:t>
            </w:r>
            <w:proofErr w:type="spellEnd"/>
          </w:p>
        </w:tc>
      </w:tr>
      <w:tr w:rsidR="00BF22C5" w:rsidRPr="009E464F" w14:paraId="52EC8ECA"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301CAD"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AC8B89F"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1-</w:t>
            </w:r>
            <w:r w:rsidRPr="009E464F">
              <w:rPr>
                <w:rFonts w:cs="Times New Roman"/>
                <w:color w:val="000000" w:themeColor="text1"/>
                <w:sz w:val="21"/>
                <w:szCs w:val="21"/>
              </w:rPr>
              <w:t>甲基</w:t>
            </w:r>
            <w:r w:rsidRPr="009E464F">
              <w:rPr>
                <w:rFonts w:cs="Times New Roman"/>
                <w:color w:val="000000" w:themeColor="text1"/>
                <w:sz w:val="21"/>
                <w:szCs w:val="21"/>
              </w:rPr>
              <w:t>-4-</w:t>
            </w:r>
            <w:r w:rsidRPr="009E464F">
              <w:rPr>
                <w:rFonts w:cs="Times New Roman"/>
                <w:color w:val="000000" w:themeColor="text1"/>
                <w:sz w:val="21"/>
                <w:szCs w:val="21"/>
              </w:rPr>
              <w:t>苄基吡啶</w:t>
            </w:r>
          </w:p>
        </w:tc>
        <w:tc>
          <w:tcPr>
            <w:tcW w:w="1841" w:type="pct"/>
            <w:tcBorders>
              <w:top w:val="outset" w:sz="6" w:space="0" w:color="auto"/>
              <w:left w:val="outset" w:sz="6" w:space="0" w:color="auto"/>
              <w:bottom w:val="outset" w:sz="6" w:space="0" w:color="auto"/>
              <w:right w:val="outset" w:sz="6" w:space="0" w:color="auto"/>
            </w:tcBorders>
          </w:tcPr>
          <w:p w14:paraId="515F5FD7"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OCTs</w:t>
            </w:r>
            <w:r w:rsidRPr="009E464F">
              <w:rPr>
                <w:rFonts w:cs="Times New Roman"/>
                <w:color w:val="000000" w:themeColor="text1"/>
                <w:sz w:val="21"/>
                <w:szCs w:val="21"/>
              </w:rPr>
              <w:t>和</w:t>
            </w:r>
            <w:r w:rsidRPr="009E464F">
              <w:rPr>
                <w:rFonts w:cs="Times New Roman"/>
                <w:color w:val="000000" w:themeColor="text1"/>
                <w:sz w:val="21"/>
                <w:szCs w:val="21"/>
              </w:rPr>
              <w:t>MATES</w:t>
            </w:r>
            <w:r w:rsidRPr="009E464F">
              <w:rPr>
                <w:rFonts w:cs="Times New Roman"/>
                <w:color w:val="000000" w:themeColor="text1"/>
                <w:sz w:val="21"/>
                <w:szCs w:val="21"/>
              </w:rPr>
              <w:t>底物</w:t>
            </w:r>
            <w:proofErr w:type="spellEnd"/>
          </w:p>
        </w:tc>
      </w:tr>
      <w:tr w:rsidR="00BF22C5" w:rsidRPr="009E464F" w14:paraId="59119103" w14:textId="77777777" w:rsidTr="008663B1">
        <w:trPr>
          <w:jc w:val="center"/>
        </w:trPr>
        <w:tc>
          <w:tcPr>
            <w:tcW w:w="855"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2EC82D"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
        </w:tc>
        <w:tc>
          <w:tcPr>
            <w:tcW w:w="230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5C25CAA"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四乙基氯化铵</w:t>
            </w:r>
            <w:proofErr w:type="spellEnd"/>
          </w:p>
        </w:tc>
        <w:tc>
          <w:tcPr>
            <w:tcW w:w="1841" w:type="pct"/>
            <w:tcBorders>
              <w:top w:val="outset" w:sz="6" w:space="0" w:color="auto"/>
              <w:left w:val="outset" w:sz="6" w:space="0" w:color="auto"/>
              <w:bottom w:val="outset" w:sz="6" w:space="0" w:color="auto"/>
              <w:right w:val="outset" w:sz="6" w:space="0" w:color="auto"/>
            </w:tcBorders>
          </w:tcPr>
          <w:p w14:paraId="5C6991F7" w14:textId="77777777" w:rsidR="00BF22C5" w:rsidRPr="009E464F" w:rsidRDefault="00BF22C5" w:rsidP="0083505F">
            <w:pPr>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OCTs</w:t>
            </w:r>
            <w:r w:rsidRPr="009E464F">
              <w:rPr>
                <w:rFonts w:cs="Times New Roman"/>
                <w:color w:val="000000" w:themeColor="text1"/>
                <w:sz w:val="21"/>
                <w:szCs w:val="21"/>
              </w:rPr>
              <w:t>和</w:t>
            </w:r>
            <w:r w:rsidRPr="009E464F">
              <w:rPr>
                <w:rFonts w:cs="Times New Roman"/>
                <w:color w:val="000000" w:themeColor="text1"/>
                <w:sz w:val="21"/>
                <w:szCs w:val="21"/>
              </w:rPr>
              <w:t>MATES</w:t>
            </w:r>
            <w:r w:rsidRPr="009E464F">
              <w:rPr>
                <w:rFonts w:cs="Times New Roman"/>
                <w:color w:val="000000" w:themeColor="text1"/>
                <w:sz w:val="21"/>
                <w:szCs w:val="21"/>
              </w:rPr>
              <w:t>底物</w:t>
            </w:r>
            <w:proofErr w:type="spellEnd"/>
          </w:p>
        </w:tc>
      </w:tr>
    </w:tbl>
    <w:p w14:paraId="11F50998" w14:textId="4A823534" w:rsidR="00AC4346" w:rsidRDefault="00AC4346">
      <w:pPr>
        <w:spacing w:line="240" w:lineRule="auto"/>
        <w:ind w:firstLine="420"/>
        <w:jc w:val="left"/>
        <w:rPr>
          <w:rFonts w:cs="Times New Roman"/>
          <w:color w:val="000000" w:themeColor="text1"/>
          <w:sz w:val="21"/>
          <w:szCs w:val="21"/>
        </w:rPr>
      </w:pPr>
    </w:p>
    <w:p w14:paraId="003FD7DF" w14:textId="77777777" w:rsidR="00AC4346" w:rsidRDefault="00AC4346">
      <w:pPr>
        <w:spacing w:line="259" w:lineRule="auto"/>
        <w:ind w:firstLineChars="0" w:firstLine="0"/>
        <w:jc w:val="left"/>
        <w:rPr>
          <w:rFonts w:cs="Times New Roman"/>
          <w:color w:val="000000" w:themeColor="text1"/>
          <w:sz w:val="21"/>
          <w:szCs w:val="21"/>
        </w:rPr>
      </w:pPr>
      <w:r>
        <w:rPr>
          <w:rFonts w:cs="Times New Roman"/>
          <w:color w:val="000000" w:themeColor="text1"/>
          <w:sz w:val="21"/>
          <w:szCs w:val="21"/>
        </w:rPr>
        <w:br w:type="page"/>
      </w:r>
    </w:p>
    <w:p w14:paraId="3E79320F" w14:textId="77777777" w:rsidR="00BF22C5" w:rsidRPr="009E464F" w:rsidRDefault="00BF22C5">
      <w:pPr>
        <w:spacing w:line="240" w:lineRule="auto"/>
        <w:ind w:firstLine="420"/>
        <w:jc w:val="left"/>
        <w:rPr>
          <w:rFonts w:cs="Times New Roman"/>
          <w:color w:val="000000" w:themeColor="text1"/>
          <w:sz w:val="21"/>
          <w:szCs w:val="21"/>
        </w:rPr>
      </w:pPr>
    </w:p>
    <w:p w14:paraId="71BFF1E3" w14:textId="70457B50" w:rsidR="00BF22C5" w:rsidRPr="009E464F" w:rsidRDefault="00BF22C5" w:rsidP="00671896">
      <w:pPr>
        <w:spacing w:line="240" w:lineRule="auto"/>
        <w:ind w:firstLineChars="0" w:firstLine="0"/>
        <w:jc w:val="center"/>
        <w:rPr>
          <w:rFonts w:cs="Times New Roman"/>
          <w:color w:val="000000" w:themeColor="text1"/>
          <w:sz w:val="21"/>
          <w:szCs w:val="21"/>
          <w:lang w:eastAsia="zh-CN"/>
        </w:rPr>
      </w:pPr>
      <w:r w:rsidRPr="0083505F">
        <w:rPr>
          <w:rFonts w:cs="Times New Roman" w:hint="eastAsia"/>
          <w:color w:val="000000" w:themeColor="text1"/>
          <w:sz w:val="24"/>
          <w:szCs w:val="24"/>
          <w:lang w:eastAsia="zh-CN"/>
        </w:rPr>
        <w:t>表</w:t>
      </w:r>
      <w:r w:rsidRPr="0083505F">
        <w:rPr>
          <w:rFonts w:cs="Times New Roman"/>
          <w:color w:val="000000" w:themeColor="text1"/>
          <w:sz w:val="24"/>
          <w:szCs w:val="24"/>
          <w:lang w:eastAsia="zh-CN"/>
        </w:rPr>
        <w:t xml:space="preserve"> </w:t>
      </w:r>
      <w:r w:rsidR="00710C84">
        <w:rPr>
          <w:rFonts w:cs="Times New Roman"/>
          <w:color w:val="000000" w:themeColor="text1"/>
          <w:sz w:val="24"/>
          <w:szCs w:val="24"/>
          <w:lang w:eastAsia="zh-CN"/>
        </w:rPr>
        <w:t xml:space="preserve">9  </w:t>
      </w:r>
      <w:r w:rsidRPr="0083505F">
        <w:rPr>
          <w:rFonts w:cs="Times New Roman" w:hint="eastAsia"/>
          <w:color w:val="000000" w:themeColor="text1"/>
          <w:sz w:val="24"/>
          <w:szCs w:val="24"/>
          <w:lang w:eastAsia="zh-CN"/>
        </w:rPr>
        <w:t>体外试验可选择的转运体抑制剂</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1"/>
        <w:gridCol w:w="4100"/>
        <w:gridCol w:w="3343"/>
      </w:tblGrid>
      <w:tr w:rsidR="00BF22C5" w:rsidRPr="009E464F" w14:paraId="390CADB2" w14:textId="77777777" w:rsidTr="008663B1">
        <w:trPr>
          <w:jc w:val="center"/>
        </w:trPr>
        <w:tc>
          <w:tcPr>
            <w:tcW w:w="1017"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BAF87A0" w14:textId="77777777" w:rsidR="00BF22C5" w:rsidRPr="009E464F" w:rsidRDefault="00BF22C5" w:rsidP="0083505F">
            <w:pPr>
              <w:adjustRightInd w:val="0"/>
              <w:snapToGrid w:val="0"/>
              <w:spacing w:after="0" w:line="240" w:lineRule="auto"/>
              <w:ind w:firstLine="420"/>
              <w:jc w:val="center"/>
              <w:rPr>
                <w:rFonts w:cs="Times New Roman"/>
                <w:color w:val="000000" w:themeColor="text1"/>
                <w:sz w:val="21"/>
                <w:szCs w:val="21"/>
              </w:rPr>
            </w:pPr>
            <w:proofErr w:type="spellStart"/>
            <w:r w:rsidRPr="009E464F">
              <w:rPr>
                <w:rFonts w:cs="Times New Roman"/>
                <w:color w:val="000000" w:themeColor="text1"/>
                <w:sz w:val="21"/>
                <w:szCs w:val="21"/>
              </w:rPr>
              <w:t>转运体</w:t>
            </w:r>
            <w:proofErr w:type="spellEnd"/>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7F2FBBD" w14:textId="77777777" w:rsidR="00BF22C5" w:rsidRPr="009E464F" w:rsidRDefault="00BF22C5" w:rsidP="0083505F">
            <w:pPr>
              <w:adjustRightInd w:val="0"/>
              <w:snapToGrid w:val="0"/>
              <w:spacing w:after="0" w:line="240" w:lineRule="auto"/>
              <w:ind w:firstLine="420"/>
              <w:jc w:val="center"/>
              <w:rPr>
                <w:rFonts w:cs="Times New Roman"/>
                <w:color w:val="000000" w:themeColor="text1"/>
                <w:sz w:val="21"/>
                <w:szCs w:val="21"/>
              </w:rPr>
            </w:pPr>
            <w:proofErr w:type="spellStart"/>
            <w:r w:rsidRPr="009E464F">
              <w:rPr>
                <w:rFonts w:cs="Times New Roman"/>
                <w:color w:val="000000" w:themeColor="text1"/>
                <w:sz w:val="21"/>
                <w:szCs w:val="21"/>
              </w:rPr>
              <w:t>抑制剂</w:t>
            </w:r>
            <w:proofErr w:type="spellEnd"/>
          </w:p>
        </w:tc>
        <w:tc>
          <w:tcPr>
            <w:tcW w:w="1789" w:type="pct"/>
            <w:tcBorders>
              <w:top w:val="outset" w:sz="6" w:space="0" w:color="auto"/>
              <w:left w:val="outset" w:sz="6" w:space="0" w:color="auto"/>
              <w:bottom w:val="outset" w:sz="6" w:space="0" w:color="auto"/>
              <w:right w:val="outset" w:sz="6" w:space="0" w:color="auto"/>
            </w:tcBorders>
          </w:tcPr>
          <w:p w14:paraId="4FB049D1" w14:textId="77777777" w:rsidR="00BF22C5" w:rsidRPr="009E464F" w:rsidRDefault="00BF22C5" w:rsidP="0083505F">
            <w:pPr>
              <w:adjustRightInd w:val="0"/>
              <w:snapToGrid w:val="0"/>
              <w:spacing w:after="0" w:line="240" w:lineRule="auto"/>
              <w:ind w:firstLine="420"/>
              <w:jc w:val="center"/>
              <w:rPr>
                <w:rFonts w:cs="Times New Roman"/>
                <w:color w:val="000000" w:themeColor="text1"/>
                <w:sz w:val="21"/>
                <w:szCs w:val="21"/>
              </w:rPr>
            </w:pPr>
            <w:proofErr w:type="spellStart"/>
            <w:r w:rsidRPr="009E464F">
              <w:rPr>
                <w:rFonts w:cs="Times New Roman"/>
                <w:color w:val="000000" w:themeColor="text1"/>
                <w:sz w:val="21"/>
                <w:szCs w:val="21"/>
              </w:rPr>
              <w:t>备注</w:t>
            </w:r>
            <w:proofErr w:type="spellEnd"/>
          </w:p>
        </w:tc>
      </w:tr>
      <w:tr w:rsidR="00BF22C5" w:rsidRPr="009E464F" w14:paraId="198CFC96" w14:textId="77777777" w:rsidTr="008663B1">
        <w:trPr>
          <w:jc w:val="center"/>
        </w:trPr>
        <w:tc>
          <w:tcPr>
            <w:tcW w:w="1017"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3670462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P-</w:t>
            </w:r>
            <w:proofErr w:type="spellStart"/>
            <w:r w:rsidRPr="009E464F">
              <w:rPr>
                <w:rFonts w:cs="Times New Roman"/>
                <w:color w:val="000000" w:themeColor="text1"/>
                <w:sz w:val="21"/>
                <w:szCs w:val="21"/>
              </w:rPr>
              <w:t>gp</w:t>
            </w:r>
            <w:proofErr w:type="spellEnd"/>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C41154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环孢素</w:t>
            </w:r>
            <w:proofErr w:type="spellEnd"/>
            <w:r w:rsidRPr="009E464F">
              <w:rPr>
                <w:rFonts w:cs="Times New Roman"/>
                <w:color w:val="000000" w:themeColor="text1"/>
                <w:sz w:val="21"/>
                <w:szCs w:val="21"/>
              </w:rPr>
              <w:t xml:space="preserve"> A (cyclosporine A)</w:t>
            </w:r>
          </w:p>
        </w:tc>
        <w:tc>
          <w:tcPr>
            <w:tcW w:w="1789" w:type="pct"/>
            <w:tcBorders>
              <w:top w:val="outset" w:sz="6" w:space="0" w:color="auto"/>
              <w:left w:val="outset" w:sz="6" w:space="0" w:color="auto"/>
              <w:bottom w:val="outset" w:sz="6" w:space="0" w:color="auto"/>
              <w:right w:val="outset" w:sz="6" w:space="0" w:color="auto"/>
            </w:tcBorders>
          </w:tcPr>
          <w:p w14:paraId="37D8F71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 xml:space="preserve">MRP2, BCRP, NTCP </w:t>
            </w:r>
            <w:r w:rsidRPr="009E464F">
              <w:rPr>
                <w:rFonts w:cs="Times New Roman"/>
                <w:color w:val="000000" w:themeColor="text1"/>
                <w:sz w:val="21"/>
                <w:szCs w:val="21"/>
              </w:rPr>
              <w:t>和</w:t>
            </w:r>
            <w:r w:rsidRPr="009E464F">
              <w:rPr>
                <w:rFonts w:cs="Times New Roman"/>
                <w:color w:val="000000" w:themeColor="text1"/>
                <w:sz w:val="21"/>
                <w:szCs w:val="21"/>
              </w:rPr>
              <w:t xml:space="preserve"> </w:t>
            </w:r>
            <w:proofErr w:type="spellStart"/>
            <w:r w:rsidRPr="009E464F">
              <w:rPr>
                <w:rFonts w:cs="Times New Roman"/>
                <w:color w:val="000000" w:themeColor="text1"/>
                <w:sz w:val="21"/>
                <w:szCs w:val="21"/>
              </w:rPr>
              <w:t>OATPs</w:t>
            </w:r>
            <w:r w:rsidRPr="009E464F">
              <w:rPr>
                <w:rFonts w:cs="Times New Roman"/>
                <w:color w:val="000000" w:themeColor="text1"/>
                <w:sz w:val="21"/>
                <w:szCs w:val="21"/>
              </w:rPr>
              <w:t>抑制剂</w:t>
            </w:r>
            <w:proofErr w:type="spellEnd"/>
          </w:p>
        </w:tc>
      </w:tr>
      <w:tr w:rsidR="00BF22C5" w:rsidRPr="009E464F" w14:paraId="4D6E81FA"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C2D34B"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D30C50D"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依克立达</w:t>
            </w:r>
            <w:proofErr w:type="spell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elacridar,GF120918)</w:t>
            </w:r>
          </w:p>
        </w:tc>
        <w:tc>
          <w:tcPr>
            <w:tcW w:w="1789" w:type="pct"/>
            <w:tcBorders>
              <w:top w:val="outset" w:sz="6" w:space="0" w:color="auto"/>
              <w:left w:val="outset" w:sz="6" w:space="0" w:color="auto"/>
              <w:bottom w:val="outset" w:sz="6" w:space="0" w:color="auto"/>
              <w:right w:val="outset" w:sz="6" w:space="0" w:color="auto"/>
            </w:tcBorders>
          </w:tcPr>
          <w:p w14:paraId="330477A3"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也是</w:t>
            </w:r>
            <w:r w:rsidRPr="009E464F">
              <w:rPr>
                <w:rFonts w:cs="Times New Roman"/>
                <w:color w:val="000000" w:themeColor="text1"/>
                <w:sz w:val="21"/>
                <w:szCs w:val="21"/>
              </w:rPr>
              <w:t>BCRP</w:t>
            </w:r>
            <w:r w:rsidRPr="009E464F">
              <w:rPr>
                <w:rFonts w:cs="Times New Roman"/>
                <w:color w:val="000000" w:themeColor="text1"/>
                <w:sz w:val="21"/>
                <w:szCs w:val="21"/>
              </w:rPr>
              <w:t>抑制剂</w:t>
            </w:r>
            <w:proofErr w:type="spellEnd"/>
          </w:p>
        </w:tc>
      </w:tr>
      <w:tr w:rsidR="00BF22C5" w:rsidRPr="009E464F" w14:paraId="5FFF46C2"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7D44E4"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7C895FA"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酮康唑</w:t>
            </w:r>
            <w:proofErr w:type="spellEnd"/>
            <w:r w:rsidRPr="009E464F">
              <w:rPr>
                <w:rFonts w:cs="Times New Roman"/>
                <w:color w:val="000000" w:themeColor="text1"/>
                <w:sz w:val="21"/>
                <w:szCs w:val="21"/>
              </w:rPr>
              <w:t>(ketoconazole(c)</w:t>
            </w:r>
          </w:p>
        </w:tc>
        <w:tc>
          <w:tcPr>
            <w:tcW w:w="1789" w:type="pct"/>
            <w:tcBorders>
              <w:top w:val="outset" w:sz="6" w:space="0" w:color="auto"/>
              <w:left w:val="outset" w:sz="6" w:space="0" w:color="auto"/>
              <w:bottom w:val="outset" w:sz="6" w:space="0" w:color="auto"/>
              <w:right w:val="outset" w:sz="6" w:space="0" w:color="auto"/>
            </w:tcBorders>
          </w:tcPr>
          <w:p w14:paraId="052E65AD"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也是</w:t>
            </w:r>
            <w:r w:rsidRPr="009E464F">
              <w:rPr>
                <w:rFonts w:cs="Times New Roman"/>
                <w:color w:val="000000" w:themeColor="text1"/>
                <w:sz w:val="21"/>
                <w:szCs w:val="21"/>
              </w:rPr>
              <w:t>NTCP</w:t>
            </w:r>
            <w:r w:rsidRPr="009E464F">
              <w:rPr>
                <w:rFonts w:cs="Times New Roman"/>
                <w:color w:val="000000" w:themeColor="text1"/>
                <w:sz w:val="21"/>
                <w:szCs w:val="21"/>
              </w:rPr>
              <w:t>抑制剂</w:t>
            </w:r>
            <w:proofErr w:type="spellEnd"/>
          </w:p>
        </w:tc>
      </w:tr>
      <w:tr w:rsidR="00BF22C5" w:rsidRPr="009E464F" w14:paraId="2EC7796F"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4A610F"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37A5B75"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奎尼丁</w:t>
            </w:r>
            <w:proofErr w:type="spellEnd"/>
            <w:r w:rsidRPr="009E464F">
              <w:rPr>
                <w:rFonts w:cs="Times New Roman"/>
                <w:color w:val="000000" w:themeColor="text1"/>
                <w:sz w:val="21"/>
                <w:szCs w:val="21"/>
              </w:rPr>
              <w:t>(quinidine)</w:t>
            </w:r>
          </w:p>
        </w:tc>
        <w:tc>
          <w:tcPr>
            <w:tcW w:w="1789" w:type="pct"/>
            <w:tcBorders>
              <w:top w:val="outset" w:sz="6" w:space="0" w:color="auto"/>
              <w:left w:val="outset" w:sz="6" w:space="0" w:color="auto"/>
              <w:bottom w:val="outset" w:sz="6" w:space="0" w:color="auto"/>
              <w:right w:val="outset" w:sz="6" w:space="0" w:color="auto"/>
            </w:tcBorders>
          </w:tcPr>
          <w:p w14:paraId="48137DA2"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也是</w:t>
            </w:r>
            <w:r w:rsidRPr="009E464F">
              <w:rPr>
                <w:rFonts w:cs="Times New Roman"/>
                <w:color w:val="000000" w:themeColor="text1"/>
                <w:sz w:val="21"/>
                <w:szCs w:val="21"/>
              </w:rPr>
              <w:t>OCTs</w:t>
            </w:r>
            <w:r w:rsidRPr="009E464F">
              <w:rPr>
                <w:rFonts w:cs="Times New Roman"/>
                <w:color w:val="000000" w:themeColor="text1"/>
                <w:sz w:val="21"/>
                <w:szCs w:val="21"/>
              </w:rPr>
              <w:t>抑制剂</w:t>
            </w:r>
            <w:proofErr w:type="spellEnd"/>
          </w:p>
        </w:tc>
      </w:tr>
      <w:tr w:rsidR="00BF22C5" w:rsidRPr="009E464F" w14:paraId="21EB6022"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8A590A"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7869393"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利血平</w:t>
            </w:r>
            <w:proofErr w:type="spellEnd"/>
            <w:r w:rsidRPr="009E464F">
              <w:rPr>
                <w:rFonts w:cs="Times New Roman"/>
                <w:color w:val="000000" w:themeColor="text1"/>
                <w:sz w:val="21"/>
                <w:szCs w:val="21"/>
              </w:rPr>
              <w:t>(reserpine)</w:t>
            </w:r>
          </w:p>
        </w:tc>
        <w:tc>
          <w:tcPr>
            <w:tcW w:w="1789" w:type="pct"/>
            <w:tcBorders>
              <w:top w:val="outset" w:sz="6" w:space="0" w:color="auto"/>
              <w:left w:val="outset" w:sz="6" w:space="0" w:color="auto"/>
              <w:bottom w:val="outset" w:sz="6" w:space="0" w:color="auto"/>
              <w:right w:val="outset" w:sz="6" w:space="0" w:color="auto"/>
            </w:tcBorders>
          </w:tcPr>
          <w:p w14:paraId="20D8380F"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MRP2</w:t>
            </w:r>
            <w:r w:rsidRPr="009E464F">
              <w:rPr>
                <w:rFonts w:cs="Times New Roman"/>
                <w:color w:val="000000" w:themeColor="text1"/>
                <w:sz w:val="21"/>
                <w:szCs w:val="21"/>
              </w:rPr>
              <w:t>抑制剂</w:t>
            </w:r>
            <w:r w:rsidRPr="009E464F">
              <w:rPr>
                <w:rFonts w:cs="Times New Roman"/>
                <w:color w:val="000000" w:themeColor="text1"/>
                <w:sz w:val="21"/>
                <w:szCs w:val="21"/>
              </w:rPr>
              <w:t xml:space="preserve"> </w:t>
            </w:r>
          </w:p>
        </w:tc>
      </w:tr>
      <w:tr w:rsidR="00BF22C5" w:rsidRPr="009E464F" w14:paraId="5C7FEA9C"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D3B32B"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D8D6904"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利托那韦</w:t>
            </w:r>
            <w:proofErr w:type="spell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ritonavir)</w:t>
            </w:r>
          </w:p>
        </w:tc>
        <w:tc>
          <w:tcPr>
            <w:tcW w:w="1789" w:type="pct"/>
            <w:tcBorders>
              <w:top w:val="outset" w:sz="6" w:space="0" w:color="auto"/>
              <w:left w:val="outset" w:sz="6" w:space="0" w:color="auto"/>
              <w:bottom w:val="outset" w:sz="6" w:space="0" w:color="auto"/>
              <w:right w:val="outset" w:sz="6" w:space="0" w:color="auto"/>
            </w:tcBorders>
          </w:tcPr>
          <w:p w14:paraId="5502839C"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也是</w:t>
            </w:r>
            <w:r w:rsidRPr="009E464F">
              <w:rPr>
                <w:rFonts w:cs="Times New Roman"/>
                <w:color w:val="000000" w:themeColor="text1"/>
                <w:sz w:val="21"/>
                <w:szCs w:val="21"/>
              </w:rPr>
              <w:t>OATPs</w:t>
            </w:r>
            <w:r w:rsidRPr="009E464F">
              <w:rPr>
                <w:rFonts w:cs="Times New Roman"/>
                <w:color w:val="000000" w:themeColor="text1"/>
                <w:sz w:val="21"/>
                <w:szCs w:val="21"/>
              </w:rPr>
              <w:t>抑制剂</w:t>
            </w:r>
            <w:proofErr w:type="spellEnd"/>
          </w:p>
        </w:tc>
      </w:tr>
      <w:tr w:rsidR="00BF22C5" w:rsidRPr="009E464F" w14:paraId="7853E443"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5854F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1BF551B"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他克莫司</w:t>
            </w:r>
            <w:proofErr w:type="spellEnd"/>
            <w:r w:rsidRPr="009E464F">
              <w:rPr>
                <w:rFonts w:cs="Times New Roman"/>
                <w:color w:val="000000" w:themeColor="text1"/>
                <w:sz w:val="21"/>
                <w:szCs w:val="21"/>
              </w:rPr>
              <w:t>(tacrolimus)</w:t>
            </w:r>
          </w:p>
        </w:tc>
        <w:tc>
          <w:tcPr>
            <w:tcW w:w="1789" w:type="pct"/>
            <w:tcBorders>
              <w:top w:val="outset" w:sz="6" w:space="0" w:color="auto"/>
              <w:left w:val="outset" w:sz="6" w:space="0" w:color="auto"/>
              <w:bottom w:val="outset" w:sz="6" w:space="0" w:color="auto"/>
              <w:right w:val="outset" w:sz="6" w:space="0" w:color="auto"/>
            </w:tcBorders>
          </w:tcPr>
          <w:p w14:paraId="24309F16"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也是</w:t>
            </w:r>
            <w:r w:rsidRPr="009E464F">
              <w:rPr>
                <w:rFonts w:cs="Times New Roman"/>
                <w:color w:val="000000" w:themeColor="text1"/>
                <w:sz w:val="21"/>
                <w:szCs w:val="21"/>
              </w:rPr>
              <w:t>OATPs</w:t>
            </w:r>
            <w:r w:rsidRPr="009E464F">
              <w:rPr>
                <w:rFonts w:cs="Times New Roman"/>
                <w:color w:val="000000" w:themeColor="text1"/>
                <w:sz w:val="21"/>
                <w:szCs w:val="21"/>
              </w:rPr>
              <w:t>抑制剂</w:t>
            </w:r>
            <w:proofErr w:type="spellEnd"/>
          </w:p>
        </w:tc>
      </w:tr>
      <w:tr w:rsidR="00BF22C5" w:rsidRPr="009E464F" w14:paraId="7CD3F454"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68C3F1"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F31DA14"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伐司扑达（</w:t>
            </w:r>
            <w:r w:rsidRPr="009E464F">
              <w:rPr>
                <w:rFonts w:cs="Times New Roman"/>
                <w:color w:val="000000" w:themeColor="text1"/>
                <w:sz w:val="21"/>
                <w:szCs w:val="21"/>
              </w:rPr>
              <w:t>valspodar</w:t>
            </w:r>
            <w:r w:rsidRPr="009E464F">
              <w:rPr>
                <w:rFonts w:cs="Times New Roman"/>
                <w:color w:val="000000" w:themeColor="text1"/>
                <w:sz w:val="21"/>
                <w:szCs w:val="21"/>
              </w:rPr>
              <w:t>，</w:t>
            </w:r>
            <w:r w:rsidRPr="009E464F">
              <w:rPr>
                <w:rFonts w:cs="Times New Roman"/>
                <w:color w:val="000000" w:themeColor="text1"/>
                <w:sz w:val="21"/>
                <w:szCs w:val="21"/>
              </w:rPr>
              <w:t>PSC833)</w:t>
            </w:r>
          </w:p>
        </w:tc>
        <w:tc>
          <w:tcPr>
            <w:tcW w:w="1789" w:type="pct"/>
            <w:tcBorders>
              <w:top w:val="outset" w:sz="6" w:space="0" w:color="auto"/>
              <w:left w:val="outset" w:sz="6" w:space="0" w:color="auto"/>
              <w:bottom w:val="outset" w:sz="6" w:space="0" w:color="auto"/>
              <w:right w:val="outset" w:sz="6" w:space="0" w:color="auto"/>
            </w:tcBorders>
          </w:tcPr>
          <w:p w14:paraId="16880FD4"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MRP2</w:t>
            </w:r>
            <w:r w:rsidRPr="009E464F">
              <w:rPr>
                <w:rFonts w:cs="Times New Roman"/>
                <w:color w:val="000000" w:themeColor="text1"/>
                <w:sz w:val="21"/>
                <w:szCs w:val="21"/>
              </w:rPr>
              <w:t>抑制剂</w:t>
            </w:r>
          </w:p>
        </w:tc>
      </w:tr>
      <w:tr w:rsidR="00BF22C5" w:rsidRPr="009E464F" w14:paraId="59FA881B"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51432F"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A8B47E7"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维拉帕米</w:t>
            </w:r>
            <w:proofErr w:type="spellEnd"/>
            <w:r w:rsidRPr="009E464F">
              <w:rPr>
                <w:rFonts w:cs="Times New Roman"/>
                <w:color w:val="000000" w:themeColor="text1"/>
                <w:sz w:val="21"/>
                <w:szCs w:val="21"/>
              </w:rPr>
              <w:t xml:space="preserve">(verapamil) </w:t>
            </w:r>
          </w:p>
        </w:tc>
        <w:tc>
          <w:tcPr>
            <w:tcW w:w="1789" w:type="pct"/>
            <w:tcBorders>
              <w:top w:val="outset" w:sz="6" w:space="0" w:color="auto"/>
              <w:left w:val="outset" w:sz="6" w:space="0" w:color="auto"/>
              <w:bottom w:val="outset" w:sz="6" w:space="0" w:color="auto"/>
              <w:right w:val="outset" w:sz="6" w:space="0" w:color="auto"/>
            </w:tcBorders>
          </w:tcPr>
          <w:p w14:paraId="5C523CFC"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也是</w:t>
            </w:r>
            <w:r w:rsidRPr="009E464F">
              <w:rPr>
                <w:rFonts w:cs="Times New Roman"/>
                <w:color w:val="000000" w:themeColor="text1"/>
                <w:sz w:val="21"/>
                <w:szCs w:val="21"/>
              </w:rPr>
              <w:t>OCTs</w:t>
            </w:r>
            <w:r w:rsidRPr="009E464F">
              <w:rPr>
                <w:rFonts w:cs="Times New Roman"/>
                <w:color w:val="000000" w:themeColor="text1"/>
                <w:sz w:val="21"/>
                <w:szCs w:val="21"/>
              </w:rPr>
              <w:t>抑制剂</w:t>
            </w:r>
            <w:proofErr w:type="spellEnd"/>
          </w:p>
        </w:tc>
      </w:tr>
      <w:tr w:rsidR="00BF22C5" w:rsidRPr="009E464F" w14:paraId="19A6FAAF"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44579C"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7E1F9C8"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唑喹达</w:t>
            </w:r>
            <w:proofErr w:type="spellEnd"/>
            <w:r w:rsidRPr="009E464F">
              <w:rPr>
                <w:rFonts w:cs="Times New Roman"/>
                <w:color w:val="000000" w:themeColor="text1"/>
                <w:sz w:val="21"/>
                <w:szCs w:val="21"/>
              </w:rPr>
              <w:t>(</w:t>
            </w:r>
            <w:proofErr w:type="spellStart"/>
            <w:r w:rsidRPr="009E464F">
              <w:rPr>
                <w:rFonts w:cs="Times New Roman"/>
                <w:color w:val="000000" w:themeColor="text1"/>
                <w:sz w:val="21"/>
                <w:szCs w:val="21"/>
              </w:rPr>
              <w:t>zosuquidar</w:t>
            </w:r>
            <w:proofErr w:type="spellEnd"/>
            <w:r w:rsidRPr="009E464F">
              <w:rPr>
                <w:rFonts w:cs="Times New Roman"/>
                <w:color w:val="000000" w:themeColor="text1"/>
                <w:sz w:val="21"/>
                <w:szCs w:val="21"/>
              </w:rPr>
              <w:t xml:space="preserve"> (LY 335979))</w:t>
            </w:r>
          </w:p>
        </w:tc>
        <w:tc>
          <w:tcPr>
            <w:tcW w:w="1789" w:type="pct"/>
            <w:tcBorders>
              <w:top w:val="outset" w:sz="6" w:space="0" w:color="auto"/>
              <w:left w:val="outset" w:sz="6" w:space="0" w:color="auto"/>
              <w:bottom w:val="outset" w:sz="6" w:space="0" w:color="auto"/>
              <w:right w:val="outset" w:sz="6" w:space="0" w:color="auto"/>
            </w:tcBorders>
          </w:tcPr>
          <w:p w14:paraId="033815BF"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797CDC22" w14:textId="77777777" w:rsidTr="008663B1">
        <w:trPr>
          <w:jc w:val="center"/>
        </w:trPr>
        <w:tc>
          <w:tcPr>
            <w:tcW w:w="1017"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35EBCB31"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BCRP</w:t>
            </w: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1DEE973"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依克立达</w:t>
            </w:r>
            <w:proofErr w:type="spell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elacridar,GF120918)</w:t>
            </w:r>
          </w:p>
        </w:tc>
        <w:tc>
          <w:tcPr>
            <w:tcW w:w="1789" w:type="pct"/>
            <w:tcBorders>
              <w:top w:val="outset" w:sz="6" w:space="0" w:color="auto"/>
              <w:left w:val="outset" w:sz="6" w:space="0" w:color="auto"/>
              <w:bottom w:val="outset" w:sz="6" w:space="0" w:color="auto"/>
              <w:right w:val="outset" w:sz="6" w:space="0" w:color="auto"/>
            </w:tcBorders>
          </w:tcPr>
          <w:p w14:paraId="4FAEA1AA"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也是</w:t>
            </w:r>
            <w:r w:rsidRPr="009E464F">
              <w:rPr>
                <w:rFonts w:cs="Times New Roman"/>
                <w:color w:val="000000" w:themeColor="text1"/>
                <w:sz w:val="21"/>
                <w:szCs w:val="21"/>
              </w:rPr>
              <w:t>P-gp</w:t>
            </w:r>
            <w:r w:rsidRPr="009E464F">
              <w:rPr>
                <w:rFonts w:cs="Times New Roman"/>
                <w:color w:val="000000" w:themeColor="text1"/>
                <w:sz w:val="21"/>
                <w:szCs w:val="21"/>
              </w:rPr>
              <w:t>抑制剂</w:t>
            </w:r>
            <w:proofErr w:type="spellEnd"/>
          </w:p>
        </w:tc>
      </w:tr>
      <w:tr w:rsidR="00BF22C5" w:rsidRPr="009E464F" w14:paraId="3B89B96F"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15FB56"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457FD2A"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烟曲霉毒素</w:t>
            </w:r>
            <w:r w:rsidRPr="009E464F">
              <w:rPr>
                <w:rFonts w:cs="Times New Roman"/>
                <w:color w:val="000000" w:themeColor="text1"/>
                <w:sz w:val="21"/>
                <w:szCs w:val="21"/>
                <w:shd w:val="clear" w:color="auto" w:fill="FFFFFF"/>
              </w:rPr>
              <w:t>C</w:t>
            </w:r>
            <w:proofErr w:type="spell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fumitremorgin</w:t>
            </w:r>
            <w:proofErr w:type="spellEnd"/>
            <w:r w:rsidRPr="009E464F">
              <w:rPr>
                <w:rFonts w:cs="Times New Roman"/>
                <w:color w:val="000000" w:themeColor="text1"/>
                <w:sz w:val="21"/>
                <w:szCs w:val="21"/>
              </w:rPr>
              <w:t xml:space="preserve"> C )</w:t>
            </w:r>
          </w:p>
        </w:tc>
        <w:tc>
          <w:tcPr>
            <w:tcW w:w="1789" w:type="pct"/>
            <w:tcBorders>
              <w:top w:val="outset" w:sz="6" w:space="0" w:color="auto"/>
              <w:left w:val="outset" w:sz="6" w:space="0" w:color="auto"/>
              <w:bottom w:val="outset" w:sz="6" w:space="0" w:color="auto"/>
              <w:right w:val="outset" w:sz="6" w:space="0" w:color="auto"/>
            </w:tcBorders>
          </w:tcPr>
          <w:p w14:paraId="4E9815D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599E4983"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9BAE3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8784EF9"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Ko134</w:t>
            </w:r>
          </w:p>
        </w:tc>
        <w:tc>
          <w:tcPr>
            <w:tcW w:w="1789" w:type="pct"/>
            <w:tcBorders>
              <w:top w:val="outset" w:sz="6" w:space="0" w:color="auto"/>
              <w:left w:val="outset" w:sz="6" w:space="0" w:color="auto"/>
              <w:bottom w:val="outset" w:sz="6" w:space="0" w:color="auto"/>
              <w:right w:val="outset" w:sz="6" w:space="0" w:color="auto"/>
            </w:tcBorders>
          </w:tcPr>
          <w:p w14:paraId="4A7A871D"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02FE5401"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770899"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9919F88"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Ko143</w:t>
            </w:r>
          </w:p>
        </w:tc>
        <w:tc>
          <w:tcPr>
            <w:tcW w:w="1789" w:type="pct"/>
            <w:tcBorders>
              <w:top w:val="outset" w:sz="6" w:space="0" w:color="auto"/>
              <w:left w:val="outset" w:sz="6" w:space="0" w:color="auto"/>
              <w:bottom w:val="outset" w:sz="6" w:space="0" w:color="auto"/>
              <w:right w:val="outset" w:sz="6" w:space="0" w:color="auto"/>
            </w:tcBorders>
          </w:tcPr>
          <w:p w14:paraId="62A22F52"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4035F015"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E95D76"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0B3736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新生霉素</w:t>
            </w:r>
            <w:proofErr w:type="spellEnd"/>
            <w:r w:rsidRPr="009E464F">
              <w:rPr>
                <w:rFonts w:cs="Times New Roman"/>
                <w:color w:val="000000" w:themeColor="text1"/>
                <w:sz w:val="21"/>
                <w:szCs w:val="21"/>
              </w:rPr>
              <w:t>(</w:t>
            </w:r>
            <w:proofErr w:type="spellStart"/>
            <w:r w:rsidRPr="009E464F">
              <w:rPr>
                <w:rFonts w:cs="Times New Roman"/>
                <w:color w:val="000000" w:themeColor="text1"/>
                <w:sz w:val="21"/>
                <w:szCs w:val="21"/>
              </w:rPr>
              <w:t>novobiocin</w:t>
            </w:r>
            <w:proofErr w:type="spellEnd"/>
            <w:r w:rsidRPr="009E464F">
              <w:rPr>
                <w:rFonts w:cs="Times New Roman"/>
                <w:color w:val="000000" w:themeColor="text1"/>
                <w:sz w:val="21"/>
                <w:szCs w:val="21"/>
              </w:rPr>
              <w:t>)</w:t>
            </w:r>
          </w:p>
        </w:tc>
        <w:tc>
          <w:tcPr>
            <w:tcW w:w="1789" w:type="pct"/>
            <w:tcBorders>
              <w:top w:val="outset" w:sz="6" w:space="0" w:color="auto"/>
              <w:left w:val="outset" w:sz="6" w:space="0" w:color="auto"/>
              <w:bottom w:val="outset" w:sz="6" w:space="0" w:color="auto"/>
              <w:right w:val="outset" w:sz="6" w:space="0" w:color="auto"/>
            </w:tcBorders>
          </w:tcPr>
          <w:p w14:paraId="1F5FFB3C"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6BDE14B4"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4833D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CF898C4"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柳氮磺胺嘧啶</w:t>
            </w:r>
            <w:proofErr w:type="spellEnd"/>
            <w:r w:rsidRPr="009E464F">
              <w:rPr>
                <w:rFonts w:cs="Times New Roman"/>
                <w:color w:val="000000" w:themeColor="text1"/>
                <w:sz w:val="21"/>
                <w:szCs w:val="21"/>
              </w:rPr>
              <w:t>(sulfasalazine)</w:t>
            </w:r>
          </w:p>
        </w:tc>
        <w:tc>
          <w:tcPr>
            <w:tcW w:w="1789" w:type="pct"/>
            <w:tcBorders>
              <w:top w:val="outset" w:sz="6" w:space="0" w:color="auto"/>
              <w:left w:val="outset" w:sz="6" w:space="0" w:color="auto"/>
              <w:bottom w:val="outset" w:sz="6" w:space="0" w:color="auto"/>
              <w:right w:val="outset" w:sz="6" w:space="0" w:color="auto"/>
            </w:tcBorders>
          </w:tcPr>
          <w:p w14:paraId="080967C1"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048E3F73" w14:textId="77777777" w:rsidTr="008663B1">
        <w:trPr>
          <w:jc w:val="center"/>
        </w:trPr>
        <w:tc>
          <w:tcPr>
            <w:tcW w:w="1017"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41CD2312" w14:textId="0FCC2F11" w:rsidR="00F9543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OATP1B1</w:t>
            </w:r>
          </w:p>
          <w:p w14:paraId="75C72FB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OATP1B3</w:t>
            </w: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57F93CA"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环孢素</w:t>
            </w:r>
            <w:proofErr w:type="spellEnd"/>
            <w:r w:rsidRPr="009E464F">
              <w:rPr>
                <w:rFonts w:cs="Times New Roman"/>
                <w:color w:val="000000" w:themeColor="text1"/>
                <w:sz w:val="21"/>
                <w:szCs w:val="21"/>
              </w:rPr>
              <w:t xml:space="preserve"> A</w:t>
            </w:r>
          </w:p>
        </w:tc>
        <w:tc>
          <w:tcPr>
            <w:tcW w:w="1789" w:type="pct"/>
            <w:tcBorders>
              <w:top w:val="outset" w:sz="6" w:space="0" w:color="auto"/>
              <w:left w:val="outset" w:sz="6" w:space="0" w:color="auto"/>
              <w:bottom w:val="outset" w:sz="6" w:space="0" w:color="auto"/>
              <w:right w:val="outset" w:sz="6" w:space="0" w:color="auto"/>
            </w:tcBorders>
          </w:tcPr>
          <w:p w14:paraId="3A55B1A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 xml:space="preserve">MRP2, BCRP, NTCP </w:t>
            </w:r>
            <w:r w:rsidRPr="009E464F">
              <w:rPr>
                <w:rFonts w:cs="Times New Roman"/>
                <w:color w:val="000000" w:themeColor="text1"/>
                <w:sz w:val="21"/>
                <w:szCs w:val="21"/>
              </w:rPr>
              <w:t>和</w:t>
            </w:r>
            <w:r w:rsidRPr="009E464F">
              <w:rPr>
                <w:rFonts w:cs="Times New Roman"/>
                <w:color w:val="000000" w:themeColor="text1"/>
                <w:sz w:val="21"/>
                <w:szCs w:val="21"/>
              </w:rPr>
              <w:t xml:space="preserve"> </w:t>
            </w:r>
            <w:proofErr w:type="spellStart"/>
            <w:r w:rsidRPr="009E464F">
              <w:rPr>
                <w:rFonts w:cs="Times New Roman"/>
                <w:color w:val="000000" w:themeColor="text1"/>
                <w:sz w:val="21"/>
                <w:szCs w:val="21"/>
              </w:rPr>
              <w:t>P-gp</w:t>
            </w:r>
            <w:r w:rsidRPr="009E464F">
              <w:rPr>
                <w:rFonts w:cs="Times New Roman"/>
                <w:color w:val="000000" w:themeColor="text1"/>
                <w:sz w:val="21"/>
                <w:szCs w:val="21"/>
              </w:rPr>
              <w:t>抑制剂，预温孵增加其抑制作用</w:t>
            </w:r>
            <w:proofErr w:type="spellEnd"/>
            <w:r w:rsidRPr="009E464F">
              <w:rPr>
                <w:rFonts w:cs="Times New Roman"/>
                <w:color w:val="000000" w:themeColor="text1"/>
                <w:sz w:val="21"/>
                <w:szCs w:val="21"/>
              </w:rPr>
              <w:t>。</w:t>
            </w:r>
          </w:p>
        </w:tc>
      </w:tr>
      <w:tr w:rsidR="00BF22C5" w:rsidRPr="009E464F" w14:paraId="6F2980E0"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24CD15" w14:textId="77777777" w:rsidR="00BF22C5" w:rsidRPr="009E464F" w:rsidRDefault="00BF22C5" w:rsidP="0083505F">
            <w:pPr>
              <w:adjustRightInd w:val="0"/>
              <w:snapToGrid w:val="0"/>
              <w:spacing w:after="0" w:line="240" w:lineRule="auto"/>
              <w:ind w:firstLineChars="0" w:firstLine="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EDC8235"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雌二醇</w:t>
            </w:r>
            <w:r w:rsidRPr="009E464F">
              <w:rPr>
                <w:rFonts w:cs="Times New Roman"/>
                <w:color w:val="000000" w:themeColor="text1"/>
                <w:sz w:val="21"/>
                <w:szCs w:val="21"/>
              </w:rPr>
              <w:t>17</w:t>
            </w:r>
            <w:r w:rsidRPr="009E464F">
              <w:rPr>
                <w:rFonts w:cs="Times New Roman"/>
                <w:color w:val="000000" w:themeColor="text1"/>
                <w:sz w:val="21"/>
                <w:szCs w:val="21"/>
              </w:rPr>
              <w:sym w:font="Symbol" w:char="F062"/>
            </w:r>
            <w:proofErr w:type="spellStart"/>
            <w:r w:rsidRPr="009E464F">
              <w:rPr>
                <w:rFonts w:cs="Times New Roman"/>
                <w:color w:val="000000" w:themeColor="text1"/>
                <w:sz w:val="21"/>
                <w:szCs w:val="21"/>
              </w:rPr>
              <w:t>葡萄糖醛酸苷</w:t>
            </w:r>
            <w:proofErr w:type="spellEnd"/>
            <w:r w:rsidRPr="009E464F">
              <w:rPr>
                <w:rFonts w:cs="Times New Roman"/>
                <w:color w:val="000000" w:themeColor="text1"/>
                <w:sz w:val="21"/>
                <w:szCs w:val="21"/>
              </w:rPr>
              <w:t>(estradiol-17β-glucuronide)</w:t>
            </w:r>
          </w:p>
        </w:tc>
        <w:tc>
          <w:tcPr>
            <w:tcW w:w="1789" w:type="pct"/>
            <w:tcBorders>
              <w:top w:val="outset" w:sz="6" w:space="0" w:color="auto"/>
              <w:left w:val="outset" w:sz="6" w:space="0" w:color="auto"/>
              <w:bottom w:val="outset" w:sz="6" w:space="0" w:color="auto"/>
              <w:right w:val="outset" w:sz="6" w:space="0" w:color="auto"/>
            </w:tcBorders>
          </w:tcPr>
          <w:p w14:paraId="6C7C1473"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MRP2</w:t>
            </w:r>
            <w:r w:rsidRPr="009E464F">
              <w:rPr>
                <w:rFonts w:cs="Times New Roman"/>
                <w:color w:val="000000" w:themeColor="text1"/>
                <w:sz w:val="21"/>
                <w:szCs w:val="21"/>
              </w:rPr>
              <w:t>和</w:t>
            </w:r>
            <w:r w:rsidRPr="009E464F">
              <w:rPr>
                <w:rFonts w:cs="Times New Roman"/>
                <w:color w:val="000000" w:themeColor="text1"/>
                <w:sz w:val="21"/>
                <w:szCs w:val="21"/>
              </w:rPr>
              <w:t>BCRP</w:t>
            </w:r>
            <w:r w:rsidRPr="009E464F">
              <w:rPr>
                <w:rFonts w:cs="Times New Roman"/>
                <w:color w:val="000000" w:themeColor="text1"/>
                <w:sz w:val="21"/>
                <w:szCs w:val="21"/>
              </w:rPr>
              <w:t>抑制剂</w:t>
            </w:r>
          </w:p>
        </w:tc>
      </w:tr>
      <w:tr w:rsidR="00BF22C5" w:rsidRPr="009E464F" w14:paraId="59B09A23"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421061" w14:textId="77777777" w:rsidR="00BF22C5" w:rsidRPr="009E464F" w:rsidRDefault="00BF22C5" w:rsidP="0083505F">
            <w:pPr>
              <w:adjustRightInd w:val="0"/>
              <w:snapToGrid w:val="0"/>
              <w:spacing w:after="0" w:line="240" w:lineRule="auto"/>
              <w:ind w:firstLineChars="0" w:firstLine="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F7B2E95"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雌酮</w:t>
            </w:r>
            <w:r w:rsidRPr="009E464F">
              <w:rPr>
                <w:rFonts w:cs="Times New Roman"/>
                <w:color w:val="000000" w:themeColor="text1"/>
                <w:sz w:val="21"/>
                <w:szCs w:val="21"/>
              </w:rPr>
              <w:t>3-</w:t>
            </w:r>
            <w:r w:rsidRPr="009E464F">
              <w:rPr>
                <w:rFonts w:cs="Times New Roman"/>
                <w:color w:val="000000" w:themeColor="text1"/>
                <w:sz w:val="21"/>
                <w:szCs w:val="21"/>
              </w:rPr>
              <w:t>硫酸酯</w:t>
            </w:r>
            <w:r w:rsidRPr="009E464F">
              <w:rPr>
                <w:rFonts w:cs="Times New Roman"/>
                <w:color w:val="000000" w:themeColor="text1"/>
                <w:sz w:val="21"/>
                <w:szCs w:val="21"/>
              </w:rPr>
              <w:t>(estrone-3-sulfate)</w:t>
            </w:r>
          </w:p>
        </w:tc>
        <w:tc>
          <w:tcPr>
            <w:tcW w:w="1789" w:type="pct"/>
            <w:tcBorders>
              <w:top w:val="outset" w:sz="6" w:space="0" w:color="auto"/>
              <w:left w:val="outset" w:sz="6" w:space="0" w:color="auto"/>
              <w:bottom w:val="outset" w:sz="6" w:space="0" w:color="auto"/>
              <w:right w:val="outset" w:sz="6" w:space="0" w:color="auto"/>
            </w:tcBorders>
          </w:tcPr>
          <w:p w14:paraId="43B6DFB2"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也是</w:t>
            </w:r>
            <w:r w:rsidRPr="009E464F">
              <w:rPr>
                <w:rFonts w:cs="Times New Roman"/>
                <w:color w:val="000000" w:themeColor="text1"/>
                <w:sz w:val="21"/>
                <w:szCs w:val="21"/>
              </w:rPr>
              <w:t>BCRP</w:t>
            </w:r>
            <w:r w:rsidRPr="009E464F">
              <w:rPr>
                <w:rFonts w:cs="Times New Roman"/>
                <w:color w:val="000000" w:themeColor="text1"/>
                <w:sz w:val="21"/>
                <w:szCs w:val="21"/>
              </w:rPr>
              <w:t>和</w:t>
            </w:r>
            <w:r w:rsidRPr="009E464F">
              <w:rPr>
                <w:rFonts w:cs="Times New Roman"/>
                <w:color w:val="000000" w:themeColor="text1"/>
                <w:sz w:val="21"/>
                <w:szCs w:val="21"/>
              </w:rPr>
              <w:t>NTCP</w:t>
            </w:r>
            <w:r w:rsidRPr="009E464F">
              <w:rPr>
                <w:rFonts w:cs="Times New Roman"/>
                <w:color w:val="000000" w:themeColor="text1"/>
                <w:sz w:val="21"/>
                <w:szCs w:val="21"/>
              </w:rPr>
              <w:t>抑制剂</w:t>
            </w:r>
            <w:proofErr w:type="spellEnd"/>
          </w:p>
        </w:tc>
      </w:tr>
      <w:tr w:rsidR="00BF22C5" w:rsidRPr="009E464F" w14:paraId="28E23BEF"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160ED3" w14:textId="77777777" w:rsidR="00BF22C5" w:rsidRPr="009E464F" w:rsidRDefault="00BF22C5" w:rsidP="0083505F">
            <w:pPr>
              <w:adjustRightInd w:val="0"/>
              <w:snapToGrid w:val="0"/>
              <w:spacing w:after="0" w:line="240" w:lineRule="auto"/>
              <w:ind w:firstLineChars="0" w:firstLine="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44393E3"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利福平</w:t>
            </w:r>
            <w:proofErr w:type="spellEnd"/>
            <w:r w:rsidRPr="009E464F">
              <w:rPr>
                <w:rFonts w:cs="Times New Roman"/>
                <w:color w:val="000000" w:themeColor="text1"/>
                <w:sz w:val="21"/>
                <w:szCs w:val="21"/>
              </w:rPr>
              <w:t>(rifampicin)</w:t>
            </w:r>
          </w:p>
        </w:tc>
        <w:tc>
          <w:tcPr>
            <w:tcW w:w="1789" w:type="pct"/>
            <w:tcBorders>
              <w:top w:val="outset" w:sz="6" w:space="0" w:color="auto"/>
              <w:left w:val="outset" w:sz="6" w:space="0" w:color="auto"/>
              <w:bottom w:val="outset" w:sz="6" w:space="0" w:color="auto"/>
              <w:right w:val="outset" w:sz="6" w:space="0" w:color="auto"/>
            </w:tcBorders>
          </w:tcPr>
          <w:p w14:paraId="3F8D4022"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577E5DAC"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2202AA" w14:textId="77777777" w:rsidR="00BF22C5" w:rsidRPr="009E464F" w:rsidRDefault="00BF22C5" w:rsidP="0083505F">
            <w:pPr>
              <w:adjustRightInd w:val="0"/>
              <w:snapToGrid w:val="0"/>
              <w:spacing w:after="0" w:line="240" w:lineRule="auto"/>
              <w:ind w:firstLineChars="0" w:firstLine="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5CCE822"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利福霉素</w:t>
            </w:r>
            <w:proofErr w:type="spellEnd"/>
            <w:r w:rsidRPr="009E464F">
              <w:rPr>
                <w:rFonts w:cs="Times New Roman"/>
                <w:color w:val="000000" w:themeColor="text1"/>
                <w:sz w:val="21"/>
                <w:szCs w:val="21"/>
              </w:rPr>
              <w:t>(</w:t>
            </w:r>
            <w:proofErr w:type="spellStart"/>
            <w:r w:rsidRPr="009E464F">
              <w:rPr>
                <w:rFonts w:cs="Times New Roman"/>
                <w:color w:val="000000" w:themeColor="text1"/>
                <w:sz w:val="21"/>
                <w:szCs w:val="21"/>
              </w:rPr>
              <w:t>rifamycin</w:t>
            </w:r>
            <w:proofErr w:type="spellEnd"/>
            <w:r w:rsidRPr="009E464F">
              <w:rPr>
                <w:rFonts w:cs="Times New Roman"/>
                <w:color w:val="000000" w:themeColor="text1"/>
                <w:sz w:val="21"/>
                <w:szCs w:val="21"/>
              </w:rPr>
              <w:t xml:space="preserve"> </w:t>
            </w:r>
            <w:proofErr w:type="spellStart"/>
            <w:r w:rsidRPr="009E464F">
              <w:rPr>
                <w:rFonts w:cs="Times New Roman"/>
                <w:color w:val="000000" w:themeColor="text1"/>
                <w:sz w:val="21"/>
                <w:szCs w:val="21"/>
              </w:rPr>
              <w:t>sv</w:t>
            </w:r>
            <w:proofErr w:type="spellEnd"/>
            <w:r w:rsidRPr="009E464F">
              <w:rPr>
                <w:rFonts w:cs="Times New Roman"/>
                <w:color w:val="000000" w:themeColor="text1"/>
                <w:sz w:val="21"/>
                <w:szCs w:val="21"/>
              </w:rPr>
              <w:t>)</w:t>
            </w:r>
          </w:p>
        </w:tc>
        <w:tc>
          <w:tcPr>
            <w:tcW w:w="1789" w:type="pct"/>
            <w:tcBorders>
              <w:top w:val="outset" w:sz="6" w:space="0" w:color="auto"/>
              <w:left w:val="outset" w:sz="6" w:space="0" w:color="auto"/>
              <w:bottom w:val="outset" w:sz="6" w:space="0" w:color="auto"/>
              <w:right w:val="outset" w:sz="6" w:space="0" w:color="auto"/>
            </w:tcBorders>
          </w:tcPr>
          <w:p w14:paraId="30F238EB"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5DD6C467" w14:textId="77777777" w:rsidTr="008663B1">
        <w:trPr>
          <w:jc w:val="center"/>
        </w:trPr>
        <w:tc>
          <w:tcPr>
            <w:tcW w:w="1017"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25DC6235" w14:textId="77777777" w:rsidR="00F9543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OAT1</w:t>
            </w:r>
          </w:p>
          <w:p w14:paraId="12B0531D" w14:textId="27365FEA" w:rsidR="00BF22C5" w:rsidRPr="009E464F" w:rsidRDefault="00BF22C5" w:rsidP="0083505F">
            <w:pPr>
              <w:adjustRightInd w:val="0"/>
              <w:snapToGrid w:val="0"/>
              <w:spacing w:after="0" w:line="240" w:lineRule="auto"/>
              <w:ind w:firstLineChars="195" w:firstLine="409"/>
              <w:jc w:val="left"/>
              <w:rPr>
                <w:rFonts w:cs="Times New Roman"/>
                <w:color w:val="000000" w:themeColor="text1"/>
                <w:sz w:val="21"/>
                <w:szCs w:val="21"/>
              </w:rPr>
            </w:pPr>
            <w:r w:rsidRPr="009E464F">
              <w:rPr>
                <w:rFonts w:cs="Times New Roman"/>
                <w:color w:val="000000" w:themeColor="text1"/>
                <w:sz w:val="21"/>
                <w:szCs w:val="21"/>
              </w:rPr>
              <w:t xml:space="preserve"> OAT3</w:t>
            </w: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1713A6F"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苄甲青霉素</w:t>
            </w:r>
            <w:proofErr w:type="spellEnd"/>
            <w:r w:rsidRPr="009E464F">
              <w:rPr>
                <w:rFonts w:cs="Times New Roman"/>
                <w:color w:val="000000" w:themeColor="text1"/>
                <w:sz w:val="21"/>
                <w:szCs w:val="21"/>
              </w:rPr>
              <w:t>(</w:t>
            </w:r>
            <w:proofErr w:type="spellStart"/>
            <w:r w:rsidRPr="009E464F">
              <w:rPr>
                <w:rFonts w:cs="Times New Roman"/>
                <w:color w:val="000000" w:themeColor="text1"/>
                <w:sz w:val="21"/>
                <w:szCs w:val="21"/>
              </w:rPr>
              <w:t>benzylpenicillin</w:t>
            </w:r>
            <w:proofErr w:type="spellEnd"/>
            <w:r w:rsidRPr="009E464F">
              <w:rPr>
                <w:rFonts w:cs="Times New Roman"/>
                <w:color w:val="000000" w:themeColor="text1"/>
                <w:sz w:val="21"/>
                <w:szCs w:val="21"/>
              </w:rPr>
              <w:t>)</w:t>
            </w:r>
          </w:p>
        </w:tc>
        <w:tc>
          <w:tcPr>
            <w:tcW w:w="1789" w:type="pct"/>
            <w:tcBorders>
              <w:top w:val="outset" w:sz="6" w:space="0" w:color="auto"/>
              <w:left w:val="outset" w:sz="6" w:space="0" w:color="auto"/>
              <w:bottom w:val="outset" w:sz="6" w:space="0" w:color="auto"/>
              <w:right w:val="outset" w:sz="6" w:space="0" w:color="auto"/>
            </w:tcBorders>
          </w:tcPr>
          <w:p w14:paraId="3FDB5EF5"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56E8C2D4"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3996BC" w14:textId="77777777" w:rsidR="00BF22C5" w:rsidRPr="009E464F" w:rsidRDefault="00BF22C5" w:rsidP="0083505F">
            <w:pPr>
              <w:adjustRightInd w:val="0"/>
              <w:snapToGrid w:val="0"/>
              <w:spacing w:after="0" w:line="240" w:lineRule="auto"/>
              <w:ind w:firstLineChars="0" w:firstLine="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35872AE"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丙磺舒</w:t>
            </w:r>
            <w:proofErr w:type="spellEnd"/>
            <w:r w:rsidRPr="009E464F">
              <w:rPr>
                <w:rFonts w:cs="Times New Roman"/>
                <w:color w:val="000000" w:themeColor="text1"/>
                <w:sz w:val="21"/>
                <w:szCs w:val="21"/>
              </w:rPr>
              <w:t>(probenecid)</w:t>
            </w:r>
          </w:p>
        </w:tc>
        <w:tc>
          <w:tcPr>
            <w:tcW w:w="1789" w:type="pct"/>
            <w:tcBorders>
              <w:top w:val="outset" w:sz="6" w:space="0" w:color="auto"/>
              <w:left w:val="outset" w:sz="6" w:space="0" w:color="auto"/>
              <w:bottom w:val="outset" w:sz="6" w:space="0" w:color="auto"/>
              <w:right w:val="outset" w:sz="6" w:space="0" w:color="auto"/>
            </w:tcBorders>
          </w:tcPr>
          <w:p w14:paraId="13344286"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也是</w:t>
            </w:r>
            <w:r w:rsidRPr="009E464F">
              <w:rPr>
                <w:rFonts w:cs="Times New Roman"/>
                <w:color w:val="000000" w:themeColor="text1"/>
                <w:sz w:val="21"/>
                <w:szCs w:val="21"/>
              </w:rPr>
              <w:t>OATPs</w:t>
            </w:r>
            <w:r w:rsidRPr="009E464F">
              <w:rPr>
                <w:rFonts w:cs="Times New Roman"/>
                <w:color w:val="000000" w:themeColor="text1"/>
                <w:sz w:val="21"/>
                <w:szCs w:val="21"/>
              </w:rPr>
              <w:t>抑制剂</w:t>
            </w:r>
            <w:proofErr w:type="spellEnd"/>
          </w:p>
        </w:tc>
      </w:tr>
      <w:tr w:rsidR="00BF22C5" w:rsidRPr="009E464F" w14:paraId="6C384E10" w14:textId="77777777" w:rsidTr="008663B1">
        <w:trPr>
          <w:jc w:val="center"/>
        </w:trPr>
        <w:tc>
          <w:tcPr>
            <w:tcW w:w="1017"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3A87290A" w14:textId="6C0A6B72" w:rsidR="00F9543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MATE1</w:t>
            </w:r>
          </w:p>
          <w:p w14:paraId="6E3E3F4B"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MATE-2K</w:t>
            </w: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50F1834"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西咪替丁</w:t>
            </w:r>
            <w:proofErr w:type="spellEnd"/>
            <w:r w:rsidRPr="009E464F">
              <w:rPr>
                <w:rFonts w:cs="Times New Roman"/>
                <w:color w:val="000000" w:themeColor="text1"/>
                <w:sz w:val="21"/>
                <w:szCs w:val="21"/>
              </w:rPr>
              <w:t>(cimetidine)</w:t>
            </w:r>
          </w:p>
        </w:tc>
        <w:tc>
          <w:tcPr>
            <w:tcW w:w="1789" w:type="pct"/>
            <w:tcBorders>
              <w:top w:val="outset" w:sz="6" w:space="0" w:color="auto"/>
              <w:left w:val="outset" w:sz="6" w:space="0" w:color="auto"/>
              <w:bottom w:val="outset" w:sz="6" w:space="0" w:color="auto"/>
              <w:right w:val="outset" w:sz="6" w:space="0" w:color="auto"/>
            </w:tcBorders>
          </w:tcPr>
          <w:p w14:paraId="0F207BC1"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OCTs</w:t>
            </w:r>
            <w:r w:rsidRPr="009E464F">
              <w:rPr>
                <w:rFonts w:cs="Times New Roman"/>
                <w:color w:val="000000" w:themeColor="text1"/>
                <w:sz w:val="21"/>
                <w:szCs w:val="21"/>
              </w:rPr>
              <w:t>和</w:t>
            </w:r>
            <w:r w:rsidRPr="009E464F">
              <w:rPr>
                <w:rFonts w:cs="Times New Roman"/>
                <w:color w:val="000000" w:themeColor="text1"/>
                <w:sz w:val="21"/>
                <w:szCs w:val="21"/>
              </w:rPr>
              <w:t>OAT3</w:t>
            </w:r>
            <w:r w:rsidRPr="009E464F">
              <w:rPr>
                <w:rFonts w:cs="Times New Roman"/>
                <w:color w:val="000000" w:themeColor="text1"/>
                <w:sz w:val="21"/>
                <w:szCs w:val="21"/>
              </w:rPr>
              <w:t>抑制剂</w:t>
            </w:r>
          </w:p>
        </w:tc>
      </w:tr>
      <w:tr w:rsidR="00BF22C5" w:rsidRPr="009E464F" w14:paraId="282BBF6F" w14:textId="77777777" w:rsidTr="008663B1">
        <w:trPr>
          <w:jc w:val="center"/>
        </w:trPr>
        <w:tc>
          <w:tcPr>
            <w:tcW w:w="1017" w:type="pct"/>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17A96F"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1CBD745"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shd w:val="clear" w:color="auto" w:fill="FFFFFF"/>
              </w:rPr>
              <w:t>乙胺嘧啶</w:t>
            </w:r>
            <w:proofErr w:type="spell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pyrimethamine</w:t>
            </w:r>
            <w:proofErr w:type="spellEnd"/>
            <w:r w:rsidRPr="009E464F">
              <w:rPr>
                <w:rFonts w:cs="Times New Roman"/>
                <w:color w:val="000000" w:themeColor="text1"/>
                <w:sz w:val="21"/>
                <w:szCs w:val="21"/>
              </w:rPr>
              <w:t>)</w:t>
            </w:r>
          </w:p>
        </w:tc>
        <w:tc>
          <w:tcPr>
            <w:tcW w:w="1789" w:type="pct"/>
            <w:tcBorders>
              <w:top w:val="outset" w:sz="6" w:space="0" w:color="auto"/>
              <w:left w:val="outset" w:sz="6" w:space="0" w:color="auto"/>
              <w:bottom w:val="outset" w:sz="6" w:space="0" w:color="auto"/>
              <w:right w:val="outset" w:sz="6" w:space="0" w:color="auto"/>
            </w:tcBorders>
          </w:tcPr>
          <w:p w14:paraId="340E6B0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
        </w:tc>
      </w:tr>
      <w:tr w:rsidR="00BF22C5" w:rsidRPr="009E464F" w14:paraId="790EBFB2" w14:textId="77777777" w:rsidTr="008663B1">
        <w:trPr>
          <w:jc w:val="center"/>
        </w:trPr>
        <w:tc>
          <w:tcPr>
            <w:tcW w:w="1017" w:type="pct"/>
            <w:tcBorders>
              <w:top w:val="outset" w:sz="6" w:space="0" w:color="auto"/>
              <w:left w:val="outset" w:sz="6" w:space="0" w:color="auto"/>
              <w:right w:val="outset" w:sz="6" w:space="0" w:color="auto"/>
            </w:tcBorders>
            <w:shd w:val="clear" w:color="auto" w:fill="auto"/>
            <w:vAlign w:val="center"/>
            <w:hideMark/>
          </w:tcPr>
          <w:p w14:paraId="315BD666"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r w:rsidRPr="009E464F">
              <w:rPr>
                <w:rFonts w:cs="Times New Roman"/>
                <w:color w:val="000000" w:themeColor="text1"/>
                <w:sz w:val="21"/>
                <w:szCs w:val="21"/>
              </w:rPr>
              <w:t>OCT2</w:t>
            </w:r>
          </w:p>
        </w:tc>
        <w:tc>
          <w:tcPr>
            <w:tcW w:w="219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B3CCF10"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rPr>
            </w:pPr>
            <w:proofErr w:type="spellStart"/>
            <w:r w:rsidRPr="009E464F">
              <w:rPr>
                <w:rFonts w:cs="Times New Roman"/>
                <w:color w:val="000000" w:themeColor="text1"/>
                <w:sz w:val="21"/>
                <w:szCs w:val="21"/>
              </w:rPr>
              <w:t>西咪替丁</w:t>
            </w:r>
            <w:proofErr w:type="spellEnd"/>
            <w:r w:rsidRPr="009E464F">
              <w:rPr>
                <w:rFonts w:cs="Times New Roman"/>
                <w:color w:val="000000" w:themeColor="text1"/>
                <w:sz w:val="21"/>
                <w:szCs w:val="21"/>
              </w:rPr>
              <w:t>(cimetidine)</w:t>
            </w:r>
          </w:p>
        </w:tc>
        <w:tc>
          <w:tcPr>
            <w:tcW w:w="1789" w:type="pct"/>
            <w:tcBorders>
              <w:top w:val="outset" w:sz="6" w:space="0" w:color="auto"/>
              <w:left w:val="outset" w:sz="6" w:space="0" w:color="auto"/>
              <w:bottom w:val="outset" w:sz="6" w:space="0" w:color="auto"/>
              <w:right w:val="outset" w:sz="6" w:space="0" w:color="auto"/>
            </w:tcBorders>
          </w:tcPr>
          <w:p w14:paraId="56E061A4" w14:textId="77777777" w:rsidR="00BF22C5" w:rsidRPr="009E464F" w:rsidRDefault="00BF22C5" w:rsidP="0083505F">
            <w:pPr>
              <w:adjustRightInd w:val="0"/>
              <w:snapToGrid w:val="0"/>
              <w:spacing w:after="0" w:line="240" w:lineRule="auto"/>
              <w:ind w:firstLine="420"/>
              <w:jc w:val="left"/>
              <w:rPr>
                <w:rFonts w:cs="Times New Roman"/>
                <w:color w:val="000000" w:themeColor="text1"/>
                <w:sz w:val="21"/>
                <w:szCs w:val="21"/>
                <w:lang w:eastAsia="zh-CN"/>
              </w:rPr>
            </w:pPr>
            <w:r w:rsidRPr="009E464F">
              <w:rPr>
                <w:rFonts w:cs="Times New Roman"/>
                <w:color w:val="000000" w:themeColor="text1"/>
                <w:sz w:val="21"/>
                <w:szCs w:val="21"/>
                <w:lang w:eastAsia="zh-CN"/>
              </w:rPr>
              <w:t>预温</w:t>
            </w:r>
            <w:proofErr w:type="gramStart"/>
            <w:r w:rsidRPr="009E464F">
              <w:rPr>
                <w:rFonts w:cs="Times New Roman"/>
                <w:color w:val="000000" w:themeColor="text1"/>
                <w:sz w:val="21"/>
                <w:szCs w:val="21"/>
                <w:lang w:eastAsia="zh-CN"/>
              </w:rPr>
              <w:t>孵</w:t>
            </w:r>
            <w:proofErr w:type="gramEnd"/>
            <w:r w:rsidRPr="009E464F">
              <w:rPr>
                <w:rFonts w:cs="Times New Roman"/>
                <w:color w:val="000000" w:themeColor="text1"/>
                <w:sz w:val="21"/>
                <w:szCs w:val="21"/>
                <w:lang w:eastAsia="zh-CN"/>
              </w:rPr>
              <w:t>增加其抑制作用</w:t>
            </w:r>
          </w:p>
        </w:tc>
      </w:tr>
    </w:tbl>
    <w:p w14:paraId="45DCF7D0" w14:textId="77777777" w:rsidR="00BF22C5" w:rsidRPr="009E464F" w:rsidRDefault="00BF22C5">
      <w:pPr>
        <w:spacing w:line="240" w:lineRule="auto"/>
        <w:ind w:firstLine="420"/>
        <w:jc w:val="left"/>
        <w:rPr>
          <w:rFonts w:cs="Times New Roman"/>
          <w:color w:val="000000" w:themeColor="text1"/>
          <w:sz w:val="21"/>
          <w:szCs w:val="21"/>
          <w:lang w:eastAsia="zh-CN"/>
        </w:rPr>
      </w:pPr>
    </w:p>
    <w:p w14:paraId="491BD2FC" w14:textId="66C8F3A4" w:rsidR="00BF22C5" w:rsidRPr="0083505F" w:rsidRDefault="00BF22C5" w:rsidP="00671896">
      <w:pPr>
        <w:spacing w:line="240" w:lineRule="auto"/>
        <w:ind w:firstLineChars="0" w:firstLine="0"/>
        <w:jc w:val="center"/>
        <w:rPr>
          <w:rFonts w:cs="Times New Roman"/>
          <w:color w:val="000000" w:themeColor="text1"/>
          <w:sz w:val="24"/>
          <w:szCs w:val="24"/>
          <w:lang w:eastAsia="zh-CN"/>
        </w:rPr>
      </w:pPr>
      <w:r w:rsidRPr="0083505F">
        <w:rPr>
          <w:rFonts w:cs="Times New Roman" w:hint="eastAsia"/>
          <w:color w:val="000000" w:themeColor="text1"/>
          <w:sz w:val="24"/>
          <w:szCs w:val="24"/>
          <w:lang w:eastAsia="zh-CN"/>
        </w:rPr>
        <w:t>表</w:t>
      </w:r>
      <w:r w:rsidR="00710C84">
        <w:rPr>
          <w:rFonts w:cs="Times New Roman"/>
          <w:color w:val="000000" w:themeColor="text1"/>
          <w:sz w:val="24"/>
          <w:szCs w:val="24"/>
          <w:lang w:eastAsia="zh-CN"/>
        </w:rPr>
        <w:t xml:space="preserve">10  </w:t>
      </w:r>
      <w:r w:rsidRPr="0083505F">
        <w:rPr>
          <w:rFonts w:cs="Times New Roman" w:hint="eastAsia"/>
          <w:color w:val="000000" w:themeColor="text1"/>
          <w:sz w:val="24"/>
          <w:szCs w:val="24"/>
          <w:lang w:eastAsia="zh-CN"/>
        </w:rPr>
        <w:t>临床</w:t>
      </w:r>
      <w:r w:rsidR="005B4CC0" w:rsidRPr="0083505F">
        <w:rPr>
          <w:rFonts w:cs="Times New Roman" w:hint="eastAsia"/>
          <w:color w:val="000000" w:themeColor="text1"/>
          <w:sz w:val="24"/>
          <w:szCs w:val="24"/>
          <w:lang w:eastAsia="zh-CN"/>
        </w:rPr>
        <w:t>试验</w:t>
      </w:r>
      <w:r w:rsidRPr="0083505F">
        <w:rPr>
          <w:rFonts w:cs="Times New Roman" w:hint="eastAsia"/>
          <w:color w:val="000000" w:themeColor="text1"/>
          <w:sz w:val="24"/>
          <w:szCs w:val="24"/>
          <w:lang w:eastAsia="zh-CN"/>
        </w:rPr>
        <w:t>可选择的转运体指针底物</w:t>
      </w:r>
    </w:p>
    <w:tbl>
      <w:tblPr>
        <w:tblStyle w:val="af7"/>
        <w:tblW w:w="5000" w:type="pct"/>
        <w:jc w:val="center"/>
        <w:tblLook w:val="04A0" w:firstRow="1" w:lastRow="0" w:firstColumn="1" w:lastColumn="0" w:noHBand="0" w:noVBand="1"/>
      </w:tblPr>
      <w:tblGrid>
        <w:gridCol w:w="1430"/>
        <w:gridCol w:w="4305"/>
        <w:gridCol w:w="3615"/>
      </w:tblGrid>
      <w:tr w:rsidR="00BF22C5" w:rsidRPr="009E464F" w14:paraId="4E96774C" w14:textId="77777777" w:rsidTr="008663B1">
        <w:trPr>
          <w:jc w:val="center"/>
        </w:trPr>
        <w:tc>
          <w:tcPr>
            <w:tcW w:w="765" w:type="pct"/>
            <w:vAlign w:val="center"/>
          </w:tcPr>
          <w:p w14:paraId="4B79E104" w14:textId="77777777" w:rsidR="00BF22C5" w:rsidRPr="009E464F" w:rsidRDefault="00BF22C5">
            <w:pPr>
              <w:snapToGrid w:val="0"/>
              <w:spacing w:line="240" w:lineRule="auto"/>
              <w:ind w:firstLineChars="14" w:firstLine="29"/>
              <w:jc w:val="left"/>
              <w:rPr>
                <w:rFonts w:cs="Times New Roman"/>
                <w:color w:val="000000" w:themeColor="text1"/>
                <w:sz w:val="21"/>
                <w:szCs w:val="21"/>
              </w:rPr>
            </w:pPr>
            <w:r w:rsidRPr="009E464F">
              <w:rPr>
                <w:rFonts w:cs="Times New Roman"/>
                <w:color w:val="000000" w:themeColor="text1"/>
                <w:sz w:val="21"/>
                <w:szCs w:val="21"/>
              </w:rPr>
              <w:t>转运体</w:t>
            </w:r>
          </w:p>
        </w:tc>
        <w:tc>
          <w:tcPr>
            <w:tcW w:w="2302" w:type="pct"/>
            <w:vAlign w:val="center"/>
          </w:tcPr>
          <w:p w14:paraId="1DBA3DA2" w14:textId="77777777" w:rsidR="00BF22C5" w:rsidRPr="009E464F" w:rsidRDefault="00BF22C5">
            <w:pPr>
              <w:snapToGrid w:val="0"/>
              <w:spacing w:line="240" w:lineRule="auto"/>
              <w:ind w:firstLineChars="43" w:firstLine="90"/>
              <w:jc w:val="center"/>
              <w:rPr>
                <w:rFonts w:cs="Times New Roman"/>
                <w:color w:val="000000" w:themeColor="text1"/>
                <w:sz w:val="21"/>
                <w:szCs w:val="21"/>
              </w:rPr>
            </w:pPr>
            <w:r w:rsidRPr="009E464F">
              <w:rPr>
                <w:rFonts w:cs="Times New Roman"/>
                <w:color w:val="000000" w:themeColor="text1"/>
                <w:sz w:val="21"/>
                <w:szCs w:val="21"/>
              </w:rPr>
              <w:t>底物</w:t>
            </w:r>
          </w:p>
        </w:tc>
        <w:tc>
          <w:tcPr>
            <w:tcW w:w="1933" w:type="pct"/>
            <w:vAlign w:val="center"/>
          </w:tcPr>
          <w:p w14:paraId="0CDB27E7" w14:textId="77777777" w:rsidR="00BF22C5" w:rsidRPr="009E464F" w:rsidRDefault="00BF22C5">
            <w:pPr>
              <w:snapToGrid w:val="0"/>
              <w:spacing w:line="240" w:lineRule="auto"/>
              <w:ind w:firstLineChars="0" w:firstLine="0"/>
              <w:jc w:val="center"/>
              <w:rPr>
                <w:rFonts w:cs="Times New Roman"/>
                <w:color w:val="000000" w:themeColor="text1"/>
                <w:sz w:val="21"/>
                <w:szCs w:val="21"/>
              </w:rPr>
            </w:pPr>
            <w:r w:rsidRPr="009E464F">
              <w:rPr>
                <w:rFonts w:cs="Times New Roman"/>
                <w:color w:val="000000" w:themeColor="text1"/>
                <w:sz w:val="21"/>
                <w:szCs w:val="21"/>
              </w:rPr>
              <w:t>备注</w:t>
            </w:r>
          </w:p>
        </w:tc>
      </w:tr>
      <w:tr w:rsidR="00BF22C5" w:rsidRPr="009E464F" w14:paraId="06C9EEC4" w14:textId="77777777" w:rsidTr="008663B1">
        <w:trPr>
          <w:jc w:val="center"/>
        </w:trPr>
        <w:tc>
          <w:tcPr>
            <w:tcW w:w="765" w:type="pct"/>
            <w:vMerge w:val="restart"/>
            <w:vAlign w:val="center"/>
          </w:tcPr>
          <w:p w14:paraId="2179A89D"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r w:rsidRPr="009E464F">
              <w:rPr>
                <w:rFonts w:cs="Times New Roman"/>
                <w:color w:val="000000" w:themeColor="text1"/>
                <w:sz w:val="21"/>
                <w:szCs w:val="21"/>
              </w:rPr>
              <w:t>P-</w:t>
            </w:r>
            <w:proofErr w:type="spellStart"/>
            <w:r w:rsidRPr="009E464F">
              <w:rPr>
                <w:rFonts w:cs="Times New Roman"/>
                <w:color w:val="000000" w:themeColor="text1"/>
                <w:sz w:val="21"/>
                <w:szCs w:val="21"/>
              </w:rPr>
              <w:t>gp</w:t>
            </w:r>
            <w:proofErr w:type="spellEnd"/>
          </w:p>
        </w:tc>
        <w:tc>
          <w:tcPr>
            <w:tcW w:w="2302" w:type="pct"/>
            <w:vAlign w:val="center"/>
          </w:tcPr>
          <w:p w14:paraId="534643DC"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达比</w:t>
            </w:r>
            <w:proofErr w:type="gramStart"/>
            <w:r w:rsidRPr="009E464F">
              <w:rPr>
                <w:rFonts w:cs="Times New Roman"/>
                <w:color w:val="000000" w:themeColor="text1"/>
                <w:sz w:val="21"/>
                <w:szCs w:val="21"/>
                <w:shd w:val="clear" w:color="auto" w:fill="FFFFFF"/>
              </w:rPr>
              <w:t>加群酯</w:t>
            </w:r>
            <w:r w:rsidRPr="009E464F">
              <w:rPr>
                <w:rFonts w:cs="Times New Roman"/>
                <w:color w:val="000000" w:themeColor="text1"/>
                <w:sz w:val="21"/>
                <w:szCs w:val="21"/>
                <w:shd w:val="clear" w:color="auto" w:fill="FFFFFF"/>
              </w:rPr>
              <w:t>(</w:t>
            </w:r>
            <w:proofErr w:type="gramEnd"/>
            <w:r w:rsidRPr="009E464F">
              <w:rPr>
                <w:rFonts w:cs="Times New Roman"/>
                <w:color w:val="000000" w:themeColor="text1"/>
                <w:sz w:val="21"/>
                <w:szCs w:val="21"/>
              </w:rPr>
              <w:t xml:space="preserve">dabigatran </w:t>
            </w:r>
            <w:proofErr w:type="spellStart"/>
            <w:r w:rsidRPr="009E464F">
              <w:rPr>
                <w:rFonts w:cs="Times New Roman"/>
                <w:color w:val="000000" w:themeColor="text1"/>
                <w:sz w:val="21"/>
                <w:szCs w:val="21"/>
              </w:rPr>
              <w:t>etexilate</w:t>
            </w:r>
            <w:proofErr w:type="spellEnd"/>
            <w:r w:rsidRPr="009E464F">
              <w:rPr>
                <w:rFonts w:cs="Times New Roman"/>
                <w:color w:val="000000" w:themeColor="text1"/>
                <w:sz w:val="21"/>
                <w:szCs w:val="21"/>
              </w:rPr>
              <w:t>)</w:t>
            </w:r>
          </w:p>
        </w:tc>
        <w:tc>
          <w:tcPr>
            <w:tcW w:w="1933" w:type="pct"/>
            <w:vAlign w:val="center"/>
          </w:tcPr>
          <w:p w14:paraId="49A62AEF"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7D3E79D1" w14:textId="77777777" w:rsidTr="008663B1">
        <w:trPr>
          <w:jc w:val="center"/>
        </w:trPr>
        <w:tc>
          <w:tcPr>
            <w:tcW w:w="765" w:type="pct"/>
            <w:vMerge/>
            <w:vAlign w:val="center"/>
          </w:tcPr>
          <w:p w14:paraId="0BD983D0"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32A2754A"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非索非那丁</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fexofenadine)</w:t>
            </w:r>
          </w:p>
        </w:tc>
        <w:tc>
          <w:tcPr>
            <w:tcW w:w="1933" w:type="pct"/>
            <w:vAlign w:val="center"/>
          </w:tcPr>
          <w:p w14:paraId="1D7A709A" w14:textId="77777777" w:rsidR="00BF22C5" w:rsidRPr="009E464F" w:rsidRDefault="00BF22C5">
            <w:pPr>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OATP1B</w:t>
            </w:r>
            <w:r w:rsidRPr="009E464F">
              <w:rPr>
                <w:rFonts w:cs="Times New Roman"/>
                <w:color w:val="000000" w:themeColor="text1"/>
                <w:sz w:val="21"/>
                <w:szCs w:val="21"/>
              </w:rPr>
              <w:t>底物</w:t>
            </w:r>
          </w:p>
        </w:tc>
      </w:tr>
      <w:tr w:rsidR="00BF22C5" w:rsidRPr="009E464F" w14:paraId="76880175" w14:textId="77777777" w:rsidTr="008663B1">
        <w:trPr>
          <w:jc w:val="center"/>
        </w:trPr>
        <w:tc>
          <w:tcPr>
            <w:tcW w:w="765" w:type="pct"/>
            <w:vMerge/>
            <w:vAlign w:val="center"/>
          </w:tcPr>
          <w:p w14:paraId="60D437C4"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486C4952"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地高辛</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digoxin)</w:t>
            </w:r>
          </w:p>
        </w:tc>
        <w:tc>
          <w:tcPr>
            <w:tcW w:w="1933" w:type="pct"/>
            <w:vAlign w:val="center"/>
          </w:tcPr>
          <w:p w14:paraId="7D45B6F0"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72FBF347" w14:textId="77777777" w:rsidTr="008663B1">
        <w:trPr>
          <w:jc w:val="center"/>
        </w:trPr>
        <w:tc>
          <w:tcPr>
            <w:tcW w:w="765" w:type="pct"/>
            <w:vMerge w:val="restart"/>
            <w:vAlign w:val="center"/>
          </w:tcPr>
          <w:p w14:paraId="5AACD179"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r w:rsidRPr="009E464F">
              <w:rPr>
                <w:rFonts w:cs="Times New Roman"/>
                <w:color w:val="000000" w:themeColor="text1"/>
                <w:sz w:val="21"/>
                <w:szCs w:val="21"/>
              </w:rPr>
              <w:t>BCRP</w:t>
            </w:r>
          </w:p>
        </w:tc>
        <w:tc>
          <w:tcPr>
            <w:tcW w:w="2302" w:type="pct"/>
            <w:vAlign w:val="center"/>
          </w:tcPr>
          <w:p w14:paraId="32ED056B"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柳氮磺胺吡啶</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sulfasalazine)</w:t>
            </w:r>
          </w:p>
        </w:tc>
        <w:tc>
          <w:tcPr>
            <w:tcW w:w="1933" w:type="pct"/>
            <w:vAlign w:val="center"/>
          </w:tcPr>
          <w:p w14:paraId="49F5BA61"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299B12F4" w14:textId="77777777" w:rsidTr="008663B1">
        <w:trPr>
          <w:jc w:val="center"/>
        </w:trPr>
        <w:tc>
          <w:tcPr>
            <w:tcW w:w="765" w:type="pct"/>
            <w:vMerge/>
            <w:vAlign w:val="center"/>
          </w:tcPr>
          <w:p w14:paraId="46B0D50B"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08E9D05B" w14:textId="77777777" w:rsidR="00BF22C5" w:rsidRPr="009E464F" w:rsidRDefault="00BF22C5">
            <w:pPr>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rPr>
              <w:t>瑞舒伐他汀</w:t>
            </w:r>
            <w:proofErr w:type="gramEnd"/>
            <w:r w:rsidRPr="009E464F">
              <w:rPr>
                <w:rFonts w:cs="Times New Roman"/>
                <w:color w:val="000000" w:themeColor="text1"/>
                <w:sz w:val="21"/>
                <w:szCs w:val="21"/>
              </w:rPr>
              <w:t>(rosuvastatin)</w:t>
            </w:r>
          </w:p>
        </w:tc>
        <w:tc>
          <w:tcPr>
            <w:tcW w:w="1933" w:type="pct"/>
            <w:vAlign w:val="center"/>
          </w:tcPr>
          <w:p w14:paraId="0CEADFDF" w14:textId="77777777" w:rsidR="00BF22C5" w:rsidRPr="009E464F" w:rsidRDefault="00BF22C5">
            <w:pPr>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也是</w:t>
            </w:r>
            <w:r w:rsidRPr="009E464F">
              <w:rPr>
                <w:rFonts w:cs="Times New Roman"/>
                <w:color w:val="000000" w:themeColor="text1"/>
                <w:sz w:val="21"/>
                <w:szCs w:val="21"/>
              </w:rPr>
              <w:t>OAT3</w:t>
            </w:r>
            <w:r w:rsidRPr="009E464F">
              <w:rPr>
                <w:rFonts w:cs="Times New Roman"/>
                <w:color w:val="000000" w:themeColor="text1"/>
                <w:sz w:val="21"/>
                <w:szCs w:val="21"/>
              </w:rPr>
              <w:t>和</w:t>
            </w:r>
            <w:r w:rsidRPr="009E464F">
              <w:rPr>
                <w:rFonts w:cs="Times New Roman"/>
                <w:color w:val="000000" w:themeColor="text1"/>
                <w:sz w:val="21"/>
                <w:szCs w:val="21"/>
              </w:rPr>
              <w:t>OATP</w:t>
            </w:r>
            <w:r w:rsidRPr="009E464F">
              <w:rPr>
                <w:rFonts w:cs="Times New Roman"/>
                <w:color w:val="000000" w:themeColor="text1"/>
                <w:sz w:val="21"/>
                <w:szCs w:val="21"/>
              </w:rPr>
              <w:t>底物</w:t>
            </w:r>
          </w:p>
        </w:tc>
      </w:tr>
      <w:tr w:rsidR="00BF22C5" w:rsidRPr="009E464F" w14:paraId="03663F7E" w14:textId="77777777" w:rsidTr="008663B1">
        <w:trPr>
          <w:jc w:val="center"/>
        </w:trPr>
        <w:tc>
          <w:tcPr>
            <w:tcW w:w="765" w:type="pct"/>
            <w:vMerge w:val="restart"/>
            <w:vAlign w:val="center"/>
          </w:tcPr>
          <w:p w14:paraId="6441E23A" w14:textId="4637C4E7" w:rsidR="00BF22C5" w:rsidRPr="009E464F" w:rsidRDefault="00BF22C5" w:rsidP="0083505F">
            <w:pPr>
              <w:snapToGrid w:val="0"/>
              <w:spacing w:line="240" w:lineRule="auto"/>
              <w:ind w:firstLineChars="14" w:firstLine="29"/>
              <w:jc w:val="center"/>
              <w:rPr>
                <w:rFonts w:cs="Times New Roman"/>
                <w:color w:val="000000" w:themeColor="text1"/>
                <w:sz w:val="21"/>
                <w:szCs w:val="21"/>
              </w:rPr>
            </w:pPr>
            <w:r w:rsidRPr="009E464F">
              <w:rPr>
                <w:rFonts w:cs="Times New Roman"/>
                <w:color w:val="000000" w:themeColor="text1"/>
                <w:sz w:val="21"/>
                <w:szCs w:val="21"/>
              </w:rPr>
              <w:t>OATP1B1</w:t>
            </w:r>
          </w:p>
          <w:p w14:paraId="4E90C3B4"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r w:rsidRPr="009E464F">
              <w:rPr>
                <w:rFonts w:cs="Times New Roman"/>
                <w:color w:val="000000" w:themeColor="text1"/>
                <w:sz w:val="21"/>
                <w:szCs w:val="21"/>
              </w:rPr>
              <w:t>OATP1B3</w:t>
            </w:r>
          </w:p>
        </w:tc>
        <w:tc>
          <w:tcPr>
            <w:tcW w:w="2302" w:type="pct"/>
            <w:vAlign w:val="center"/>
          </w:tcPr>
          <w:p w14:paraId="22B0BB2A"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普伐他</w:t>
            </w:r>
            <w:proofErr w:type="gramStart"/>
            <w:r w:rsidRPr="009E464F">
              <w:rPr>
                <w:rFonts w:cs="Times New Roman"/>
                <w:color w:val="000000" w:themeColor="text1"/>
                <w:sz w:val="21"/>
                <w:szCs w:val="21"/>
              </w:rPr>
              <w:t>汀</w:t>
            </w:r>
            <w:proofErr w:type="gramEnd"/>
            <w:r w:rsidRPr="009E464F">
              <w:rPr>
                <w:rFonts w:cs="Times New Roman"/>
                <w:color w:val="000000" w:themeColor="text1"/>
                <w:sz w:val="21"/>
                <w:szCs w:val="21"/>
              </w:rPr>
              <w:t>(pravastatin)</w:t>
            </w:r>
          </w:p>
        </w:tc>
        <w:tc>
          <w:tcPr>
            <w:tcW w:w="1933" w:type="pct"/>
            <w:vAlign w:val="center"/>
          </w:tcPr>
          <w:p w14:paraId="71090DE0"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39A88B1E" w14:textId="77777777" w:rsidTr="008663B1">
        <w:trPr>
          <w:jc w:val="center"/>
        </w:trPr>
        <w:tc>
          <w:tcPr>
            <w:tcW w:w="765" w:type="pct"/>
            <w:vMerge/>
            <w:vAlign w:val="center"/>
          </w:tcPr>
          <w:p w14:paraId="049E74A8"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4DEE0721"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瑞格列奈</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repaglinide)</w:t>
            </w:r>
          </w:p>
        </w:tc>
        <w:tc>
          <w:tcPr>
            <w:tcW w:w="1933" w:type="pct"/>
            <w:vAlign w:val="center"/>
          </w:tcPr>
          <w:p w14:paraId="3F945C5F"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6F1B5E6B" w14:textId="77777777" w:rsidTr="008663B1">
        <w:trPr>
          <w:jc w:val="center"/>
        </w:trPr>
        <w:tc>
          <w:tcPr>
            <w:tcW w:w="765" w:type="pct"/>
            <w:vMerge/>
            <w:vAlign w:val="center"/>
          </w:tcPr>
          <w:p w14:paraId="11EDD93D"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6CB3BCBE"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阿托伐他</w:t>
            </w:r>
            <w:proofErr w:type="gramStart"/>
            <w:r w:rsidRPr="009E464F">
              <w:rPr>
                <w:rFonts w:cs="Times New Roman"/>
                <w:color w:val="000000" w:themeColor="text1"/>
                <w:sz w:val="21"/>
                <w:szCs w:val="21"/>
              </w:rPr>
              <w:t>汀</w:t>
            </w:r>
            <w:proofErr w:type="gramEnd"/>
            <w:r w:rsidRPr="009E464F">
              <w:rPr>
                <w:rFonts w:cs="Times New Roman"/>
                <w:color w:val="000000" w:themeColor="text1"/>
                <w:sz w:val="21"/>
                <w:szCs w:val="21"/>
              </w:rPr>
              <w:t>(atorvastatin)</w:t>
            </w:r>
          </w:p>
        </w:tc>
        <w:tc>
          <w:tcPr>
            <w:tcW w:w="1933" w:type="pct"/>
            <w:vAlign w:val="center"/>
          </w:tcPr>
          <w:p w14:paraId="465CBF15" w14:textId="77777777" w:rsidR="00BF22C5" w:rsidRPr="009E464F" w:rsidRDefault="00BF22C5">
            <w:pPr>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P-</w:t>
            </w:r>
            <w:proofErr w:type="spellStart"/>
            <w:r w:rsidRPr="009E464F">
              <w:rPr>
                <w:rFonts w:cs="Times New Roman"/>
                <w:color w:val="000000" w:themeColor="text1"/>
                <w:sz w:val="21"/>
                <w:szCs w:val="21"/>
              </w:rPr>
              <w:t>gp</w:t>
            </w:r>
            <w:proofErr w:type="spellEnd"/>
            <w:r w:rsidRPr="009E464F">
              <w:rPr>
                <w:rFonts w:cs="Times New Roman"/>
                <w:color w:val="000000" w:themeColor="text1"/>
                <w:sz w:val="21"/>
                <w:szCs w:val="21"/>
              </w:rPr>
              <w:t>，</w:t>
            </w:r>
            <w:r w:rsidRPr="009E464F">
              <w:rPr>
                <w:rFonts w:cs="Times New Roman"/>
                <w:color w:val="000000" w:themeColor="text1"/>
                <w:sz w:val="21"/>
                <w:szCs w:val="21"/>
              </w:rPr>
              <w:t>BCRP</w:t>
            </w:r>
            <w:r w:rsidRPr="009E464F">
              <w:rPr>
                <w:rFonts w:cs="Times New Roman"/>
                <w:color w:val="000000" w:themeColor="text1"/>
                <w:sz w:val="21"/>
                <w:szCs w:val="21"/>
              </w:rPr>
              <w:t>、</w:t>
            </w:r>
            <w:r w:rsidRPr="009E464F">
              <w:rPr>
                <w:rFonts w:cs="Times New Roman"/>
                <w:color w:val="000000" w:themeColor="text1"/>
                <w:sz w:val="21"/>
                <w:szCs w:val="21"/>
              </w:rPr>
              <w:t>MRP2</w:t>
            </w:r>
            <w:r w:rsidRPr="009E464F">
              <w:rPr>
                <w:rFonts w:cs="Times New Roman"/>
                <w:color w:val="000000" w:themeColor="text1"/>
                <w:sz w:val="21"/>
                <w:szCs w:val="21"/>
              </w:rPr>
              <w:t>和</w:t>
            </w:r>
            <w:r w:rsidRPr="009E464F">
              <w:rPr>
                <w:rFonts w:cs="Times New Roman"/>
                <w:color w:val="000000" w:themeColor="text1"/>
                <w:sz w:val="21"/>
                <w:szCs w:val="21"/>
              </w:rPr>
              <w:t>CYP3A</w:t>
            </w:r>
            <w:r w:rsidRPr="009E464F">
              <w:rPr>
                <w:rFonts w:cs="Times New Roman"/>
                <w:color w:val="000000" w:themeColor="text1"/>
                <w:sz w:val="21"/>
                <w:szCs w:val="21"/>
              </w:rPr>
              <w:t>底物</w:t>
            </w:r>
          </w:p>
        </w:tc>
      </w:tr>
      <w:tr w:rsidR="00BF22C5" w:rsidRPr="009E464F" w14:paraId="3F608CBE" w14:textId="77777777" w:rsidTr="008663B1">
        <w:trPr>
          <w:jc w:val="center"/>
        </w:trPr>
        <w:tc>
          <w:tcPr>
            <w:tcW w:w="765" w:type="pct"/>
            <w:vMerge/>
            <w:vAlign w:val="center"/>
          </w:tcPr>
          <w:p w14:paraId="08022E41"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56B51EFF"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波生坦</w:t>
            </w:r>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bosentan</w:t>
            </w:r>
            <w:proofErr w:type="spellEnd"/>
            <w:r w:rsidRPr="009E464F">
              <w:rPr>
                <w:rFonts w:cs="Times New Roman"/>
                <w:color w:val="000000" w:themeColor="text1"/>
                <w:sz w:val="21"/>
                <w:szCs w:val="21"/>
              </w:rPr>
              <w:t>)</w:t>
            </w:r>
          </w:p>
        </w:tc>
        <w:tc>
          <w:tcPr>
            <w:tcW w:w="1933" w:type="pct"/>
            <w:vAlign w:val="center"/>
          </w:tcPr>
          <w:p w14:paraId="7D72FCFE"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0CC4C904" w14:textId="77777777" w:rsidTr="008663B1">
        <w:trPr>
          <w:jc w:val="center"/>
        </w:trPr>
        <w:tc>
          <w:tcPr>
            <w:tcW w:w="765" w:type="pct"/>
            <w:vMerge/>
            <w:vAlign w:val="center"/>
          </w:tcPr>
          <w:p w14:paraId="76042139"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177B7D7F"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阿舒瑞韦</w:t>
            </w:r>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asunaprevir</w:t>
            </w:r>
            <w:proofErr w:type="spellEnd"/>
            <w:r w:rsidRPr="009E464F">
              <w:rPr>
                <w:rFonts w:cs="Times New Roman"/>
                <w:color w:val="000000" w:themeColor="text1"/>
                <w:sz w:val="21"/>
                <w:szCs w:val="21"/>
              </w:rPr>
              <w:t>)</w:t>
            </w:r>
          </w:p>
        </w:tc>
        <w:tc>
          <w:tcPr>
            <w:tcW w:w="1933" w:type="pct"/>
            <w:vAlign w:val="center"/>
          </w:tcPr>
          <w:p w14:paraId="778A394A"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4FB7A8AD" w14:textId="77777777" w:rsidTr="008663B1">
        <w:trPr>
          <w:jc w:val="center"/>
        </w:trPr>
        <w:tc>
          <w:tcPr>
            <w:tcW w:w="765" w:type="pct"/>
            <w:vMerge/>
            <w:vAlign w:val="center"/>
          </w:tcPr>
          <w:p w14:paraId="74605F1D"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302DD25F"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丹诺普韦</w:t>
            </w:r>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danoprevir</w:t>
            </w:r>
            <w:proofErr w:type="spellEnd"/>
            <w:r w:rsidRPr="009E464F">
              <w:rPr>
                <w:rFonts w:cs="Times New Roman"/>
                <w:color w:val="000000" w:themeColor="text1"/>
                <w:sz w:val="21"/>
                <w:szCs w:val="21"/>
              </w:rPr>
              <w:t xml:space="preserve">) </w:t>
            </w:r>
          </w:p>
        </w:tc>
        <w:tc>
          <w:tcPr>
            <w:tcW w:w="1933" w:type="pct"/>
            <w:vAlign w:val="center"/>
          </w:tcPr>
          <w:p w14:paraId="68EC63A5"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5FB2C035" w14:textId="77777777" w:rsidTr="008663B1">
        <w:trPr>
          <w:jc w:val="center"/>
        </w:trPr>
        <w:tc>
          <w:tcPr>
            <w:tcW w:w="765" w:type="pct"/>
            <w:vMerge/>
            <w:vAlign w:val="center"/>
          </w:tcPr>
          <w:p w14:paraId="53CED8BA"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415D3648"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proofErr w:type="gramStart"/>
            <w:r w:rsidRPr="009E464F">
              <w:rPr>
                <w:rFonts w:cs="Times New Roman"/>
                <w:color w:val="000000" w:themeColor="text1"/>
                <w:sz w:val="21"/>
                <w:szCs w:val="21"/>
              </w:rPr>
              <w:t>瑞舒伐他汀</w:t>
            </w:r>
            <w:proofErr w:type="gramEnd"/>
            <w:r w:rsidRPr="009E464F">
              <w:rPr>
                <w:rFonts w:cs="Times New Roman"/>
                <w:color w:val="000000" w:themeColor="text1"/>
                <w:sz w:val="21"/>
                <w:szCs w:val="21"/>
              </w:rPr>
              <w:t>(rosuvastatin)</w:t>
            </w:r>
          </w:p>
        </w:tc>
        <w:tc>
          <w:tcPr>
            <w:tcW w:w="1933" w:type="pct"/>
            <w:vAlign w:val="center"/>
          </w:tcPr>
          <w:p w14:paraId="2FF83269" w14:textId="77777777" w:rsidR="00BF22C5" w:rsidRPr="009E464F" w:rsidRDefault="00BF22C5">
            <w:pPr>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OATP1B1</w:t>
            </w:r>
            <w:r w:rsidRPr="009E464F">
              <w:rPr>
                <w:rFonts w:cs="Times New Roman"/>
                <w:color w:val="000000" w:themeColor="text1"/>
                <w:sz w:val="21"/>
                <w:szCs w:val="21"/>
              </w:rPr>
              <w:t>的选择性底物（相比于</w:t>
            </w:r>
            <w:r w:rsidRPr="009E464F">
              <w:rPr>
                <w:rFonts w:cs="Times New Roman"/>
                <w:color w:val="000000" w:themeColor="text1"/>
                <w:sz w:val="21"/>
                <w:szCs w:val="21"/>
              </w:rPr>
              <w:t>OATP1B3</w:t>
            </w:r>
            <w:r w:rsidRPr="009E464F">
              <w:rPr>
                <w:rFonts w:cs="Times New Roman"/>
                <w:color w:val="000000" w:themeColor="text1"/>
                <w:sz w:val="21"/>
                <w:szCs w:val="21"/>
              </w:rPr>
              <w:t>）</w:t>
            </w:r>
          </w:p>
        </w:tc>
      </w:tr>
      <w:tr w:rsidR="00BF22C5" w:rsidRPr="009E464F" w14:paraId="5DE3F58A" w14:textId="77777777" w:rsidTr="008663B1">
        <w:trPr>
          <w:jc w:val="center"/>
        </w:trPr>
        <w:tc>
          <w:tcPr>
            <w:tcW w:w="765" w:type="pct"/>
            <w:vMerge/>
            <w:vAlign w:val="center"/>
          </w:tcPr>
          <w:p w14:paraId="678497D4"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64C19367"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多</w:t>
            </w:r>
            <w:proofErr w:type="gramStart"/>
            <w:r w:rsidRPr="009E464F">
              <w:rPr>
                <w:rFonts w:cs="Times New Roman"/>
                <w:color w:val="000000" w:themeColor="text1"/>
                <w:sz w:val="21"/>
                <w:szCs w:val="21"/>
              </w:rPr>
              <w:t>西他赛</w:t>
            </w:r>
            <w:proofErr w:type="gramEnd"/>
            <w:r w:rsidRPr="009E464F">
              <w:rPr>
                <w:rFonts w:cs="Times New Roman"/>
                <w:color w:val="000000" w:themeColor="text1"/>
                <w:sz w:val="21"/>
                <w:szCs w:val="21"/>
              </w:rPr>
              <w:t>（</w:t>
            </w:r>
            <w:r w:rsidRPr="009E464F">
              <w:rPr>
                <w:rFonts w:cs="Times New Roman"/>
                <w:color w:val="000000" w:themeColor="text1"/>
                <w:sz w:val="21"/>
                <w:szCs w:val="21"/>
              </w:rPr>
              <w:t>docetaxel</w:t>
            </w:r>
            <w:r w:rsidRPr="009E464F">
              <w:rPr>
                <w:rFonts w:cs="Times New Roman"/>
                <w:color w:val="000000" w:themeColor="text1"/>
                <w:sz w:val="21"/>
                <w:szCs w:val="21"/>
              </w:rPr>
              <w:t>）</w:t>
            </w:r>
          </w:p>
        </w:tc>
        <w:tc>
          <w:tcPr>
            <w:tcW w:w="1933" w:type="pct"/>
            <w:vAlign w:val="center"/>
          </w:tcPr>
          <w:p w14:paraId="7140CC21"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01BD73B6" w14:textId="77777777" w:rsidTr="008663B1">
        <w:trPr>
          <w:jc w:val="center"/>
        </w:trPr>
        <w:tc>
          <w:tcPr>
            <w:tcW w:w="765" w:type="pct"/>
            <w:vMerge/>
            <w:vAlign w:val="center"/>
          </w:tcPr>
          <w:p w14:paraId="0D4F8A2D"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3F74880F"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非索非那定（</w:t>
            </w:r>
            <w:r w:rsidRPr="009E464F">
              <w:rPr>
                <w:rFonts w:cs="Times New Roman"/>
                <w:color w:val="000000" w:themeColor="text1"/>
                <w:sz w:val="21"/>
                <w:szCs w:val="21"/>
              </w:rPr>
              <w:t>fexofenadine</w:t>
            </w:r>
            <w:r w:rsidRPr="009E464F">
              <w:rPr>
                <w:rFonts w:cs="Times New Roman"/>
                <w:color w:val="000000" w:themeColor="text1"/>
                <w:sz w:val="21"/>
                <w:szCs w:val="21"/>
              </w:rPr>
              <w:t>）</w:t>
            </w:r>
          </w:p>
        </w:tc>
        <w:tc>
          <w:tcPr>
            <w:tcW w:w="1933" w:type="pct"/>
            <w:vAlign w:val="center"/>
          </w:tcPr>
          <w:p w14:paraId="74948BA0"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0EA887E7" w14:textId="77777777" w:rsidTr="008663B1">
        <w:trPr>
          <w:jc w:val="center"/>
        </w:trPr>
        <w:tc>
          <w:tcPr>
            <w:tcW w:w="765" w:type="pct"/>
            <w:vMerge/>
            <w:vAlign w:val="center"/>
          </w:tcPr>
          <w:p w14:paraId="5C0CC6E3"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7136CE07"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格列本</w:t>
            </w:r>
            <w:proofErr w:type="gramStart"/>
            <w:r w:rsidRPr="009E464F">
              <w:rPr>
                <w:rFonts w:cs="Times New Roman"/>
                <w:color w:val="000000" w:themeColor="text1"/>
                <w:sz w:val="21"/>
                <w:szCs w:val="21"/>
              </w:rPr>
              <w:t>脲</w:t>
            </w:r>
            <w:proofErr w:type="gramEnd"/>
            <w:r w:rsidRPr="009E464F">
              <w:rPr>
                <w:rFonts w:cs="Times New Roman"/>
                <w:color w:val="000000" w:themeColor="text1"/>
                <w:sz w:val="21"/>
                <w:szCs w:val="21"/>
              </w:rPr>
              <w:t>（</w:t>
            </w:r>
            <w:r w:rsidRPr="009E464F">
              <w:rPr>
                <w:rFonts w:cs="Times New Roman"/>
                <w:color w:val="000000" w:themeColor="text1"/>
                <w:sz w:val="21"/>
                <w:szCs w:val="21"/>
              </w:rPr>
              <w:t>glyburide</w:t>
            </w:r>
            <w:r w:rsidRPr="009E464F">
              <w:rPr>
                <w:rFonts w:cs="Times New Roman"/>
                <w:color w:val="000000" w:themeColor="text1"/>
                <w:sz w:val="21"/>
                <w:szCs w:val="21"/>
              </w:rPr>
              <w:t>）</w:t>
            </w:r>
          </w:p>
        </w:tc>
        <w:tc>
          <w:tcPr>
            <w:tcW w:w="1933" w:type="pct"/>
            <w:vAlign w:val="center"/>
          </w:tcPr>
          <w:p w14:paraId="5E8AD209"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6E34BB90" w14:textId="77777777" w:rsidTr="008663B1">
        <w:trPr>
          <w:jc w:val="center"/>
        </w:trPr>
        <w:tc>
          <w:tcPr>
            <w:tcW w:w="765" w:type="pct"/>
            <w:vMerge/>
            <w:vAlign w:val="center"/>
          </w:tcPr>
          <w:p w14:paraId="72725A38"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27FC041E"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那格列奈（</w:t>
            </w:r>
            <w:proofErr w:type="spellStart"/>
            <w:r w:rsidRPr="009E464F">
              <w:rPr>
                <w:rFonts w:cs="Times New Roman"/>
                <w:color w:val="000000" w:themeColor="text1"/>
                <w:sz w:val="21"/>
                <w:szCs w:val="21"/>
              </w:rPr>
              <w:t>nateglinide</w:t>
            </w:r>
            <w:proofErr w:type="spellEnd"/>
            <w:r w:rsidRPr="009E464F">
              <w:rPr>
                <w:rFonts w:cs="Times New Roman"/>
                <w:color w:val="000000" w:themeColor="text1"/>
                <w:sz w:val="21"/>
                <w:szCs w:val="21"/>
              </w:rPr>
              <w:t>）</w:t>
            </w:r>
          </w:p>
        </w:tc>
        <w:tc>
          <w:tcPr>
            <w:tcW w:w="1933" w:type="pct"/>
            <w:vAlign w:val="center"/>
          </w:tcPr>
          <w:p w14:paraId="0A36AA6D"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1D3DE297" w14:textId="77777777" w:rsidTr="008663B1">
        <w:trPr>
          <w:jc w:val="center"/>
        </w:trPr>
        <w:tc>
          <w:tcPr>
            <w:tcW w:w="765" w:type="pct"/>
            <w:vMerge/>
            <w:vAlign w:val="center"/>
          </w:tcPr>
          <w:p w14:paraId="780C6457"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0E726681"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紫杉醇（</w:t>
            </w:r>
            <w:r w:rsidRPr="009E464F">
              <w:rPr>
                <w:rFonts w:cs="Times New Roman"/>
                <w:color w:val="000000" w:themeColor="text1"/>
                <w:sz w:val="21"/>
                <w:szCs w:val="21"/>
              </w:rPr>
              <w:t>paclitaxel</w:t>
            </w:r>
            <w:r w:rsidRPr="009E464F">
              <w:rPr>
                <w:rFonts w:cs="Times New Roman"/>
                <w:color w:val="000000" w:themeColor="text1"/>
                <w:sz w:val="21"/>
                <w:szCs w:val="21"/>
              </w:rPr>
              <w:t>）</w:t>
            </w:r>
          </w:p>
        </w:tc>
        <w:tc>
          <w:tcPr>
            <w:tcW w:w="1933" w:type="pct"/>
            <w:vAlign w:val="center"/>
          </w:tcPr>
          <w:p w14:paraId="55D310F1"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3F8EB65C" w14:textId="77777777" w:rsidTr="008663B1">
        <w:trPr>
          <w:jc w:val="center"/>
        </w:trPr>
        <w:tc>
          <w:tcPr>
            <w:tcW w:w="765" w:type="pct"/>
            <w:vMerge/>
            <w:vAlign w:val="center"/>
          </w:tcPr>
          <w:p w14:paraId="6A2A8A0D"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7CFF14B2"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匹伐他</w:t>
            </w:r>
            <w:proofErr w:type="gramStart"/>
            <w:r w:rsidRPr="009E464F">
              <w:rPr>
                <w:rFonts w:cs="Times New Roman"/>
                <w:color w:val="000000" w:themeColor="text1"/>
                <w:sz w:val="21"/>
                <w:szCs w:val="21"/>
              </w:rPr>
              <w:t>汀</w:t>
            </w:r>
            <w:proofErr w:type="gramEnd"/>
            <w:r w:rsidRPr="009E464F">
              <w:rPr>
                <w:rFonts w:cs="Times New Roman"/>
                <w:color w:val="000000" w:themeColor="text1"/>
                <w:sz w:val="21"/>
                <w:szCs w:val="21"/>
              </w:rPr>
              <w:t>（</w:t>
            </w:r>
            <w:proofErr w:type="spellStart"/>
            <w:r w:rsidRPr="009E464F">
              <w:rPr>
                <w:rFonts w:cs="Times New Roman"/>
                <w:color w:val="000000" w:themeColor="text1"/>
                <w:sz w:val="21"/>
                <w:szCs w:val="21"/>
              </w:rPr>
              <w:t>pitavsatatin</w:t>
            </w:r>
            <w:proofErr w:type="spellEnd"/>
            <w:r w:rsidRPr="009E464F">
              <w:rPr>
                <w:rFonts w:cs="Times New Roman"/>
                <w:color w:val="000000" w:themeColor="text1"/>
                <w:sz w:val="21"/>
                <w:szCs w:val="21"/>
              </w:rPr>
              <w:t>）</w:t>
            </w:r>
          </w:p>
        </w:tc>
        <w:tc>
          <w:tcPr>
            <w:tcW w:w="1933" w:type="pct"/>
            <w:vAlign w:val="center"/>
          </w:tcPr>
          <w:p w14:paraId="60C9FA28"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72403A4B" w14:textId="77777777" w:rsidTr="008663B1">
        <w:trPr>
          <w:jc w:val="center"/>
        </w:trPr>
        <w:tc>
          <w:tcPr>
            <w:tcW w:w="765" w:type="pct"/>
            <w:vMerge/>
            <w:vAlign w:val="center"/>
          </w:tcPr>
          <w:p w14:paraId="60F6BB7D"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p>
        </w:tc>
        <w:tc>
          <w:tcPr>
            <w:tcW w:w="2302" w:type="pct"/>
            <w:vAlign w:val="center"/>
          </w:tcPr>
          <w:p w14:paraId="7483A2F8"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辛伐他</w:t>
            </w:r>
            <w:proofErr w:type="gramStart"/>
            <w:r w:rsidRPr="009E464F">
              <w:rPr>
                <w:rFonts w:cs="Times New Roman"/>
                <w:color w:val="000000" w:themeColor="text1"/>
                <w:sz w:val="21"/>
                <w:szCs w:val="21"/>
              </w:rPr>
              <w:t>汀</w:t>
            </w:r>
            <w:proofErr w:type="gramEnd"/>
            <w:r w:rsidRPr="009E464F">
              <w:rPr>
                <w:rFonts w:cs="Times New Roman"/>
                <w:color w:val="000000" w:themeColor="text1"/>
                <w:sz w:val="21"/>
                <w:szCs w:val="21"/>
              </w:rPr>
              <w:t>酸（</w:t>
            </w:r>
            <w:r w:rsidRPr="009E464F">
              <w:rPr>
                <w:rFonts w:cs="Times New Roman"/>
                <w:color w:val="000000" w:themeColor="text1"/>
                <w:sz w:val="21"/>
                <w:szCs w:val="21"/>
              </w:rPr>
              <w:t>simvastatin acid</w:t>
            </w:r>
            <w:r w:rsidRPr="009E464F">
              <w:rPr>
                <w:rFonts w:cs="Times New Roman"/>
                <w:color w:val="000000" w:themeColor="text1"/>
                <w:sz w:val="21"/>
                <w:szCs w:val="21"/>
              </w:rPr>
              <w:t>）</w:t>
            </w:r>
          </w:p>
        </w:tc>
        <w:tc>
          <w:tcPr>
            <w:tcW w:w="1933" w:type="pct"/>
            <w:vAlign w:val="center"/>
          </w:tcPr>
          <w:p w14:paraId="790FE7E5"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1F97A072" w14:textId="77777777" w:rsidTr="008663B1">
        <w:trPr>
          <w:jc w:val="center"/>
        </w:trPr>
        <w:tc>
          <w:tcPr>
            <w:tcW w:w="765" w:type="pct"/>
            <w:vMerge w:val="restart"/>
            <w:vAlign w:val="center"/>
          </w:tcPr>
          <w:p w14:paraId="25094410" w14:textId="6489A217" w:rsidR="00BF22C5" w:rsidRPr="009E464F" w:rsidRDefault="00BF22C5" w:rsidP="0083505F">
            <w:pPr>
              <w:snapToGrid w:val="0"/>
              <w:spacing w:line="240" w:lineRule="auto"/>
              <w:ind w:firstLineChars="14" w:firstLine="29"/>
              <w:jc w:val="center"/>
              <w:rPr>
                <w:rFonts w:cs="Times New Roman"/>
                <w:color w:val="000000" w:themeColor="text1"/>
                <w:sz w:val="21"/>
                <w:szCs w:val="21"/>
              </w:rPr>
            </w:pPr>
            <w:r w:rsidRPr="009E464F">
              <w:rPr>
                <w:rFonts w:cs="Times New Roman"/>
                <w:color w:val="000000" w:themeColor="text1"/>
                <w:sz w:val="21"/>
                <w:szCs w:val="21"/>
              </w:rPr>
              <w:t>OAT1</w:t>
            </w:r>
          </w:p>
          <w:p w14:paraId="6F84D42E"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r w:rsidRPr="009E464F">
              <w:rPr>
                <w:rFonts w:cs="Times New Roman"/>
                <w:color w:val="000000" w:themeColor="text1"/>
                <w:sz w:val="21"/>
                <w:szCs w:val="21"/>
              </w:rPr>
              <w:t>OAT3</w:t>
            </w:r>
          </w:p>
        </w:tc>
        <w:tc>
          <w:tcPr>
            <w:tcW w:w="2302" w:type="pct"/>
            <w:vAlign w:val="center"/>
          </w:tcPr>
          <w:p w14:paraId="55CCD5A8"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阿德福韦</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adefovir)</w:t>
            </w:r>
          </w:p>
        </w:tc>
        <w:tc>
          <w:tcPr>
            <w:tcW w:w="1933" w:type="pct"/>
            <w:vAlign w:val="center"/>
          </w:tcPr>
          <w:p w14:paraId="2E2D6C11" w14:textId="77777777" w:rsidR="00BF22C5" w:rsidRPr="009E464F" w:rsidRDefault="00BF22C5">
            <w:pPr>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OAT1</w:t>
            </w:r>
            <w:r w:rsidRPr="009E464F">
              <w:rPr>
                <w:rFonts w:cs="Times New Roman"/>
                <w:color w:val="000000" w:themeColor="text1"/>
                <w:sz w:val="21"/>
                <w:szCs w:val="21"/>
              </w:rPr>
              <w:t>的选择性底物（相比于</w:t>
            </w:r>
            <w:r w:rsidRPr="009E464F">
              <w:rPr>
                <w:rFonts w:cs="Times New Roman"/>
                <w:color w:val="000000" w:themeColor="text1"/>
                <w:sz w:val="21"/>
                <w:szCs w:val="21"/>
              </w:rPr>
              <w:t>OAT3</w:t>
            </w:r>
            <w:r w:rsidRPr="009E464F">
              <w:rPr>
                <w:rFonts w:cs="Times New Roman"/>
                <w:color w:val="000000" w:themeColor="text1"/>
                <w:sz w:val="21"/>
                <w:szCs w:val="21"/>
              </w:rPr>
              <w:t>）</w:t>
            </w:r>
          </w:p>
        </w:tc>
      </w:tr>
      <w:tr w:rsidR="00BF22C5" w:rsidRPr="009E464F" w14:paraId="049D854B" w14:textId="77777777" w:rsidTr="008663B1">
        <w:trPr>
          <w:jc w:val="center"/>
        </w:trPr>
        <w:tc>
          <w:tcPr>
            <w:tcW w:w="765" w:type="pct"/>
            <w:vMerge/>
            <w:vAlign w:val="center"/>
          </w:tcPr>
          <w:p w14:paraId="16F2E7D8" w14:textId="77777777" w:rsidR="00BF22C5" w:rsidRPr="009E464F" w:rsidRDefault="00BF22C5" w:rsidP="0083505F">
            <w:pPr>
              <w:snapToGrid w:val="0"/>
              <w:spacing w:line="240" w:lineRule="auto"/>
              <w:ind w:firstLine="420"/>
              <w:jc w:val="center"/>
              <w:rPr>
                <w:rFonts w:cs="Times New Roman"/>
                <w:color w:val="000000" w:themeColor="text1"/>
                <w:sz w:val="21"/>
                <w:szCs w:val="21"/>
              </w:rPr>
            </w:pPr>
          </w:p>
        </w:tc>
        <w:tc>
          <w:tcPr>
            <w:tcW w:w="2302" w:type="pct"/>
            <w:vAlign w:val="center"/>
          </w:tcPr>
          <w:p w14:paraId="7FB5064F"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头</w:t>
            </w:r>
            <w:proofErr w:type="gramStart"/>
            <w:r w:rsidRPr="009E464F">
              <w:rPr>
                <w:rFonts w:cs="Times New Roman"/>
                <w:color w:val="000000" w:themeColor="text1"/>
                <w:sz w:val="21"/>
                <w:szCs w:val="21"/>
                <w:shd w:val="clear" w:color="auto" w:fill="FFFFFF"/>
              </w:rPr>
              <w:t>孢</w:t>
            </w:r>
            <w:proofErr w:type="gramEnd"/>
            <w:r w:rsidRPr="009E464F">
              <w:rPr>
                <w:rFonts w:cs="Times New Roman"/>
                <w:color w:val="000000" w:themeColor="text1"/>
                <w:sz w:val="21"/>
                <w:szCs w:val="21"/>
                <w:shd w:val="clear" w:color="auto" w:fill="FFFFFF"/>
              </w:rPr>
              <w:t>克</w:t>
            </w:r>
            <w:proofErr w:type="gramStart"/>
            <w:r w:rsidRPr="009E464F">
              <w:rPr>
                <w:rFonts w:cs="Times New Roman"/>
                <w:color w:val="000000" w:themeColor="text1"/>
                <w:sz w:val="21"/>
                <w:szCs w:val="21"/>
                <w:shd w:val="clear" w:color="auto" w:fill="FFFFFF"/>
              </w:rPr>
              <w:t>洛</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cefaclor)</w:t>
            </w:r>
          </w:p>
        </w:tc>
        <w:tc>
          <w:tcPr>
            <w:tcW w:w="1933" w:type="pct"/>
            <w:vAlign w:val="center"/>
          </w:tcPr>
          <w:p w14:paraId="5EBFF16B"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1381068F" w14:textId="77777777" w:rsidTr="008663B1">
        <w:trPr>
          <w:jc w:val="center"/>
        </w:trPr>
        <w:tc>
          <w:tcPr>
            <w:tcW w:w="765" w:type="pct"/>
            <w:vMerge/>
            <w:vAlign w:val="center"/>
          </w:tcPr>
          <w:p w14:paraId="2A0F458B" w14:textId="77777777" w:rsidR="00BF22C5" w:rsidRPr="009E464F" w:rsidRDefault="00BF22C5" w:rsidP="0083505F">
            <w:pPr>
              <w:snapToGrid w:val="0"/>
              <w:spacing w:line="240" w:lineRule="auto"/>
              <w:ind w:firstLine="420"/>
              <w:jc w:val="center"/>
              <w:rPr>
                <w:rFonts w:cs="Times New Roman"/>
                <w:color w:val="000000" w:themeColor="text1"/>
                <w:sz w:val="21"/>
                <w:szCs w:val="21"/>
              </w:rPr>
            </w:pPr>
          </w:p>
        </w:tc>
        <w:tc>
          <w:tcPr>
            <w:tcW w:w="2302" w:type="pct"/>
            <w:vAlign w:val="center"/>
          </w:tcPr>
          <w:p w14:paraId="26EBC149"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头</w:t>
            </w:r>
            <w:proofErr w:type="gramStart"/>
            <w:r w:rsidRPr="009E464F">
              <w:rPr>
                <w:rFonts w:cs="Times New Roman"/>
                <w:color w:val="000000" w:themeColor="text1"/>
                <w:sz w:val="21"/>
                <w:szCs w:val="21"/>
                <w:shd w:val="clear" w:color="auto" w:fill="FFFFFF"/>
              </w:rPr>
              <w:t>孢唑</w:t>
            </w:r>
            <w:proofErr w:type="gramEnd"/>
            <w:r w:rsidRPr="009E464F">
              <w:rPr>
                <w:rFonts w:cs="Times New Roman"/>
                <w:color w:val="000000" w:themeColor="text1"/>
                <w:sz w:val="21"/>
                <w:szCs w:val="21"/>
                <w:shd w:val="clear" w:color="auto" w:fill="FFFFFF"/>
              </w:rPr>
              <w:t>林</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ceftizoxime)</w:t>
            </w:r>
          </w:p>
        </w:tc>
        <w:tc>
          <w:tcPr>
            <w:tcW w:w="1933" w:type="pct"/>
            <w:vAlign w:val="center"/>
          </w:tcPr>
          <w:p w14:paraId="3D62D48D"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74181BA8" w14:textId="77777777" w:rsidTr="008663B1">
        <w:trPr>
          <w:jc w:val="center"/>
        </w:trPr>
        <w:tc>
          <w:tcPr>
            <w:tcW w:w="765" w:type="pct"/>
            <w:vMerge/>
            <w:vAlign w:val="center"/>
          </w:tcPr>
          <w:p w14:paraId="57E54D8D" w14:textId="77777777" w:rsidR="00BF22C5" w:rsidRPr="009E464F" w:rsidRDefault="00BF22C5" w:rsidP="0083505F">
            <w:pPr>
              <w:snapToGrid w:val="0"/>
              <w:spacing w:line="240" w:lineRule="auto"/>
              <w:ind w:firstLine="420"/>
              <w:jc w:val="center"/>
              <w:rPr>
                <w:rFonts w:cs="Times New Roman"/>
                <w:color w:val="000000" w:themeColor="text1"/>
                <w:sz w:val="21"/>
                <w:szCs w:val="21"/>
              </w:rPr>
            </w:pPr>
          </w:p>
        </w:tc>
        <w:tc>
          <w:tcPr>
            <w:tcW w:w="2302" w:type="pct"/>
            <w:vAlign w:val="center"/>
          </w:tcPr>
          <w:p w14:paraId="12DCFD81"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proofErr w:type="gramStart"/>
            <w:r w:rsidRPr="009E464F">
              <w:rPr>
                <w:rFonts w:cs="Times New Roman"/>
                <w:color w:val="000000" w:themeColor="text1"/>
                <w:sz w:val="21"/>
                <w:szCs w:val="21"/>
              </w:rPr>
              <w:t>呋</w:t>
            </w:r>
            <w:proofErr w:type="gramEnd"/>
            <w:r w:rsidRPr="009E464F">
              <w:rPr>
                <w:rFonts w:cs="Times New Roman"/>
                <w:color w:val="000000" w:themeColor="text1"/>
                <w:sz w:val="21"/>
                <w:szCs w:val="21"/>
              </w:rPr>
              <w:t>塞米</w:t>
            </w:r>
            <w:r w:rsidRPr="009E464F">
              <w:rPr>
                <w:rFonts w:cs="Times New Roman"/>
                <w:color w:val="000000" w:themeColor="text1"/>
                <w:sz w:val="21"/>
                <w:szCs w:val="21"/>
              </w:rPr>
              <w:t>(furosemide)</w:t>
            </w:r>
          </w:p>
        </w:tc>
        <w:tc>
          <w:tcPr>
            <w:tcW w:w="1933" w:type="pct"/>
            <w:vAlign w:val="center"/>
          </w:tcPr>
          <w:p w14:paraId="42F60B30" w14:textId="77777777" w:rsidR="00BF22C5" w:rsidRPr="009E464F" w:rsidRDefault="00BF22C5">
            <w:pPr>
              <w:snapToGrid w:val="0"/>
              <w:spacing w:line="240" w:lineRule="auto"/>
              <w:ind w:firstLineChars="0" w:firstLine="0"/>
              <w:jc w:val="left"/>
              <w:rPr>
                <w:rFonts w:cs="Times New Roman"/>
                <w:color w:val="000000" w:themeColor="text1"/>
                <w:sz w:val="21"/>
                <w:szCs w:val="21"/>
              </w:rPr>
            </w:pPr>
          </w:p>
        </w:tc>
      </w:tr>
      <w:tr w:rsidR="00BF22C5" w:rsidRPr="009E464F" w14:paraId="06C7450E" w14:textId="77777777" w:rsidTr="008663B1">
        <w:trPr>
          <w:jc w:val="center"/>
        </w:trPr>
        <w:tc>
          <w:tcPr>
            <w:tcW w:w="765" w:type="pct"/>
            <w:vMerge/>
            <w:vAlign w:val="center"/>
          </w:tcPr>
          <w:p w14:paraId="5BE9F976" w14:textId="77777777" w:rsidR="00BF22C5" w:rsidRPr="009E464F" w:rsidRDefault="00BF22C5" w:rsidP="0083505F">
            <w:pPr>
              <w:snapToGrid w:val="0"/>
              <w:spacing w:line="240" w:lineRule="auto"/>
              <w:ind w:firstLine="420"/>
              <w:jc w:val="center"/>
              <w:rPr>
                <w:rFonts w:cs="Times New Roman"/>
                <w:color w:val="000000" w:themeColor="text1"/>
                <w:sz w:val="21"/>
                <w:szCs w:val="21"/>
              </w:rPr>
            </w:pPr>
          </w:p>
        </w:tc>
        <w:tc>
          <w:tcPr>
            <w:tcW w:w="2302" w:type="pct"/>
            <w:vAlign w:val="center"/>
          </w:tcPr>
          <w:p w14:paraId="3A140068"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更昔</w:t>
            </w:r>
            <w:proofErr w:type="gramStart"/>
            <w:r w:rsidRPr="009E464F">
              <w:rPr>
                <w:rFonts w:cs="Times New Roman"/>
                <w:color w:val="000000" w:themeColor="text1"/>
                <w:sz w:val="21"/>
                <w:szCs w:val="21"/>
                <w:shd w:val="clear" w:color="auto" w:fill="FFFFFF"/>
              </w:rPr>
              <w:t>洛</w:t>
            </w:r>
            <w:proofErr w:type="gramEnd"/>
            <w:r w:rsidRPr="009E464F">
              <w:rPr>
                <w:rFonts w:cs="Times New Roman"/>
                <w:color w:val="000000" w:themeColor="text1"/>
                <w:sz w:val="21"/>
                <w:szCs w:val="21"/>
                <w:shd w:val="clear" w:color="auto" w:fill="FFFFFF"/>
              </w:rPr>
              <w:t>韦</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ganciclovir)</w:t>
            </w:r>
          </w:p>
        </w:tc>
        <w:tc>
          <w:tcPr>
            <w:tcW w:w="1933" w:type="pct"/>
            <w:vAlign w:val="center"/>
          </w:tcPr>
          <w:p w14:paraId="2C6055C6" w14:textId="77777777" w:rsidR="00BF22C5" w:rsidRPr="009E464F" w:rsidRDefault="00BF22C5">
            <w:pPr>
              <w:snapToGrid w:val="0"/>
              <w:spacing w:line="240" w:lineRule="auto"/>
              <w:ind w:firstLineChars="0" w:firstLine="0"/>
              <w:jc w:val="left"/>
              <w:rPr>
                <w:rFonts w:cs="Times New Roman"/>
                <w:color w:val="000000" w:themeColor="text1"/>
                <w:sz w:val="21"/>
                <w:szCs w:val="21"/>
              </w:rPr>
            </w:pPr>
            <w:r w:rsidRPr="009E464F">
              <w:rPr>
                <w:rFonts w:cs="Times New Roman"/>
                <w:color w:val="000000" w:themeColor="text1"/>
                <w:sz w:val="21"/>
                <w:szCs w:val="21"/>
              </w:rPr>
              <w:t>OAT1</w:t>
            </w:r>
            <w:r w:rsidRPr="009E464F">
              <w:rPr>
                <w:rFonts w:cs="Times New Roman"/>
                <w:color w:val="000000" w:themeColor="text1"/>
                <w:sz w:val="21"/>
                <w:szCs w:val="21"/>
              </w:rPr>
              <w:t>的选择性底物（相比于</w:t>
            </w:r>
            <w:r w:rsidRPr="009E464F">
              <w:rPr>
                <w:rFonts w:cs="Times New Roman"/>
                <w:color w:val="000000" w:themeColor="text1"/>
                <w:sz w:val="21"/>
                <w:szCs w:val="21"/>
              </w:rPr>
              <w:t>OAT3</w:t>
            </w:r>
            <w:r w:rsidRPr="009E464F">
              <w:rPr>
                <w:rFonts w:cs="Times New Roman"/>
                <w:color w:val="000000" w:themeColor="text1"/>
                <w:sz w:val="21"/>
                <w:szCs w:val="21"/>
              </w:rPr>
              <w:t>）</w:t>
            </w:r>
          </w:p>
        </w:tc>
      </w:tr>
      <w:tr w:rsidR="00BF22C5" w:rsidRPr="009E464F" w14:paraId="6FDDE47B" w14:textId="77777777" w:rsidTr="008663B1">
        <w:trPr>
          <w:jc w:val="center"/>
        </w:trPr>
        <w:tc>
          <w:tcPr>
            <w:tcW w:w="765" w:type="pct"/>
            <w:vMerge/>
            <w:vAlign w:val="center"/>
          </w:tcPr>
          <w:p w14:paraId="25B0DF70" w14:textId="77777777" w:rsidR="00BF22C5" w:rsidRPr="009E464F" w:rsidRDefault="00BF22C5" w:rsidP="0083505F">
            <w:pPr>
              <w:snapToGrid w:val="0"/>
              <w:spacing w:line="240" w:lineRule="auto"/>
              <w:ind w:firstLine="420"/>
              <w:jc w:val="center"/>
              <w:rPr>
                <w:rFonts w:cs="Times New Roman"/>
                <w:color w:val="000000" w:themeColor="text1"/>
                <w:sz w:val="21"/>
                <w:szCs w:val="21"/>
              </w:rPr>
            </w:pPr>
          </w:p>
        </w:tc>
        <w:tc>
          <w:tcPr>
            <w:tcW w:w="2302" w:type="pct"/>
            <w:vAlign w:val="center"/>
          </w:tcPr>
          <w:p w14:paraId="0D788BC1"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法莫替丁（</w:t>
            </w:r>
            <w:r w:rsidRPr="009E464F">
              <w:rPr>
                <w:rFonts w:cs="Times New Roman"/>
                <w:color w:val="000000" w:themeColor="text1"/>
                <w:sz w:val="21"/>
                <w:szCs w:val="21"/>
              </w:rPr>
              <w:t>famotidine</w:t>
            </w:r>
            <w:r w:rsidRPr="009E464F">
              <w:rPr>
                <w:rFonts w:cs="Times New Roman"/>
                <w:color w:val="000000" w:themeColor="text1"/>
                <w:sz w:val="21"/>
                <w:szCs w:val="21"/>
              </w:rPr>
              <w:t>）</w:t>
            </w:r>
          </w:p>
        </w:tc>
        <w:tc>
          <w:tcPr>
            <w:tcW w:w="1933" w:type="pct"/>
            <w:vAlign w:val="center"/>
          </w:tcPr>
          <w:p w14:paraId="64962A33"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p>
        </w:tc>
      </w:tr>
      <w:tr w:rsidR="00BF22C5" w:rsidRPr="009E464F" w14:paraId="3259AD4C" w14:textId="77777777" w:rsidTr="008663B1">
        <w:trPr>
          <w:jc w:val="center"/>
        </w:trPr>
        <w:tc>
          <w:tcPr>
            <w:tcW w:w="765" w:type="pct"/>
            <w:vMerge/>
            <w:vAlign w:val="center"/>
          </w:tcPr>
          <w:p w14:paraId="2E93297D" w14:textId="77777777" w:rsidR="00BF22C5" w:rsidRPr="009E464F" w:rsidRDefault="00BF22C5" w:rsidP="0083505F">
            <w:pPr>
              <w:snapToGrid w:val="0"/>
              <w:spacing w:line="240" w:lineRule="auto"/>
              <w:ind w:firstLine="420"/>
              <w:jc w:val="center"/>
              <w:rPr>
                <w:rFonts w:cs="Times New Roman"/>
                <w:color w:val="000000" w:themeColor="text1"/>
                <w:sz w:val="21"/>
                <w:szCs w:val="21"/>
              </w:rPr>
            </w:pPr>
          </w:p>
        </w:tc>
        <w:tc>
          <w:tcPr>
            <w:tcW w:w="2302" w:type="pct"/>
            <w:vAlign w:val="center"/>
          </w:tcPr>
          <w:p w14:paraId="5EAB5BFA"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甲氨蝶</w:t>
            </w:r>
            <w:proofErr w:type="gramStart"/>
            <w:r w:rsidRPr="009E464F">
              <w:rPr>
                <w:rFonts w:cs="Times New Roman"/>
                <w:color w:val="000000" w:themeColor="text1"/>
                <w:sz w:val="21"/>
                <w:szCs w:val="21"/>
              </w:rPr>
              <w:t>呤</w:t>
            </w:r>
            <w:proofErr w:type="gramEnd"/>
            <w:r w:rsidRPr="009E464F">
              <w:rPr>
                <w:rFonts w:cs="Times New Roman"/>
                <w:color w:val="000000" w:themeColor="text1"/>
                <w:sz w:val="21"/>
                <w:szCs w:val="21"/>
              </w:rPr>
              <w:t>（</w:t>
            </w:r>
            <w:r w:rsidRPr="009E464F">
              <w:rPr>
                <w:rFonts w:cs="Times New Roman"/>
                <w:color w:val="000000" w:themeColor="text1"/>
                <w:sz w:val="21"/>
                <w:szCs w:val="21"/>
              </w:rPr>
              <w:t>methotrexate</w:t>
            </w:r>
            <w:r w:rsidRPr="009E464F">
              <w:rPr>
                <w:rFonts w:cs="Times New Roman"/>
                <w:color w:val="000000" w:themeColor="text1"/>
                <w:sz w:val="21"/>
                <w:szCs w:val="21"/>
              </w:rPr>
              <w:t>）</w:t>
            </w:r>
          </w:p>
        </w:tc>
        <w:tc>
          <w:tcPr>
            <w:tcW w:w="1933" w:type="pct"/>
            <w:vAlign w:val="center"/>
          </w:tcPr>
          <w:p w14:paraId="6EF46F2B"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p>
        </w:tc>
      </w:tr>
      <w:tr w:rsidR="00BF22C5" w:rsidRPr="009E464F" w14:paraId="07B30A4D" w14:textId="77777777" w:rsidTr="008663B1">
        <w:trPr>
          <w:jc w:val="center"/>
        </w:trPr>
        <w:tc>
          <w:tcPr>
            <w:tcW w:w="765" w:type="pct"/>
            <w:vMerge/>
            <w:vAlign w:val="center"/>
          </w:tcPr>
          <w:p w14:paraId="355A0D02" w14:textId="77777777" w:rsidR="00BF22C5" w:rsidRPr="009E464F" w:rsidRDefault="00BF22C5" w:rsidP="0083505F">
            <w:pPr>
              <w:snapToGrid w:val="0"/>
              <w:spacing w:line="240" w:lineRule="auto"/>
              <w:ind w:firstLine="420"/>
              <w:jc w:val="center"/>
              <w:rPr>
                <w:rFonts w:cs="Times New Roman"/>
                <w:color w:val="000000" w:themeColor="text1"/>
                <w:sz w:val="21"/>
                <w:szCs w:val="21"/>
              </w:rPr>
            </w:pPr>
          </w:p>
        </w:tc>
        <w:tc>
          <w:tcPr>
            <w:tcW w:w="2302" w:type="pct"/>
            <w:vAlign w:val="center"/>
          </w:tcPr>
          <w:p w14:paraId="5AB1DBBE" w14:textId="77777777" w:rsidR="00BF22C5" w:rsidRPr="009E464F" w:rsidRDefault="00BF22C5">
            <w:pPr>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rPr>
              <w:t>奥司他韦</w:t>
            </w:r>
            <w:proofErr w:type="gramEnd"/>
            <w:r w:rsidRPr="009E464F">
              <w:rPr>
                <w:rFonts w:cs="Times New Roman"/>
                <w:color w:val="000000" w:themeColor="text1"/>
                <w:sz w:val="21"/>
                <w:szCs w:val="21"/>
              </w:rPr>
              <w:t>羧化物（</w:t>
            </w:r>
            <w:r w:rsidRPr="009E464F">
              <w:rPr>
                <w:rFonts w:cs="Times New Roman"/>
                <w:color w:val="000000" w:themeColor="text1"/>
                <w:sz w:val="21"/>
                <w:szCs w:val="21"/>
              </w:rPr>
              <w:t>oseltamivir carboxylate</w:t>
            </w:r>
            <w:r w:rsidRPr="009E464F">
              <w:rPr>
                <w:rFonts w:cs="Times New Roman"/>
                <w:color w:val="000000" w:themeColor="text1"/>
                <w:sz w:val="21"/>
                <w:szCs w:val="21"/>
              </w:rPr>
              <w:t>）</w:t>
            </w:r>
          </w:p>
        </w:tc>
        <w:tc>
          <w:tcPr>
            <w:tcW w:w="1933" w:type="pct"/>
            <w:vAlign w:val="center"/>
          </w:tcPr>
          <w:p w14:paraId="7447F5F1" w14:textId="77777777" w:rsidR="00BF22C5" w:rsidRPr="009E464F" w:rsidRDefault="00BF22C5">
            <w:pPr>
              <w:snapToGrid w:val="0"/>
              <w:spacing w:line="240" w:lineRule="auto"/>
              <w:ind w:firstLineChars="18" w:firstLine="38"/>
              <w:jc w:val="left"/>
              <w:rPr>
                <w:rFonts w:cs="Times New Roman"/>
                <w:color w:val="000000" w:themeColor="text1"/>
                <w:sz w:val="21"/>
                <w:szCs w:val="21"/>
                <w:shd w:val="clear" w:color="auto" w:fill="FFFFFF"/>
              </w:rPr>
            </w:pPr>
            <w:r w:rsidRPr="009E464F">
              <w:rPr>
                <w:rFonts w:cs="Times New Roman"/>
                <w:color w:val="000000" w:themeColor="text1"/>
                <w:sz w:val="21"/>
                <w:szCs w:val="21"/>
              </w:rPr>
              <w:t>OAT3</w:t>
            </w:r>
            <w:r w:rsidRPr="009E464F">
              <w:rPr>
                <w:rFonts w:cs="Times New Roman"/>
                <w:color w:val="000000" w:themeColor="text1"/>
                <w:sz w:val="21"/>
                <w:szCs w:val="21"/>
              </w:rPr>
              <w:t>的选择性底物（相比于</w:t>
            </w:r>
            <w:r w:rsidRPr="009E464F">
              <w:rPr>
                <w:rFonts w:cs="Times New Roman"/>
                <w:color w:val="000000" w:themeColor="text1"/>
                <w:sz w:val="21"/>
                <w:szCs w:val="21"/>
              </w:rPr>
              <w:t>OAT1</w:t>
            </w:r>
            <w:r w:rsidRPr="009E464F">
              <w:rPr>
                <w:rFonts w:cs="Times New Roman"/>
                <w:color w:val="000000" w:themeColor="text1"/>
                <w:sz w:val="21"/>
                <w:szCs w:val="21"/>
              </w:rPr>
              <w:t>）</w:t>
            </w:r>
          </w:p>
        </w:tc>
      </w:tr>
      <w:tr w:rsidR="00BF22C5" w:rsidRPr="009E464F" w14:paraId="11D71526" w14:textId="77777777" w:rsidTr="008663B1">
        <w:trPr>
          <w:jc w:val="center"/>
        </w:trPr>
        <w:tc>
          <w:tcPr>
            <w:tcW w:w="765" w:type="pct"/>
            <w:vAlign w:val="center"/>
          </w:tcPr>
          <w:p w14:paraId="7A9EE73D"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r w:rsidRPr="009E464F">
              <w:rPr>
                <w:rFonts w:cs="Times New Roman"/>
                <w:color w:val="000000" w:themeColor="text1"/>
                <w:sz w:val="21"/>
                <w:szCs w:val="21"/>
              </w:rPr>
              <w:t>MATE1,</w:t>
            </w:r>
          </w:p>
          <w:p w14:paraId="3D1A0300" w14:textId="0F1C33D6" w:rsidR="00F9543F" w:rsidRDefault="00BF22C5" w:rsidP="0083505F">
            <w:pPr>
              <w:snapToGrid w:val="0"/>
              <w:spacing w:line="240" w:lineRule="auto"/>
              <w:ind w:firstLineChars="14" w:firstLine="29"/>
              <w:jc w:val="center"/>
              <w:rPr>
                <w:rFonts w:cs="Times New Roman"/>
                <w:color w:val="000000" w:themeColor="text1"/>
                <w:sz w:val="21"/>
                <w:szCs w:val="21"/>
              </w:rPr>
            </w:pPr>
            <w:r w:rsidRPr="009E464F">
              <w:rPr>
                <w:rFonts w:cs="Times New Roman"/>
                <w:color w:val="000000" w:themeColor="text1"/>
                <w:sz w:val="21"/>
                <w:szCs w:val="21"/>
              </w:rPr>
              <w:t>MATE-2K</w:t>
            </w:r>
          </w:p>
          <w:p w14:paraId="29F1E9F3" w14:textId="77777777" w:rsidR="00BF22C5" w:rsidRPr="009E464F" w:rsidRDefault="00BF22C5" w:rsidP="0083505F">
            <w:pPr>
              <w:snapToGrid w:val="0"/>
              <w:spacing w:line="240" w:lineRule="auto"/>
              <w:ind w:firstLineChars="14" w:firstLine="29"/>
              <w:jc w:val="center"/>
              <w:rPr>
                <w:rFonts w:cs="Times New Roman"/>
                <w:color w:val="000000" w:themeColor="text1"/>
                <w:sz w:val="21"/>
                <w:szCs w:val="21"/>
              </w:rPr>
            </w:pPr>
            <w:r w:rsidRPr="009E464F">
              <w:rPr>
                <w:rFonts w:cs="Times New Roman"/>
                <w:color w:val="000000" w:themeColor="text1"/>
                <w:sz w:val="21"/>
                <w:szCs w:val="21"/>
              </w:rPr>
              <w:t>OCT2</w:t>
            </w:r>
          </w:p>
        </w:tc>
        <w:tc>
          <w:tcPr>
            <w:tcW w:w="2302" w:type="pct"/>
            <w:vAlign w:val="center"/>
          </w:tcPr>
          <w:p w14:paraId="40A8C5AD"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二甲双</w:t>
            </w:r>
            <w:proofErr w:type="gramStart"/>
            <w:r w:rsidRPr="009E464F">
              <w:rPr>
                <w:rFonts w:cs="Times New Roman"/>
                <w:color w:val="000000" w:themeColor="text1"/>
                <w:sz w:val="21"/>
                <w:szCs w:val="21"/>
              </w:rPr>
              <w:t>胍</w:t>
            </w:r>
            <w:proofErr w:type="gramEnd"/>
            <w:r w:rsidRPr="009E464F">
              <w:rPr>
                <w:rFonts w:cs="Times New Roman"/>
                <w:color w:val="000000" w:themeColor="text1"/>
                <w:sz w:val="21"/>
                <w:szCs w:val="21"/>
              </w:rPr>
              <w:t>(metformin)</w:t>
            </w:r>
          </w:p>
        </w:tc>
        <w:tc>
          <w:tcPr>
            <w:tcW w:w="1933" w:type="pct"/>
            <w:vAlign w:val="center"/>
          </w:tcPr>
          <w:p w14:paraId="25B452BE"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p>
        </w:tc>
      </w:tr>
    </w:tbl>
    <w:p w14:paraId="03530948" w14:textId="77777777" w:rsidR="00BF22C5" w:rsidRPr="009E464F" w:rsidRDefault="00BF22C5">
      <w:pPr>
        <w:spacing w:line="240" w:lineRule="auto"/>
        <w:ind w:firstLine="420"/>
        <w:jc w:val="left"/>
        <w:rPr>
          <w:rFonts w:cs="Times New Roman"/>
          <w:color w:val="000000" w:themeColor="text1"/>
          <w:sz w:val="21"/>
          <w:szCs w:val="21"/>
        </w:rPr>
      </w:pPr>
    </w:p>
    <w:p w14:paraId="2397C4A8" w14:textId="47FD464C" w:rsidR="00BF22C5" w:rsidRPr="0083505F" w:rsidRDefault="00BF22C5" w:rsidP="00671896">
      <w:pPr>
        <w:spacing w:line="240" w:lineRule="auto"/>
        <w:ind w:firstLineChars="0" w:firstLine="0"/>
        <w:jc w:val="center"/>
        <w:rPr>
          <w:rFonts w:cs="Times New Roman"/>
          <w:color w:val="000000" w:themeColor="text1"/>
          <w:sz w:val="24"/>
          <w:szCs w:val="24"/>
          <w:lang w:eastAsia="zh-CN"/>
        </w:rPr>
      </w:pPr>
      <w:r w:rsidRPr="0083505F">
        <w:rPr>
          <w:rFonts w:cs="Times New Roman" w:hint="eastAsia"/>
          <w:color w:val="000000" w:themeColor="text1"/>
          <w:sz w:val="24"/>
          <w:szCs w:val="24"/>
          <w:lang w:eastAsia="zh-CN"/>
        </w:rPr>
        <w:t>表</w:t>
      </w:r>
      <w:r w:rsidRPr="0083505F">
        <w:rPr>
          <w:rFonts w:cs="Times New Roman"/>
          <w:color w:val="000000" w:themeColor="text1"/>
          <w:sz w:val="24"/>
          <w:szCs w:val="24"/>
          <w:lang w:eastAsia="zh-CN"/>
        </w:rPr>
        <w:t xml:space="preserve"> </w:t>
      </w:r>
      <w:r w:rsidR="00710C84">
        <w:rPr>
          <w:rFonts w:cs="Times New Roman"/>
          <w:color w:val="000000" w:themeColor="text1"/>
          <w:sz w:val="24"/>
          <w:szCs w:val="24"/>
          <w:lang w:eastAsia="zh-CN"/>
        </w:rPr>
        <w:t>11</w:t>
      </w:r>
      <w:r w:rsidRPr="0083505F">
        <w:rPr>
          <w:rFonts w:cs="Times New Roman" w:hint="eastAsia"/>
          <w:color w:val="000000" w:themeColor="text1"/>
          <w:sz w:val="24"/>
          <w:szCs w:val="24"/>
          <w:lang w:eastAsia="zh-CN"/>
        </w:rPr>
        <w:t>临床试验可选择的转运体抑制剂</w:t>
      </w:r>
    </w:p>
    <w:tbl>
      <w:tblPr>
        <w:tblStyle w:val="af7"/>
        <w:tblW w:w="5000" w:type="pct"/>
        <w:jc w:val="center"/>
        <w:tblLook w:val="04A0" w:firstRow="1" w:lastRow="0" w:firstColumn="1" w:lastColumn="0" w:noHBand="0" w:noVBand="1"/>
      </w:tblPr>
      <w:tblGrid>
        <w:gridCol w:w="1529"/>
        <w:gridCol w:w="3774"/>
        <w:gridCol w:w="4047"/>
      </w:tblGrid>
      <w:tr w:rsidR="00BF22C5" w:rsidRPr="009E464F" w14:paraId="0531165B" w14:textId="77777777" w:rsidTr="008663B1">
        <w:trPr>
          <w:trHeight w:val="70"/>
          <w:jc w:val="center"/>
        </w:trPr>
        <w:tc>
          <w:tcPr>
            <w:tcW w:w="818" w:type="pct"/>
          </w:tcPr>
          <w:p w14:paraId="10602F0A" w14:textId="77777777" w:rsidR="00BF22C5" w:rsidRPr="009E464F" w:rsidRDefault="00BF22C5" w:rsidP="0083505F">
            <w:pPr>
              <w:snapToGrid w:val="0"/>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转运体</w:t>
            </w:r>
          </w:p>
        </w:tc>
        <w:tc>
          <w:tcPr>
            <w:tcW w:w="2018" w:type="pct"/>
          </w:tcPr>
          <w:p w14:paraId="54F93A1E" w14:textId="77777777" w:rsidR="00BF22C5" w:rsidRPr="009E464F" w:rsidRDefault="00BF22C5" w:rsidP="0083505F">
            <w:pPr>
              <w:snapToGrid w:val="0"/>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抑制剂</w:t>
            </w:r>
          </w:p>
        </w:tc>
        <w:tc>
          <w:tcPr>
            <w:tcW w:w="2164" w:type="pct"/>
          </w:tcPr>
          <w:p w14:paraId="78378688" w14:textId="77777777" w:rsidR="00BF22C5" w:rsidRPr="009E464F" w:rsidRDefault="00BF22C5" w:rsidP="0083505F">
            <w:pPr>
              <w:snapToGrid w:val="0"/>
              <w:spacing w:line="240" w:lineRule="auto"/>
              <w:ind w:firstLine="420"/>
              <w:jc w:val="center"/>
              <w:rPr>
                <w:rFonts w:cs="Times New Roman"/>
                <w:color w:val="000000" w:themeColor="text1"/>
                <w:sz w:val="21"/>
                <w:szCs w:val="21"/>
              </w:rPr>
            </w:pPr>
            <w:r w:rsidRPr="009E464F">
              <w:rPr>
                <w:rFonts w:cs="Times New Roman"/>
                <w:color w:val="000000" w:themeColor="text1"/>
                <w:sz w:val="21"/>
                <w:szCs w:val="21"/>
              </w:rPr>
              <w:t>备注</w:t>
            </w:r>
          </w:p>
        </w:tc>
      </w:tr>
      <w:tr w:rsidR="00BF22C5" w:rsidRPr="009E464F" w14:paraId="040A1F4B" w14:textId="77777777" w:rsidTr="008663B1">
        <w:trPr>
          <w:jc w:val="center"/>
        </w:trPr>
        <w:tc>
          <w:tcPr>
            <w:tcW w:w="818" w:type="pct"/>
            <w:vMerge w:val="restart"/>
            <w:vAlign w:val="center"/>
          </w:tcPr>
          <w:p w14:paraId="090305CA"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r w:rsidRPr="009E464F">
              <w:rPr>
                <w:rFonts w:cs="Times New Roman"/>
                <w:color w:val="000000" w:themeColor="text1"/>
                <w:sz w:val="21"/>
                <w:szCs w:val="21"/>
              </w:rPr>
              <w:t>P-</w:t>
            </w:r>
            <w:proofErr w:type="spellStart"/>
            <w:r w:rsidRPr="009E464F">
              <w:rPr>
                <w:rFonts w:cs="Times New Roman"/>
                <w:color w:val="000000" w:themeColor="text1"/>
                <w:sz w:val="21"/>
                <w:szCs w:val="21"/>
              </w:rPr>
              <w:t>gp</w:t>
            </w:r>
            <w:proofErr w:type="spellEnd"/>
          </w:p>
        </w:tc>
        <w:tc>
          <w:tcPr>
            <w:tcW w:w="2018" w:type="pct"/>
            <w:vAlign w:val="center"/>
          </w:tcPr>
          <w:p w14:paraId="5401D878"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雷诺</w:t>
            </w:r>
            <w:proofErr w:type="gramStart"/>
            <w:r w:rsidRPr="009E464F">
              <w:rPr>
                <w:rFonts w:cs="Times New Roman"/>
                <w:color w:val="000000" w:themeColor="text1"/>
                <w:sz w:val="21"/>
                <w:szCs w:val="21"/>
              </w:rPr>
              <w:t>嗪</w:t>
            </w:r>
            <w:proofErr w:type="gramEnd"/>
            <w:r w:rsidRPr="009E464F">
              <w:rPr>
                <w:rFonts w:cs="Times New Roman"/>
                <w:color w:val="000000" w:themeColor="text1"/>
                <w:sz w:val="21"/>
                <w:szCs w:val="21"/>
              </w:rPr>
              <w:t>(ranolazine)</w:t>
            </w:r>
          </w:p>
        </w:tc>
        <w:tc>
          <w:tcPr>
            <w:tcW w:w="2164" w:type="pct"/>
            <w:vAlign w:val="center"/>
          </w:tcPr>
          <w:p w14:paraId="65DA5560"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也抑制</w:t>
            </w:r>
            <w:r w:rsidRPr="009E464F">
              <w:rPr>
                <w:rFonts w:cs="Times New Roman"/>
                <w:color w:val="000000" w:themeColor="text1"/>
                <w:sz w:val="21"/>
                <w:szCs w:val="21"/>
              </w:rPr>
              <w:t>OCT2</w:t>
            </w:r>
            <w:r w:rsidRPr="009E464F">
              <w:rPr>
                <w:rFonts w:cs="Times New Roman"/>
                <w:color w:val="000000" w:themeColor="text1"/>
                <w:sz w:val="21"/>
                <w:szCs w:val="21"/>
              </w:rPr>
              <w:t>活性</w:t>
            </w:r>
          </w:p>
        </w:tc>
      </w:tr>
      <w:tr w:rsidR="00BF22C5" w:rsidRPr="009E464F" w14:paraId="441CDCD9" w14:textId="77777777" w:rsidTr="008663B1">
        <w:trPr>
          <w:jc w:val="center"/>
        </w:trPr>
        <w:tc>
          <w:tcPr>
            <w:tcW w:w="818" w:type="pct"/>
            <w:vMerge/>
            <w:vAlign w:val="center"/>
          </w:tcPr>
          <w:p w14:paraId="135F2471"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4405AC43"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维拉帕米</w:t>
            </w:r>
            <w:r w:rsidRPr="009E464F">
              <w:rPr>
                <w:rFonts w:cs="Times New Roman"/>
                <w:color w:val="000000" w:themeColor="text1"/>
                <w:sz w:val="21"/>
                <w:szCs w:val="21"/>
              </w:rPr>
              <w:t>(verapamil)</w:t>
            </w:r>
          </w:p>
        </w:tc>
        <w:tc>
          <w:tcPr>
            <w:tcW w:w="2164" w:type="pct"/>
            <w:vAlign w:val="center"/>
          </w:tcPr>
          <w:p w14:paraId="28AE5C6F"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也抑制</w:t>
            </w:r>
            <w:r w:rsidRPr="009E464F">
              <w:rPr>
                <w:rFonts w:cs="Times New Roman"/>
                <w:color w:val="000000" w:themeColor="text1"/>
                <w:sz w:val="21"/>
                <w:szCs w:val="21"/>
              </w:rPr>
              <w:t>OCT2</w:t>
            </w:r>
            <w:r w:rsidRPr="009E464F">
              <w:rPr>
                <w:rFonts w:cs="Times New Roman"/>
                <w:color w:val="000000" w:themeColor="text1"/>
                <w:sz w:val="21"/>
                <w:szCs w:val="21"/>
              </w:rPr>
              <w:t>和</w:t>
            </w:r>
            <w:r w:rsidRPr="009E464F">
              <w:rPr>
                <w:rFonts w:cs="Times New Roman"/>
                <w:color w:val="000000" w:themeColor="text1"/>
                <w:sz w:val="21"/>
                <w:szCs w:val="21"/>
              </w:rPr>
              <w:t>CYP3A4</w:t>
            </w:r>
            <w:r w:rsidRPr="009E464F">
              <w:rPr>
                <w:rFonts w:cs="Times New Roman"/>
                <w:color w:val="000000" w:themeColor="text1"/>
                <w:sz w:val="21"/>
                <w:szCs w:val="21"/>
              </w:rPr>
              <w:t>活性</w:t>
            </w:r>
          </w:p>
        </w:tc>
      </w:tr>
      <w:tr w:rsidR="00BF22C5" w:rsidRPr="009E464F" w14:paraId="7EB7B644" w14:textId="77777777" w:rsidTr="008663B1">
        <w:trPr>
          <w:jc w:val="center"/>
        </w:trPr>
        <w:tc>
          <w:tcPr>
            <w:tcW w:w="818" w:type="pct"/>
            <w:vMerge/>
            <w:vAlign w:val="center"/>
          </w:tcPr>
          <w:p w14:paraId="22515876"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25BB625D"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伊曲康</w:t>
            </w:r>
            <w:proofErr w:type="gramStart"/>
            <w:r w:rsidRPr="009E464F">
              <w:rPr>
                <w:rFonts w:cs="Times New Roman"/>
                <w:color w:val="000000" w:themeColor="text1"/>
                <w:sz w:val="21"/>
                <w:szCs w:val="21"/>
              </w:rPr>
              <w:t>唑</w:t>
            </w:r>
            <w:proofErr w:type="gramEnd"/>
            <w:r w:rsidRPr="009E464F">
              <w:rPr>
                <w:rFonts w:cs="Times New Roman"/>
                <w:color w:val="000000" w:themeColor="text1"/>
                <w:sz w:val="21"/>
                <w:szCs w:val="21"/>
              </w:rPr>
              <w:t>(itraconazole)</w:t>
            </w:r>
          </w:p>
        </w:tc>
        <w:tc>
          <w:tcPr>
            <w:tcW w:w="2164" w:type="pct"/>
            <w:vAlign w:val="center"/>
          </w:tcPr>
          <w:p w14:paraId="20B945CE"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也抑制</w:t>
            </w:r>
            <w:r w:rsidRPr="009E464F">
              <w:rPr>
                <w:rFonts w:cs="Times New Roman"/>
                <w:color w:val="000000" w:themeColor="text1"/>
                <w:sz w:val="21"/>
                <w:szCs w:val="21"/>
              </w:rPr>
              <w:t>CYP3A4</w:t>
            </w:r>
            <w:r w:rsidRPr="009E464F">
              <w:rPr>
                <w:rFonts w:cs="Times New Roman"/>
                <w:color w:val="000000" w:themeColor="text1"/>
                <w:sz w:val="21"/>
                <w:szCs w:val="21"/>
              </w:rPr>
              <w:t>和</w:t>
            </w:r>
            <w:r w:rsidRPr="009E464F">
              <w:rPr>
                <w:rFonts w:cs="Times New Roman"/>
                <w:color w:val="000000" w:themeColor="text1"/>
                <w:sz w:val="21"/>
                <w:szCs w:val="21"/>
              </w:rPr>
              <w:t>BCRP</w:t>
            </w:r>
            <w:r w:rsidRPr="009E464F">
              <w:rPr>
                <w:rFonts w:cs="Times New Roman"/>
                <w:color w:val="000000" w:themeColor="text1"/>
                <w:sz w:val="21"/>
                <w:szCs w:val="21"/>
              </w:rPr>
              <w:t>活性</w:t>
            </w:r>
          </w:p>
        </w:tc>
      </w:tr>
      <w:tr w:rsidR="00BF22C5" w:rsidRPr="009E464F" w14:paraId="04311543" w14:textId="77777777" w:rsidTr="008663B1">
        <w:trPr>
          <w:jc w:val="center"/>
        </w:trPr>
        <w:tc>
          <w:tcPr>
            <w:tcW w:w="818" w:type="pct"/>
            <w:vMerge/>
            <w:vAlign w:val="center"/>
          </w:tcPr>
          <w:p w14:paraId="68D84503"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4BDC7D19"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164" w:type="pct"/>
            <w:vAlign w:val="center"/>
          </w:tcPr>
          <w:p w14:paraId="64B80F55"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1707D4BF" w14:textId="77777777" w:rsidTr="008663B1">
        <w:trPr>
          <w:jc w:val="center"/>
        </w:trPr>
        <w:tc>
          <w:tcPr>
            <w:tcW w:w="818" w:type="pct"/>
            <w:vMerge/>
            <w:vAlign w:val="center"/>
          </w:tcPr>
          <w:p w14:paraId="6A095599"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0325B982"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克拉霉素</w:t>
            </w:r>
            <w:r w:rsidRPr="009E464F">
              <w:rPr>
                <w:rFonts w:cs="Times New Roman"/>
                <w:color w:val="000000" w:themeColor="text1"/>
                <w:sz w:val="21"/>
                <w:szCs w:val="21"/>
              </w:rPr>
              <w:t>(clarithromycin)</w:t>
            </w:r>
          </w:p>
        </w:tc>
        <w:tc>
          <w:tcPr>
            <w:tcW w:w="2164" w:type="pct"/>
            <w:vAlign w:val="center"/>
          </w:tcPr>
          <w:p w14:paraId="594A6B6B"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也抑制</w:t>
            </w:r>
            <w:r w:rsidRPr="009E464F">
              <w:rPr>
                <w:rFonts w:cs="Times New Roman"/>
                <w:color w:val="000000" w:themeColor="text1"/>
                <w:sz w:val="21"/>
                <w:szCs w:val="21"/>
              </w:rPr>
              <w:t>OATPs</w:t>
            </w:r>
            <w:r w:rsidRPr="009E464F">
              <w:rPr>
                <w:rFonts w:cs="Times New Roman"/>
                <w:color w:val="000000" w:themeColor="text1"/>
                <w:sz w:val="21"/>
                <w:szCs w:val="21"/>
              </w:rPr>
              <w:t>和</w:t>
            </w:r>
            <w:r w:rsidRPr="009E464F">
              <w:rPr>
                <w:rFonts w:cs="Times New Roman"/>
                <w:color w:val="000000" w:themeColor="text1"/>
                <w:sz w:val="21"/>
                <w:szCs w:val="21"/>
              </w:rPr>
              <w:t>CYP3A4</w:t>
            </w:r>
            <w:r w:rsidRPr="009E464F">
              <w:rPr>
                <w:rFonts w:cs="Times New Roman"/>
                <w:color w:val="000000" w:themeColor="text1"/>
                <w:sz w:val="21"/>
                <w:szCs w:val="21"/>
              </w:rPr>
              <w:t>活性</w:t>
            </w:r>
          </w:p>
        </w:tc>
      </w:tr>
      <w:tr w:rsidR="00BF22C5" w:rsidRPr="009E464F" w14:paraId="36738C42" w14:textId="77777777" w:rsidTr="008663B1">
        <w:trPr>
          <w:jc w:val="center"/>
        </w:trPr>
        <w:tc>
          <w:tcPr>
            <w:tcW w:w="818" w:type="pct"/>
            <w:vMerge/>
            <w:vAlign w:val="center"/>
          </w:tcPr>
          <w:p w14:paraId="22796AF2"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27088B4D"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奎尼丁</w:t>
            </w:r>
            <w:r w:rsidRPr="009E464F">
              <w:rPr>
                <w:rFonts w:cs="Times New Roman"/>
                <w:color w:val="000000" w:themeColor="text1"/>
                <w:sz w:val="21"/>
                <w:szCs w:val="21"/>
              </w:rPr>
              <w:t>(quinidine)</w:t>
            </w:r>
          </w:p>
        </w:tc>
        <w:tc>
          <w:tcPr>
            <w:tcW w:w="2164" w:type="pct"/>
            <w:vAlign w:val="center"/>
          </w:tcPr>
          <w:p w14:paraId="0DD4C418"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也抑制</w:t>
            </w:r>
            <w:r w:rsidRPr="009E464F">
              <w:rPr>
                <w:rFonts w:cs="Times New Roman"/>
                <w:color w:val="000000" w:themeColor="text1"/>
                <w:sz w:val="21"/>
                <w:szCs w:val="21"/>
              </w:rPr>
              <w:t>OCT2</w:t>
            </w:r>
            <w:r w:rsidRPr="009E464F">
              <w:rPr>
                <w:rFonts w:cs="Times New Roman"/>
                <w:color w:val="000000" w:themeColor="text1"/>
                <w:sz w:val="21"/>
                <w:szCs w:val="21"/>
              </w:rPr>
              <w:t>和</w:t>
            </w:r>
            <w:r w:rsidRPr="009E464F">
              <w:rPr>
                <w:rFonts w:cs="Times New Roman"/>
                <w:color w:val="000000" w:themeColor="text1"/>
                <w:sz w:val="21"/>
                <w:szCs w:val="21"/>
              </w:rPr>
              <w:t>CYP3A4</w:t>
            </w:r>
            <w:r w:rsidRPr="009E464F">
              <w:rPr>
                <w:rFonts w:cs="Times New Roman"/>
                <w:color w:val="000000" w:themeColor="text1"/>
                <w:sz w:val="21"/>
                <w:szCs w:val="21"/>
              </w:rPr>
              <w:t>活性</w:t>
            </w:r>
          </w:p>
        </w:tc>
      </w:tr>
      <w:tr w:rsidR="00BF22C5" w:rsidRPr="009E464F" w14:paraId="079B87EE" w14:textId="77777777" w:rsidTr="008663B1">
        <w:trPr>
          <w:jc w:val="center"/>
        </w:trPr>
        <w:tc>
          <w:tcPr>
            <w:tcW w:w="818" w:type="pct"/>
            <w:vMerge/>
            <w:vAlign w:val="center"/>
          </w:tcPr>
          <w:p w14:paraId="09D89B05"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55BFB687"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利托那韦</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ritonavir)</w:t>
            </w:r>
          </w:p>
        </w:tc>
        <w:tc>
          <w:tcPr>
            <w:tcW w:w="2164" w:type="pct"/>
            <w:vAlign w:val="center"/>
          </w:tcPr>
          <w:p w14:paraId="36CA3D39"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也抑制</w:t>
            </w:r>
            <w:r w:rsidRPr="009E464F">
              <w:rPr>
                <w:rFonts w:cs="Times New Roman"/>
                <w:color w:val="000000" w:themeColor="text1"/>
                <w:sz w:val="21"/>
                <w:szCs w:val="21"/>
              </w:rPr>
              <w:t>OATPs</w:t>
            </w:r>
            <w:r w:rsidRPr="009E464F">
              <w:rPr>
                <w:rFonts w:cs="Times New Roman"/>
                <w:color w:val="000000" w:themeColor="text1"/>
                <w:sz w:val="21"/>
                <w:szCs w:val="21"/>
              </w:rPr>
              <w:t>和</w:t>
            </w:r>
            <w:r w:rsidRPr="009E464F">
              <w:rPr>
                <w:rFonts w:cs="Times New Roman"/>
                <w:color w:val="000000" w:themeColor="text1"/>
                <w:sz w:val="21"/>
                <w:szCs w:val="21"/>
              </w:rPr>
              <w:t>CYP3A4</w:t>
            </w:r>
            <w:r w:rsidRPr="009E464F">
              <w:rPr>
                <w:rFonts w:cs="Times New Roman"/>
                <w:color w:val="000000" w:themeColor="text1"/>
                <w:sz w:val="21"/>
                <w:szCs w:val="21"/>
              </w:rPr>
              <w:t>活性</w:t>
            </w:r>
          </w:p>
        </w:tc>
      </w:tr>
      <w:tr w:rsidR="00BF22C5" w:rsidRPr="009E464F" w14:paraId="12ACD911" w14:textId="77777777" w:rsidTr="008663B1">
        <w:trPr>
          <w:jc w:val="center"/>
        </w:trPr>
        <w:tc>
          <w:tcPr>
            <w:tcW w:w="818" w:type="pct"/>
            <w:vMerge/>
            <w:vAlign w:val="center"/>
          </w:tcPr>
          <w:p w14:paraId="74BA6F3A"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2F4A05FF" w14:textId="77777777" w:rsidR="00BF22C5" w:rsidRPr="009E464F" w:rsidRDefault="00BF22C5">
            <w:pPr>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shd w:val="clear" w:color="auto" w:fill="FFFFFF"/>
              </w:rPr>
              <w:t>替拉那韦</w:t>
            </w:r>
            <w:r w:rsidRPr="009E464F">
              <w:rPr>
                <w:rFonts w:cs="Times New Roman"/>
                <w:color w:val="000000" w:themeColor="text1"/>
                <w:sz w:val="21"/>
                <w:szCs w:val="21"/>
                <w:shd w:val="clear" w:color="auto" w:fill="FFFFFF"/>
              </w:rPr>
              <w:t>(</w:t>
            </w:r>
            <w:proofErr w:type="gramEnd"/>
            <w:r w:rsidRPr="009E464F">
              <w:rPr>
                <w:rFonts w:cs="Times New Roman"/>
                <w:color w:val="000000" w:themeColor="text1"/>
                <w:sz w:val="21"/>
                <w:szCs w:val="21"/>
              </w:rPr>
              <w:t>telaprevir)</w:t>
            </w:r>
          </w:p>
        </w:tc>
        <w:tc>
          <w:tcPr>
            <w:tcW w:w="2164" w:type="pct"/>
            <w:vAlign w:val="center"/>
          </w:tcPr>
          <w:p w14:paraId="45D4E047"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也抑制</w:t>
            </w:r>
            <w:r w:rsidRPr="009E464F">
              <w:rPr>
                <w:rFonts w:cs="Times New Roman"/>
                <w:color w:val="000000" w:themeColor="text1"/>
                <w:sz w:val="21"/>
                <w:szCs w:val="21"/>
              </w:rPr>
              <w:t>OATPs</w:t>
            </w:r>
            <w:r w:rsidRPr="009E464F">
              <w:rPr>
                <w:rFonts w:cs="Times New Roman"/>
                <w:color w:val="000000" w:themeColor="text1"/>
                <w:sz w:val="21"/>
                <w:szCs w:val="21"/>
              </w:rPr>
              <w:t>和</w:t>
            </w:r>
            <w:r w:rsidRPr="009E464F">
              <w:rPr>
                <w:rFonts w:cs="Times New Roman"/>
                <w:color w:val="000000" w:themeColor="text1"/>
                <w:sz w:val="21"/>
                <w:szCs w:val="21"/>
              </w:rPr>
              <w:t>CYP3A4</w:t>
            </w:r>
            <w:r w:rsidRPr="009E464F">
              <w:rPr>
                <w:rFonts w:cs="Times New Roman"/>
                <w:color w:val="000000" w:themeColor="text1"/>
                <w:sz w:val="21"/>
                <w:szCs w:val="21"/>
              </w:rPr>
              <w:t>活性</w:t>
            </w:r>
          </w:p>
        </w:tc>
      </w:tr>
      <w:tr w:rsidR="00BF22C5" w:rsidRPr="009E464F" w14:paraId="0D8E1C73" w14:textId="77777777" w:rsidTr="008663B1">
        <w:trPr>
          <w:jc w:val="center"/>
        </w:trPr>
        <w:tc>
          <w:tcPr>
            <w:tcW w:w="818" w:type="pct"/>
            <w:vMerge/>
            <w:vAlign w:val="center"/>
          </w:tcPr>
          <w:p w14:paraId="0C10096A"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5E45EFBD"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沙奎那韦</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saquinavir)+</w:t>
            </w:r>
            <w:r w:rsidRPr="009E464F">
              <w:rPr>
                <w:rFonts w:cs="Times New Roman"/>
                <w:color w:val="000000" w:themeColor="text1"/>
                <w:sz w:val="21"/>
                <w:szCs w:val="21"/>
                <w:shd w:val="clear" w:color="auto" w:fill="FFFFFF"/>
              </w:rPr>
              <w:t>利托那韦</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 xml:space="preserve">ritonavir) </w:t>
            </w:r>
          </w:p>
        </w:tc>
        <w:tc>
          <w:tcPr>
            <w:tcW w:w="2164" w:type="pct"/>
            <w:vAlign w:val="center"/>
          </w:tcPr>
          <w:p w14:paraId="3C0B0365"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也抑制</w:t>
            </w:r>
            <w:r w:rsidRPr="009E464F">
              <w:rPr>
                <w:rFonts w:cs="Times New Roman"/>
                <w:color w:val="000000" w:themeColor="text1"/>
                <w:sz w:val="21"/>
                <w:szCs w:val="21"/>
              </w:rPr>
              <w:t>OATPs</w:t>
            </w:r>
            <w:r w:rsidRPr="009E464F">
              <w:rPr>
                <w:rFonts w:cs="Times New Roman"/>
                <w:color w:val="000000" w:themeColor="text1"/>
                <w:sz w:val="21"/>
                <w:szCs w:val="21"/>
              </w:rPr>
              <w:t>和</w:t>
            </w:r>
            <w:r w:rsidRPr="009E464F">
              <w:rPr>
                <w:rFonts w:cs="Times New Roman"/>
                <w:color w:val="000000" w:themeColor="text1"/>
                <w:sz w:val="21"/>
                <w:szCs w:val="21"/>
              </w:rPr>
              <w:t>CYP3A4</w:t>
            </w:r>
            <w:r w:rsidRPr="009E464F">
              <w:rPr>
                <w:rFonts w:cs="Times New Roman"/>
                <w:color w:val="000000" w:themeColor="text1"/>
                <w:sz w:val="21"/>
                <w:szCs w:val="21"/>
              </w:rPr>
              <w:t>活性</w:t>
            </w:r>
          </w:p>
        </w:tc>
      </w:tr>
      <w:tr w:rsidR="00BF22C5" w:rsidRPr="009E464F" w14:paraId="363503C7" w14:textId="77777777" w:rsidTr="008663B1">
        <w:trPr>
          <w:jc w:val="center"/>
        </w:trPr>
        <w:tc>
          <w:tcPr>
            <w:tcW w:w="818" w:type="pct"/>
            <w:vMerge w:val="restart"/>
            <w:vAlign w:val="center"/>
          </w:tcPr>
          <w:p w14:paraId="5C0083A5"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r w:rsidRPr="009E464F">
              <w:rPr>
                <w:rFonts w:cs="Times New Roman"/>
                <w:color w:val="000000" w:themeColor="text1"/>
                <w:sz w:val="21"/>
                <w:szCs w:val="21"/>
              </w:rPr>
              <w:t>BCRP</w:t>
            </w:r>
          </w:p>
        </w:tc>
        <w:tc>
          <w:tcPr>
            <w:tcW w:w="2018" w:type="pct"/>
            <w:vAlign w:val="center"/>
          </w:tcPr>
          <w:p w14:paraId="1AC72563"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姜黄素</w:t>
            </w:r>
            <w:r w:rsidRPr="009E464F">
              <w:rPr>
                <w:rFonts w:cs="Times New Roman"/>
                <w:color w:val="000000" w:themeColor="text1"/>
                <w:sz w:val="21"/>
                <w:szCs w:val="21"/>
              </w:rPr>
              <w:t>(curcumin)</w:t>
            </w:r>
          </w:p>
        </w:tc>
        <w:tc>
          <w:tcPr>
            <w:tcW w:w="2164" w:type="pct"/>
            <w:vAlign w:val="center"/>
          </w:tcPr>
          <w:p w14:paraId="64F215A3"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181AAAA9" w14:textId="77777777" w:rsidTr="008663B1">
        <w:trPr>
          <w:jc w:val="center"/>
        </w:trPr>
        <w:tc>
          <w:tcPr>
            <w:tcW w:w="818" w:type="pct"/>
            <w:vMerge/>
            <w:vAlign w:val="center"/>
          </w:tcPr>
          <w:p w14:paraId="2ADEC2E9"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3EE82169"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艾曲</w:t>
            </w:r>
            <w:proofErr w:type="gramStart"/>
            <w:r w:rsidRPr="009E464F">
              <w:rPr>
                <w:rFonts w:cs="Times New Roman"/>
                <w:color w:val="000000" w:themeColor="text1"/>
                <w:sz w:val="21"/>
                <w:szCs w:val="21"/>
                <w:shd w:val="clear" w:color="auto" w:fill="FFFFFF"/>
              </w:rPr>
              <w:t>波帕</w:t>
            </w:r>
            <w:r w:rsidRPr="009E464F">
              <w:rPr>
                <w:rFonts w:cs="Times New Roman"/>
                <w:color w:val="000000" w:themeColor="text1"/>
                <w:sz w:val="21"/>
                <w:szCs w:val="21"/>
                <w:shd w:val="clear" w:color="auto" w:fill="FFFFFF"/>
              </w:rPr>
              <w:t>(</w:t>
            </w:r>
            <w:proofErr w:type="spellStart"/>
            <w:proofErr w:type="gramEnd"/>
            <w:r w:rsidRPr="009E464F">
              <w:rPr>
                <w:rFonts w:cs="Times New Roman"/>
                <w:color w:val="000000" w:themeColor="text1"/>
                <w:sz w:val="21"/>
                <w:szCs w:val="21"/>
              </w:rPr>
              <w:t>eltrombopag</w:t>
            </w:r>
            <w:proofErr w:type="spellEnd"/>
            <w:r w:rsidRPr="009E464F">
              <w:rPr>
                <w:rFonts w:cs="Times New Roman"/>
                <w:color w:val="000000" w:themeColor="text1"/>
                <w:sz w:val="21"/>
                <w:szCs w:val="21"/>
              </w:rPr>
              <w:t>)</w:t>
            </w:r>
          </w:p>
        </w:tc>
        <w:tc>
          <w:tcPr>
            <w:tcW w:w="2164" w:type="pct"/>
            <w:vAlign w:val="center"/>
          </w:tcPr>
          <w:p w14:paraId="6A569EE5"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3E3EA66D" w14:textId="77777777" w:rsidTr="008663B1">
        <w:trPr>
          <w:jc w:val="center"/>
        </w:trPr>
        <w:tc>
          <w:tcPr>
            <w:tcW w:w="818" w:type="pct"/>
            <w:vMerge/>
            <w:vAlign w:val="center"/>
          </w:tcPr>
          <w:p w14:paraId="5211C559"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0ECCCAC4"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环</w:t>
            </w:r>
            <w:proofErr w:type="gramStart"/>
            <w:r w:rsidRPr="009E464F">
              <w:rPr>
                <w:rFonts w:cs="Times New Roman"/>
                <w:color w:val="000000" w:themeColor="text1"/>
                <w:sz w:val="21"/>
                <w:szCs w:val="21"/>
                <w:shd w:val="clear" w:color="auto" w:fill="FFFFFF"/>
              </w:rPr>
              <w:t>孢</w:t>
            </w:r>
            <w:proofErr w:type="gramEnd"/>
            <w:r w:rsidRPr="009E464F">
              <w:rPr>
                <w:rFonts w:cs="Times New Roman"/>
                <w:color w:val="000000" w:themeColor="text1"/>
                <w:sz w:val="21"/>
                <w:szCs w:val="21"/>
                <w:shd w:val="clear" w:color="auto" w:fill="FFFFFF"/>
              </w:rPr>
              <w:t>素</w:t>
            </w:r>
            <w:r w:rsidRPr="009E464F">
              <w:rPr>
                <w:rFonts w:cs="Times New Roman"/>
                <w:color w:val="000000" w:themeColor="text1"/>
                <w:sz w:val="21"/>
                <w:szCs w:val="21"/>
                <w:shd w:val="clear" w:color="auto" w:fill="FFFFFF"/>
              </w:rPr>
              <w:t>A</w:t>
            </w:r>
            <w:r w:rsidRPr="009E464F">
              <w:rPr>
                <w:rFonts w:cs="Times New Roman"/>
                <w:color w:val="000000" w:themeColor="text1"/>
                <w:sz w:val="21"/>
                <w:szCs w:val="21"/>
              </w:rPr>
              <w:t xml:space="preserve"> (cyclosporine A) </w:t>
            </w:r>
          </w:p>
        </w:tc>
        <w:tc>
          <w:tcPr>
            <w:tcW w:w="2164" w:type="pct"/>
            <w:vAlign w:val="center"/>
          </w:tcPr>
          <w:p w14:paraId="618B761A"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对多种转运体均有强抑制作用</w:t>
            </w:r>
          </w:p>
        </w:tc>
      </w:tr>
      <w:tr w:rsidR="00BF22C5" w:rsidRPr="009E464F" w14:paraId="2A8C4738" w14:textId="77777777" w:rsidTr="008663B1">
        <w:trPr>
          <w:jc w:val="center"/>
        </w:trPr>
        <w:tc>
          <w:tcPr>
            <w:tcW w:w="818" w:type="pct"/>
            <w:vMerge w:val="restart"/>
            <w:vAlign w:val="center"/>
          </w:tcPr>
          <w:p w14:paraId="432266DA" w14:textId="5A7EBC3B" w:rsidR="00F9543F" w:rsidRDefault="00BF22C5" w:rsidP="0083505F">
            <w:pPr>
              <w:snapToGrid w:val="0"/>
              <w:spacing w:line="240" w:lineRule="auto"/>
              <w:ind w:firstLineChars="0" w:firstLine="0"/>
              <w:jc w:val="center"/>
              <w:rPr>
                <w:rFonts w:cs="Times New Roman"/>
                <w:color w:val="000000" w:themeColor="text1"/>
                <w:sz w:val="21"/>
                <w:szCs w:val="21"/>
              </w:rPr>
            </w:pPr>
            <w:r w:rsidRPr="009E464F">
              <w:rPr>
                <w:rFonts w:cs="Times New Roman"/>
                <w:color w:val="000000" w:themeColor="text1"/>
                <w:sz w:val="21"/>
                <w:szCs w:val="21"/>
              </w:rPr>
              <w:lastRenderedPageBreak/>
              <w:t>OATP1B1</w:t>
            </w:r>
          </w:p>
          <w:p w14:paraId="19D08EC4"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r w:rsidRPr="009E464F">
              <w:rPr>
                <w:rFonts w:cs="Times New Roman"/>
                <w:color w:val="000000" w:themeColor="text1"/>
                <w:sz w:val="21"/>
                <w:szCs w:val="21"/>
              </w:rPr>
              <w:t>OATP1B3</w:t>
            </w:r>
          </w:p>
        </w:tc>
        <w:tc>
          <w:tcPr>
            <w:tcW w:w="2018" w:type="pct"/>
            <w:vAlign w:val="center"/>
          </w:tcPr>
          <w:p w14:paraId="7101B94F"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吉非贝齐</w:t>
            </w:r>
            <w:r w:rsidRPr="009E464F">
              <w:rPr>
                <w:rFonts w:cs="Times New Roman"/>
                <w:color w:val="000000" w:themeColor="text1"/>
                <w:sz w:val="21"/>
                <w:szCs w:val="21"/>
              </w:rPr>
              <w:t xml:space="preserve">(gemfibrozil) </w:t>
            </w:r>
          </w:p>
        </w:tc>
        <w:tc>
          <w:tcPr>
            <w:tcW w:w="2164" w:type="pct"/>
            <w:vAlign w:val="center"/>
          </w:tcPr>
          <w:p w14:paraId="6A2F102C"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对</w:t>
            </w:r>
            <w:r w:rsidRPr="009E464F">
              <w:rPr>
                <w:rFonts w:cs="Times New Roman"/>
                <w:color w:val="000000" w:themeColor="text1"/>
                <w:sz w:val="21"/>
                <w:szCs w:val="21"/>
              </w:rPr>
              <w:t>CYP2C8</w:t>
            </w:r>
            <w:r w:rsidRPr="009E464F">
              <w:rPr>
                <w:rFonts w:cs="Times New Roman"/>
                <w:color w:val="000000" w:themeColor="text1"/>
                <w:sz w:val="21"/>
                <w:szCs w:val="21"/>
              </w:rPr>
              <w:t>和</w:t>
            </w:r>
            <w:r w:rsidRPr="009E464F">
              <w:rPr>
                <w:rFonts w:cs="Times New Roman"/>
                <w:color w:val="000000" w:themeColor="text1"/>
                <w:sz w:val="21"/>
                <w:szCs w:val="21"/>
              </w:rPr>
              <w:t>OAT3</w:t>
            </w:r>
            <w:r w:rsidRPr="009E464F">
              <w:rPr>
                <w:rFonts w:cs="Times New Roman"/>
                <w:color w:val="000000" w:themeColor="text1"/>
                <w:sz w:val="21"/>
                <w:szCs w:val="21"/>
              </w:rPr>
              <w:t>有抑制作用。其葡萄糖醛酸结合物也抑制</w:t>
            </w:r>
            <w:r w:rsidRPr="009E464F">
              <w:rPr>
                <w:rFonts w:cs="Times New Roman"/>
                <w:color w:val="000000" w:themeColor="text1"/>
                <w:sz w:val="21"/>
                <w:szCs w:val="21"/>
              </w:rPr>
              <w:t>CYP2C8</w:t>
            </w:r>
            <w:r w:rsidRPr="009E464F">
              <w:rPr>
                <w:rFonts w:cs="Times New Roman"/>
                <w:color w:val="000000" w:themeColor="text1"/>
                <w:sz w:val="21"/>
                <w:szCs w:val="21"/>
              </w:rPr>
              <w:t>和</w:t>
            </w:r>
            <w:r w:rsidRPr="009E464F">
              <w:rPr>
                <w:rFonts w:cs="Times New Roman"/>
                <w:color w:val="000000" w:themeColor="text1"/>
                <w:sz w:val="21"/>
                <w:szCs w:val="21"/>
              </w:rPr>
              <w:t>OATP1B1</w:t>
            </w:r>
            <w:r w:rsidRPr="009E464F" w:rsidDel="00A777D1">
              <w:rPr>
                <w:rFonts w:cs="Times New Roman"/>
                <w:color w:val="000000" w:themeColor="text1"/>
                <w:sz w:val="21"/>
                <w:szCs w:val="21"/>
              </w:rPr>
              <w:t xml:space="preserve"> </w:t>
            </w:r>
          </w:p>
        </w:tc>
      </w:tr>
      <w:tr w:rsidR="00BF22C5" w:rsidRPr="009E464F" w14:paraId="146E8388" w14:textId="77777777" w:rsidTr="008663B1">
        <w:trPr>
          <w:jc w:val="center"/>
        </w:trPr>
        <w:tc>
          <w:tcPr>
            <w:tcW w:w="818" w:type="pct"/>
            <w:vMerge/>
            <w:vAlign w:val="center"/>
          </w:tcPr>
          <w:p w14:paraId="62950403"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09C7CAAC"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利福平</w:t>
            </w:r>
            <w:r w:rsidRPr="009E464F">
              <w:rPr>
                <w:rFonts w:cs="Times New Roman"/>
                <w:color w:val="000000" w:themeColor="text1"/>
                <w:sz w:val="21"/>
                <w:szCs w:val="21"/>
              </w:rPr>
              <w:t>(rifampin)</w:t>
            </w:r>
          </w:p>
        </w:tc>
        <w:tc>
          <w:tcPr>
            <w:tcW w:w="2164" w:type="pct"/>
            <w:vAlign w:val="center"/>
          </w:tcPr>
          <w:p w14:paraId="50B6EB52"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单剂量给药</w:t>
            </w:r>
          </w:p>
        </w:tc>
      </w:tr>
      <w:tr w:rsidR="00BF22C5" w:rsidRPr="009E464F" w14:paraId="5148B370" w14:textId="77777777" w:rsidTr="008663B1">
        <w:trPr>
          <w:jc w:val="center"/>
        </w:trPr>
        <w:tc>
          <w:tcPr>
            <w:tcW w:w="818" w:type="pct"/>
            <w:vMerge/>
            <w:vAlign w:val="center"/>
          </w:tcPr>
          <w:p w14:paraId="6EB8AA9B"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3D75F0F9"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环</w:t>
            </w:r>
            <w:proofErr w:type="gramStart"/>
            <w:r w:rsidRPr="009E464F">
              <w:rPr>
                <w:rFonts w:cs="Times New Roman"/>
                <w:color w:val="000000" w:themeColor="text1"/>
                <w:sz w:val="21"/>
                <w:szCs w:val="21"/>
                <w:shd w:val="clear" w:color="auto" w:fill="FFFFFF"/>
              </w:rPr>
              <w:t>孢</w:t>
            </w:r>
            <w:proofErr w:type="gramEnd"/>
            <w:r w:rsidRPr="009E464F">
              <w:rPr>
                <w:rFonts w:cs="Times New Roman"/>
                <w:color w:val="000000" w:themeColor="text1"/>
                <w:sz w:val="21"/>
                <w:szCs w:val="21"/>
                <w:shd w:val="clear" w:color="auto" w:fill="FFFFFF"/>
              </w:rPr>
              <w:t>素</w:t>
            </w:r>
            <w:r w:rsidRPr="009E464F">
              <w:rPr>
                <w:rFonts w:cs="Times New Roman"/>
                <w:color w:val="000000" w:themeColor="text1"/>
                <w:sz w:val="21"/>
                <w:szCs w:val="21"/>
                <w:shd w:val="clear" w:color="auto" w:fill="FFFFFF"/>
              </w:rPr>
              <w:t>A</w:t>
            </w:r>
          </w:p>
        </w:tc>
        <w:tc>
          <w:tcPr>
            <w:tcW w:w="2164" w:type="pct"/>
            <w:vAlign w:val="center"/>
          </w:tcPr>
          <w:p w14:paraId="70AA5340"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对多种转运体均有强抑制作用</w:t>
            </w:r>
          </w:p>
        </w:tc>
      </w:tr>
      <w:tr w:rsidR="00BF22C5" w:rsidRPr="009E464F" w14:paraId="5B828BE6" w14:textId="77777777" w:rsidTr="008663B1">
        <w:trPr>
          <w:jc w:val="center"/>
        </w:trPr>
        <w:tc>
          <w:tcPr>
            <w:tcW w:w="818" w:type="pct"/>
            <w:vMerge/>
            <w:vAlign w:val="center"/>
          </w:tcPr>
          <w:p w14:paraId="6D18ACD2"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66AAEC06"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克拉霉素（</w:t>
            </w:r>
            <w:r w:rsidRPr="009E464F">
              <w:rPr>
                <w:rFonts w:cs="Times New Roman"/>
                <w:color w:val="000000" w:themeColor="text1"/>
                <w:sz w:val="21"/>
                <w:szCs w:val="21"/>
                <w:shd w:val="clear" w:color="auto" w:fill="FFFFFF"/>
              </w:rPr>
              <w:t>clarithromycin</w:t>
            </w:r>
            <w:r w:rsidRPr="009E464F">
              <w:rPr>
                <w:rFonts w:cs="Times New Roman"/>
                <w:color w:val="000000" w:themeColor="text1"/>
                <w:sz w:val="21"/>
                <w:szCs w:val="21"/>
                <w:shd w:val="clear" w:color="auto" w:fill="FFFFFF"/>
              </w:rPr>
              <w:t>）</w:t>
            </w:r>
          </w:p>
        </w:tc>
        <w:tc>
          <w:tcPr>
            <w:tcW w:w="2164" w:type="pct"/>
            <w:vAlign w:val="center"/>
          </w:tcPr>
          <w:p w14:paraId="462D8635"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4344FCFC" w14:textId="77777777" w:rsidTr="008663B1">
        <w:trPr>
          <w:jc w:val="center"/>
        </w:trPr>
        <w:tc>
          <w:tcPr>
            <w:tcW w:w="818" w:type="pct"/>
            <w:vMerge/>
            <w:vAlign w:val="center"/>
          </w:tcPr>
          <w:p w14:paraId="3A3DDEEE"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729E2B45"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红霉素（</w:t>
            </w:r>
            <w:r w:rsidRPr="009E464F">
              <w:rPr>
                <w:rFonts w:cs="Times New Roman"/>
                <w:color w:val="000000" w:themeColor="text1"/>
                <w:sz w:val="21"/>
                <w:szCs w:val="21"/>
                <w:shd w:val="clear" w:color="auto" w:fill="FFFFFF"/>
              </w:rPr>
              <w:t>erythromycin</w:t>
            </w:r>
            <w:r w:rsidRPr="009E464F">
              <w:rPr>
                <w:rFonts w:cs="Times New Roman"/>
                <w:color w:val="000000" w:themeColor="text1"/>
                <w:sz w:val="21"/>
                <w:szCs w:val="21"/>
                <w:shd w:val="clear" w:color="auto" w:fill="FFFFFF"/>
              </w:rPr>
              <w:t>）</w:t>
            </w:r>
          </w:p>
        </w:tc>
        <w:tc>
          <w:tcPr>
            <w:tcW w:w="2164" w:type="pct"/>
            <w:vAlign w:val="center"/>
          </w:tcPr>
          <w:p w14:paraId="38EEFBF7"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7C535324" w14:textId="77777777" w:rsidTr="008663B1">
        <w:trPr>
          <w:jc w:val="center"/>
        </w:trPr>
        <w:tc>
          <w:tcPr>
            <w:tcW w:w="818" w:type="pct"/>
            <w:vMerge/>
            <w:vAlign w:val="center"/>
          </w:tcPr>
          <w:p w14:paraId="48AA299C"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430B2C40"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西</w:t>
            </w:r>
            <w:proofErr w:type="gramStart"/>
            <w:r w:rsidRPr="009E464F">
              <w:rPr>
                <w:rFonts w:cs="Times New Roman"/>
                <w:color w:val="000000" w:themeColor="text1"/>
                <w:sz w:val="21"/>
                <w:szCs w:val="21"/>
                <w:shd w:val="clear" w:color="auto" w:fill="FFFFFF"/>
              </w:rPr>
              <w:t>咪</w:t>
            </w:r>
            <w:proofErr w:type="gramEnd"/>
            <w:r w:rsidRPr="009E464F">
              <w:rPr>
                <w:rFonts w:cs="Times New Roman"/>
                <w:color w:val="000000" w:themeColor="text1"/>
                <w:sz w:val="21"/>
                <w:szCs w:val="21"/>
                <w:shd w:val="clear" w:color="auto" w:fill="FFFFFF"/>
              </w:rPr>
              <w:t>匹韦（</w:t>
            </w:r>
            <w:proofErr w:type="spellStart"/>
            <w:r w:rsidRPr="009E464F">
              <w:rPr>
                <w:rFonts w:cs="Times New Roman"/>
                <w:color w:val="000000" w:themeColor="text1"/>
                <w:sz w:val="21"/>
                <w:szCs w:val="21"/>
                <w:shd w:val="clear" w:color="auto" w:fill="FFFFFF"/>
              </w:rPr>
              <w:t>simeprevir</w:t>
            </w:r>
            <w:proofErr w:type="spellEnd"/>
            <w:r w:rsidRPr="009E464F">
              <w:rPr>
                <w:rFonts w:cs="Times New Roman"/>
                <w:color w:val="000000" w:themeColor="text1"/>
                <w:sz w:val="21"/>
                <w:szCs w:val="21"/>
                <w:shd w:val="clear" w:color="auto" w:fill="FFFFFF"/>
              </w:rPr>
              <w:t>）</w:t>
            </w:r>
          </w:p>
        </w:tc>
        <w:tc>
          <w:tcPr>
            <w:tcW w:w="2164" w:type="pct"/>
            <w:vAlign w:val="center"/>
          </w:tcPr>
          <w:p w14:paraId="1EAD6047"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6414A57C" w14:textId="77777777" w:rsidTr="008663B1">
        <w:trPr>
          <w:jc w:val="center"/>
        </w:trPr>
        <w:tc>
          <w:tcPr>
            <w:tcW w:w="818" w:type="pct"/>
            <w:vMerge w:val="restart"/>
            <w:vAlign w:val="center"/>
          </w:tcPr>
          <w:p w14:paraId="23A973A2" w14:textId="4B080F7B" w:rsidR="00BF22C5" w:rsidRPr="009E464F" w:rsidRDefault="00BF22C5" w:rsidP="0083505F">
            <w:pPr>
              <w:snapToGrid w:val="0"/>
              <w:spacing w:line="240" w:lineRule="auto"/>
              <w:ind w:firstLineChars="0" w:firstLine="0"/>
              <w:jc w:val="center"/>
              <w:rPr>
                <w:rFonts w:cs="Times New Roman"/>
                <w:color w:val="000000" w:themeColor="text1"/>
                <w:sz w:val="21"/>
                <w:szCs w:val="21"/>
              </w:rPr>
            </w:pPr>
            <w:r w:rsidRPr="009E464F">
              <w:rPr>
                <w:rFonts w:cs="Times New Roman"/>
                <w:color w:val="000000" w:themeColor="text1"/>
                <w:sz w:val="21"/>
                <w:szCs w:val="21"/>
              </w:rPr>
              <w:t>OAT1</w:t>
            </w:r>
          </w:p>
          <w:p w14:paraId="36C5C287"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r w:rsidRPr="009E464F">
              <w:rPr>
                <w:rFonts w:cs="Times New Roman"/>
                <w:color w:val="000000" w:themeColor="text1"/>
                <w:sz w:val="21"/>
                <w:szCs w:val="21"/>
              </w:rPr>
              <w:t>OAT3</w:t>
            </w:r>
          </w:p>
        </w:tc>
        <w:tc>
          <w:tcPr>
            <w:tcW w:w="2018" w:type="pct"/>
            <w:vAlign w:val="center"/>
          </w:tcPr>
          <w:p w14:paraId="5BC4831E"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对氨基马尿酸</w:t>
            </w:r>
            <w:r w:rsidRPr="009E464F">
              <w:rPr>
                <w:rFonts w:cs="Times New Roman"/>
                <w:color w:val="000000" w:themeColor="text1"/>
                <w:sz w:val="21"/>
                <w:szCs w:val="21"/>
              </w:rPr>
              <w:t>(p-</w:t>
            </w:r>
            <w:proofErr w:type="spellStart"/>
            <w:r w:rsidRPr="009E464F">
              <w:rPr>
                <w:rFonts w:cs="Times New Roman"/>
                <w:color w:val="000000" w:themeColor="text1"/>
                <w:sz w:val="21"/>
                <w:szCs w:val="21"/>
              </w:rPr>
              <w:t>aminohippuric</w:t>
            </w:r>
            <w:proofErr w:type="spellEnd"/>
            <w:r w:rsidRPr="009E464F">
              <w:rPr>
                <w:rFonts w:cs="Times New Roman"/>
                <w:color w:val="000000" w:themeColor="text1"/>
                <w:sz w:val="21"/>
                <w:szCs w:val="21"/>
              </w:rPr>
              <w:t xml:space="preserve"> acid)</w:t>
            </w:r>
          </w:p>
        </w:tc>
        <w:tc>
          <w:tcPr>
            <w:tcW w:w="2164" w:type="pct"/>
            <w:vAlign w:val="center"/>
          </w:tcPr>
          <w:p w14:paraId="1CE6FA14"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主要抑制</w:t>
            </w:r>
            <w:r w:rsidRPr="009E464F">
              <w:rPr>
                <w:rFonts w:cs="Times New Roman"/>
                <w:color w:val="000000" w:themeColor="text1"/>
                <w:sz w:val="21"/>
                <w:szCs w:val="21"/>
              </w:rPr>
              <w:t>OAT1</w:t>
            </w:r>
            <w:r w:rsidRPr="009E464F">
              <w:rPr>
                <w:rFonts w:cs="Times New Roman"/>
                <w:color w:val="000000" w:themeColor="text1"/>
                <w:sz w:val="21"/>
                <w:szCs w:val="21"/>
              </w:rPr>
              <w:t>活性</w:t>
            </w:r>
            <w:r w:rsidRPr="009E464F">
              <w:rPr>
                <w:rFonts w:cs="Times New Roman"/>
                <w:color w:val="000000" w:themeColor="text1"/>
                <w:sz w:val="21"/>
                <w:szCs w:val="21"/>
              </w:rPr>
              <w:t>,</w:t>
            </w:r>
          </w:p>
        </w:tc>
      </w:tr>
      <w:tr w:rsidR="00BF22C5" w:rsidRPr="009E464F" w14:paraId="2DCCC411" w14:textId="77777777" w:rsidTr="008663B1">
        <w:trPr>
          <w:jc w:val="center"/>
        </w:trPr>
        <w:tc>
          <w:tcPr>
            <w:tcW w:w="818" w:type="pct"/>
            <w:vMerge/>
            <w:vAlign w:val="center"/>
          </w:tcPr>
          <w:p w14:paraId="071D662F"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0DE5CE47"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丙</w:t>
            </w:r>
            <w:proofErr w:type="gramStart"/>
            <w:r w:rsidRPr="009E464F">
              <w:rPr>
                <w:rFonts w:cs="Times New Roman"/>
                <w:color w:val="000000" w:themeColor="text1"/>
                <w:sz w:val="21"/>
                <w:szCs w:val="21"/>
              </w:rPr>
              <w:t>磺</w:t>
            </w:r>
            <w:proofErr w:type="gramEnd"/>
            <w:r w:rsidRPr="009E464F">
              <w:rPr>
                <w:rFonts w:cs="Times New Roman"/>
                <w:color w:val="000000" w:themeColor="text1"/>
                <w:sz w:val="21"/>
                <w:szCs w:val="21"/>
              </w:rPr>
              <w:t>舒</w:t>
            </w:r>
            <w:r w:rsidRPr="009E464F">
              <w:rPr>
                <w:rFonts w:cs="Times New Roman"/>
                <w:color w:val="000000" w:themeColor="text1"/>
                <w:sz w:val="21"/>
                <w:szCs w:val="21"/>
              </w:rPr>
              <w:t>(probenecid)</w:t>
            </w:r>
          </w:p>
        </w:tc>
        <w:tc>
          <w:tcPr>
            <w:tcW w:w="2164" w:type="pct"/>
            <w:vAlign w:val="center"/>
          </w:tcPr>
          <w:p w14:paraId="44272BEC"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也抑制</w:t>
            </w:r>
            <w:r w:rsidRPr="009E464F">
              <w:rPr>
                <w:rFonts w:cs="Times New Roman"/>
                <w:color w:val="000000" w:themeColor="text1"/>
                <w:sz w:val="21"/>
                <w:szCs w:val="21"/>
              </w:rPr>
              <w:t>MRP2</w:t>
            </w:r>
            <w:r w:rsidRPr="009E464F">
              <w:rPr>
                <w:rFonts w:cs="Times New Roman"/>
                <w:color w:val="000000" w:themeColor="text1"/>
                <w:sz w:val="21"/>
                <w:szCs w:val="21"/>
              </w:rPr>
              <w:t>活性</w:t>
            </w:r>
          </w:p>
        </w:tc>
      </w:tr>
      <w:tr w:rsidR="00BF22C5" w:rsidRPr="009E464F" w14:paraId="6D94D591" w14:textId="77777777" w:rsidTr="008663B1">
        <w:trPr>
          <w:jc w:val="center"/>
        </w:trPr>
        <w:tc>
          <w:tcPr>
            <w:tcW w:w="818" w:type="pct"/>
            <w:vMerge/>
            <w:vAlign w:val="center"/>
          </w:tcPr>
          <w:p w14:paraId="238A9705"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p>
        </w:tc>
        <w:tc>
          <w:tcPr>
            <w:tcW w:w="2018" w:type="pct"/>
            <w:vAlign w:val="center"/>
          </w:tcPr>
          <w:p w14:paraId="16D0624D"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特</w:t>
            </w:r>
            <w:proofErr w:type="gramStart"/>
            <w:r w:rsidRPr="009E464F">
              <w:rPr>
                <w:rFonts w:cs="Times New Roman"/>
                <w:color w:val="000000" w:themeColor="text1"/>
                <w:sz w:val="21"/>
                <w:szCs w:val="21"/>
                <w:shd w:val="clear" w:color="auto" w:fill="FFFFFF"/>
              </w:rPr>
              <w:t>立氟胺</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teriflunomide)</w:t>
            </w:r>
          </w:p>
        </w:tc>
        <w:tc>
          <w:tcPr>
            <w:tcW w:w="2164" w:type="pct"/>
            <w:vAlign w:val="center"/>
          </w:tcPr>
          <w:p w14:paraId="5357E263" w14:textId="77777777" w:rsidR="00BF22C5" w:rsidRPr="009E464F" w:rsidRDefault="00BF22C5">
            <w:pPr>
              <w:snapToGrid w:val="0"/>
              <w:spacing w:line="240" w:lineRule="auto"/>
              <w:ind w:firstLine="420"/>
              <w:jc w:val="left"/>
              <w:rPr>
                <w:rFonts w:cs="Times New Roman"/>
                <w:color w:val="000000" w:themeColor="text1"/>
                <w:sz w:val="21"/>
                <w:szCs w:val="21"/>
              </w:rPr>
            </w:pPr>
          </w:p>
        </w:tc>
      </w:tr>
      <w:tr w:rsidR="00BF22C5" w:rsidRPr="009E464F" w14:paraId="6F3F1BAA" w14:textId="77777777" w:rsidTr="008663B1">
        <w:trPr>
          <w:jc w:val="center"/>
        </w:trPr>
        <w:tc>
          <w:tcPr>
            <w:tcW w:w="818" w:type="pct"/>
            <w:vMerge w:val="restart"/>
            <w:vAlign w:val="center"/>
          </w:tcPr>
          <w:p w14:paraId="70850686" w14:textId="0F46B8AE" w:rsidR="00BF22C5" w:rsidRPr="009E464F" w:rsidRDefault="00BF22C5" w:rsidP="0083505F">
            <w:pPr>
              <w:snapToGrid w:val="0"/>
              <w:spacing w:line="240" w:lineRule="auto"/>
              <w:ind w:firstLineChars="0" w:firstLine="0"/>
              <w:jc w:val="center"/>
              <w:rPr>
                <w:rFonts w:cs="Times New Roman"/>
                <w:color w:val="000000" w:themeColor="text1"/>
                <w:sz w:val="21"/>
                <w:szCs w:val="21"/>
              </w:rPr>
            </w:pPr>
            <w:r w:rsidRPr="009E464F">
              <w:rPr>
                <w:rFonts w:cs="Times New Roman"/>
                <w:color w:val="000000" w:themeColor="text1"/>
                <w:sz w:val="21"/>
                <w:szCs w:val="21"/>
              </w:rPr>
              <w:t>OCT2</w:t>
            </w:r>
          </w:p>
          <w:p w14:paraId="3A582C55" w14:textId="27279A45" w:rsidR="00BF22C5" w:rsidRPr="009E464F" w:rsidRDefault="00BF22C5" w:rsidP="0083505F">
            <w:pPr>
              <w:snapToGrid w:val="0"/>
              <w:spacing w:line="240" w:lineRule="auto"/>
              <w:ind w:firstLineChars="0" w:firstLine="0"/>
              <w:jc w:val="center"/>
              <w:rPr>
                <w:rFonts w:cs="Times New Roman"/>
                <w:color w:val="000000" w:themeColor="text1"/>
                <w:sz w:val="21"/>
                <w:szCs w:val="21"/>
              </w:rPr>
            </w:pPr>
            <w:r w:rsidRPr="009E464F">
              <w:rPr>
                <w:rFonts w:cs="Times New Roman"/>
                <w:color w:val="000000" w:themeColor="text1"/>
                <w:sz w:val="21"/>
                <w:szCs w:val="21"/>
              </w:rPr>
              <w:t>MATE1</w:t>
            </w:r>
          </w:p>
          <w:p w14:paraId="63A987C7" w14:textId="77777777" w:rsidR="00BF22C5" w:rsidRPr="009E464F" w:rsidRDefault="00BF22C5" w:rsidP="0083505F">
            <w:pPr>
              <w:snapToGrid w:val="0"/>
              <w:spacing w:line="240" w:lineRule="auto"/>
              <w:ind w:firstLineChars="0" w:firstLine="0"/>
              <w:jc w:val="center"/>
              <w:rPr>
                <w:rFonts w:cs="Times New Roman"/>
                <w:color w:val="000000" w:themeColor="text1"/>
                <w:sz w:val="21"/>
                <w:szCs w:val="21"/>
              </w:rPr>
            </w:pPr>
            <w:r w:rsidRPr="009E464F">
              <w:rPr>
                <w:rFonts w:cs="Times New Roman"/>
                <w:color w:val="000000" w:themeColor="text1"/>
                <w:sz w:val="21"/>
                <w:szCs w:val="21"/>
              </w:rPr>
              <w:t>MATE2-K</w:t>
            </w:r>
          </w:p>
        </w:tc>
        <w:tc>
          <w:tcPr>
            <w:tcW w:w="2018" w:type="pct"/>
            <w:vAlign w:val="center"/>
          </w:tcPr>
          <w:p w14:paraId="79CAC165"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rPr>
              <w:t>西</w:t>
            </w:r>
            <w:proofErr w:type="gramStart"/>
            <w:r w:rsidRPr="009E464F">
              <w:rPr>
                <w:rFonts w:cs="Times New Roman"/>
                <w:color w:val="000000" w:themeColor="text1"/>
                <w:sz w:val="21"/>
                <w:szCs w:val="21"/>
              </w:rPr>
              <w:t>咪</w:t>
            </w:r>
            <w:proofErr w:type="gramEnd"/>
            <w:r w:rsidRPr="009E464F">
              <w:rPr>
                <w:rFonts w:cs="Times New Roman"/>
                <w:color w:val="000000" w:themeColor="text1"/>
                <w:sz w:val="21"/>
                <w:szCs w:val="21"/>
              </w:rPr>
              <w:t>替丁</w:t>
            </w:r>
            <w:r w:rsidRPr="009E464F">
              <w:rPr>
                <w:rFonts w:cs="Times New Roman"/>
                <w:color w:val="000000" w:themeColor="text1"/>
                <w:sz w:val="21"/>
                <w:szCs w:val="21"/>
              </w:rPr>
              <w:t>(cimetidine)</w:t>
            </w:r>
          </w:p>
        </w:tc>
        <w:tc>
          <w:tcPr>
            <w:tcW w:w="2164" w:type="pct"/>
            <w:vAlign w:val="center"/>
          </w:tcPr>
          <w:p w14:paraId="726A334E"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对</w:t>
            </w:r>
            <w:r w:rsidRPr="009E464F">
              <w:rPr>
                <w:rFonts w:cs="Times New Roman"/>
                <w:color w:val="000000" w:themeColor="text1"/>
                <w:sz w:val="21"/>
                <w:szCs w:val="21"/>
                <w:shd w:val="clear" w:color="auto" w:fill="FFFFFF"/>
              </w:rPr>
              <w:t>MATE</w:t>
            </w:r>
            <w:r w:rsidRPr="009E464F">
              <w:rPr>
                <w:rFonts w:cs="Times New Roman"/>
                <w:color w:val="000000" w:themeColor="text1"/>
                <w:sz w:val="21"/>
                <w:szCs w:val="21"/>
                <w:shd w:val="clear" w:color="auto" w:fill="FFFFFF"/>
              </w:rPr>
              <w:t>抑制作用强于</w:t>
            </w:r>
            <w:r w:rsidRPr="009E464F">
              <w:rPr>
                <w:rFonts w:cs="Times New Roman"/>
                <w:color w:val="000000" w:themeColor="text1"/>
                <w:sz w:val="21"/>
                <w:szCs w:val="21"/>
                <w:shd w:val="clear" w:color="auto" w:fill="FFFFFF"/>
              </w:rPr>
              <w:t>OCT2</w:t>
            </w:r>
            <w:r w:rsidRPr="009E464F">
              <w:rPr>
                <w:rFonts w:cs="Times New Roman"/>
                <w:color w:val="000000" w:themeColor="text1"/>
                <w:sz w:val="21"/>
                <w:szCs w:val="21"/>
                <w:shd w:val="clear" w:color="auto" w:fill="FFFFFF"/>
              </w:rPr>
              <w:t>。</w:t>
            </w:r>
          </w:p>
        </w:tc>
      </w:tr>
      <w:tr w:rsidR="00BF22C5" w:rsidRPr="009E464F" w14:paraId="5862F130" w14:textId="77777777" w:rsidTr="008663B1">
        <w:trPr>
          <w:jc w:val="center"/>
        </w:trPr>
        <w:tc>
          <w:tcPr>
            <w:tcW w:w="818" w:type="pct"/>
            <w:vMerge/>
            <w:vAlign w:val="center"/>
          </w:tcPr>
          <w:p w14:paraId="63152AFD"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018" w:type="pct"/>
            <w:vAlign w:val="center"/>
          </w:tcPr>
          <w:p w14:paraId="3E1F0AD8"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r w:rsidRPr="009E464F">
              <w:rPr>
                <w:rFonts w:cs="Times New Roman"/>
                <w:color w:val="000000" w:themeColor="text1"/>
                <w:sz w:val="21"/>
                <w:szCs w:val="21"/>
                <w:shd w:val="clear" w:color="auto" w:fill="FFFFFF"/>
              </w:rPr>
              <w:t>甲氧</w:t>
            </w:r>
            <w:proofErr w:type="gramStart"/>
            <w:r w:rsidRPr="009E464F">
              <w:rPr>
                <w:rFonts w:cs="Times New Roman"/>
                <w:color w:val="000000" w:themeColor="text1"/>
                <w:sz w:val="21"/>
                <w:szCs w:val="21"/>
                <w:shd w:val="clear" w:color="auto" w:fill="FFFFFF"/>
              </w:rPr>
              <w:t>苄</w:t>
            </w:r>
            <w:proofErr w:type="gramEnd"/>
            <w:r w:rsidRPr="009E464F">
              <w:rPr>
                <w:rFonts w:cs="Times New Roman"/>
                <w:color w:val="000000" w:themeColor="text1"/>
                <w:sz w:val="21"/>
                <w:szCs w:val="21"/>
                <w:shd w:val="clear" w:color="auto" w:fill="FFFFFF"/>
              </w:rPr>
              <w:t>氨嘧啶</w:t>
            </w:r>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trimethoprim)</w:t>
            </w:r>
          </w:p>
        </w:tc>
        <w:tc>
          <w:tcPr>
            <w:tcW w:w="2164" w:type="pct"/>
            <w:vAlign w:val="center"/>
          </w:tcPr>
          <w:p w14:paraId="47EFDFA1"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对</w:t>
            </w:r>
            <w:r w:rsidRPr="009E464F">
              <w:rPr>
                <w:rFonts w:cs="Times New Roman"/>
                <w:color w:val="000000" w:themeColor="text1"/>
                <w:sz w:val="21"/>
                <w:szCs w:val="21"/>
                <w:shd w:val="clear" w:color="auto" w:fill="FFFFFF"/>
              </w:rPr>
              <w:t>MATE</w:t>
            </w:r>
            <w:r w:rsidRPr="009E464F">
              <w:rPr>
                <w:rFonts w:cs="Times New Roman"/>
                <w:color w:val="000000" w:themeColor="text1"/>
                <w:sz w:val="21"/>
                <w:szCs w:val="21"/>
                <w:shd w:val="clear" w:color="auto" w:fill="FFFFFF"/>
              </w:rPr>
              <w:t>抑制作用强于</w:t>
            </w:r>
            <w:r w:rsidRPr="009E464F">
              <w:rPr>
                <w:rFonts w:cs="Times New Roman"/>
                <w:color w:val="000000" w:themeColor="text1"/>
                <w:sz w:val="21"/>
                <w:szCs w:val="21"/>
                <w:shd w:val="clear" w:color="auto" w:fill="FFFFFF"/>
              </w:rPr>
              <w:t>OCT2</w:t>
            </w:r>
          </w:p>
        </w:tc>
      </w:tr>
      <w:tr w:rsidR="00BF22C5" w:rsidRPr="009E464F" w14:paraId="1FC9A280" w14:textId="77777777" w:rsidTr="008663B1">
        <w:trPr>
          <w:jc w:val="center"/>
        </w:trPr>
        <w:tc>
          <w:tcPr>
            <w:tcW w:w="818" w:type="pct"/>
            <w:vMerge/>
            <w:vAlign w:val="center"/>
          </w:tcPr>
          <w:p w14:paraId="66CBA623"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018" w:type="pct"/>
            <w:vAlign w:val="center"/>
          </w:tcPr>
          <w:p w14:paraId="2DB1758A"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杜鲁特韦</w:t>
            </w:r>
            <w:r w:rsidRPr="009E464F">
              <w:rPr>
                <w:rFonts w:cs="Times New Roman"/>
                <w:color w:val="000000" w:themeColor="text1"/>
                <w:sz w:val="21"/>
                <w:szCs w:val="21"/>
                <w:shd w:val="clear" w:color="auto" w:fill="FFFFFF"/>
              </w:rPr>
              <w:t>(d</w:t>
            </w:r>
            <w:r w:rsidRPr="009E464F">
              <w:rPr>
                <w:rFonts w:cs="Times New Roman"/>
                <w:color w:val="000000" w:themeColor="text1"/>
                <w:sz w:val="21"/>
                <w:szCs w:val="21"/>
              </w:rPr>
              <w:t>olutegravir)</w:t>
            </w:r>
          </w:p>
        </w:tc>
        <w:tc>
          <w:tcPr>
            <w:tcW w:w="2164" w:type="pct"/>
            <w:vAlign w:val="center"/>
          </w:tcPr>
          <w:p w14:paraId="0BF70D65"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对</w:t>
            </w:r>
            <w:r w:rsidRPr="009E464F">
              <w:rPr>
                <w:rFonts w:cs="Times New Roman"/>
                <w:color w:val="000000" w:themeColor="text1"/>
                <w:sz w:val="21"/>
                <w:szCs w:val="21"/>
                <w:shd w:val="clear" w:color="auto" w:fill="FFFFFF"/>
              </w:rPr>
              <w:t>OCT2</w:t>
            </w:r>
            <w:r w:rsidRPr="009E464F">
              <w:rPr>
                <w:rFonts w:cs="Times New Roman"/>
                <w:color w:val="000000" w:themeColor="text1"/>
                <w:sz w:val="21"/>
                <w:szCs w:val="21"/>
                <w:shd w:val="clear" w:color="auto" w:fill="FFFFFF"/>
              </w:rPr>
              <w:t>抑制作用强于</w:t>
            </w:r>
            <w:r w:rsidRPr="009E464F">
              <w:rPr>
                <w:rFonts w:cs="Times New Roman"/>
                <w:color w:val="000000" w:themeColor="text1"/>
                <w:sz w:val="21"/>
                <w:szCs w:val="21"/>
                <w:shd w:val="clear" w:color="auto" w:fill="FFFFFF"/>
              </w:rPr>
              <w:t>MATES</w:t>
            </w:r>
          </w:p>
        </w:tc>
      </w:tr>
      <w:tr w:rsidR="00BF22C5" w:rsidRPr="009E464F" w14:paraId="5D758B01" w14:textId="77777777" w:rsidTr="008663B1">
        <w:trPr>
          <w:jc w:val="center"/>
        </w:trPr>
        <w:tc>
          <w:tcPr>
            <w:tcW w:w="818" w:type="pct"/>
            <w:vMerge/>
            <w:vAlign w:val="center"/>
          </w:tcPr>
          <w:p w14:paraId="156BD4EE"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018" w:type="pct"/>
            <w:vAlign w:val="center"/>
          </w:tcPr>
          <w:p w14:paraId="64D46C6D" w14:textId="77777777" w:rsidR="00BF22C5" w:rsidRPr="009E464F" w:rsidRDefault="00BF22C5">
            <w:pPr>
              <w:snapToGrid w:val="0"/>
              <w:spacing w:line="240" w:lineRule="auto"/>
              <w:ind w:firstLine="420"/>
              <w:jc w:val="left"/>
              <w:rPr>
                <w:rFonts w:cs="Times New Roman"/>
                <w:color w:val="000000" w:themeColor="text1"/>
                <w:sz w:val="21"/>
                <w:szCs w:val="21"/>
                <w:shd w:val="clear" w:color="auto" w:fill="FFFFFF"/>
              </w:rPr>
            </w:pPr>
            <w:proofErr w:type="gramStart"/>
            <w:r w:rsidRPr="009E464F">
              <w:rPr>
                <w:rFonts w:cs="Times New Roman"/>
                <w:color w:val="000000" w:themeColor="text1"/>
                <w:sz w:val="21"/>
                <w:szCs w:val="21"/>
                <w:shd w:val="clear" w:color="auto" w:fill="FFFFFF"/>
              </w:rPr>
              <w:t>凡德他尼</w:t>
            </w:r>
            <w:proofErr w:type="gram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vandetanib</w:t>
            </w:r>
            <w:proofErr w:type="spellEnd"/>
            <w:r w:rsidRPr="009E464F">
              <w:rPr>
                <w:rFonts w:cs="Times New Roman"/>
                <w:color w:val="000000" w:themeColor="text1"/>
                <w:sz w:val="21"/>
                <w:szCs w:val="21"/>
              </w:rPr>
              <w:t>)</w:t>
            </w:r>
            <w:r w:rsidRPr="009E464F">
              <w:rPr>
                <w:rFonts w:cs="Times New Roman"/>
                <w:color w:val="000000" w:themeColor="text1"/>
                <w:sz w:val="21"/>
                <w:szCs w:val="21"/>
                <w:shd w:val="clear" w:color="auto" w:fill="FFFFFF"/>
              </w:rPr>
              <w:t xml:space="preserve"> </w:t>
            </w:r>
          </w:p>
        </w:tc>
        <w:tc>
          <w:tcPr>
            <w:tcW w:w="2164" w:type="pct"/>
            <w:vAlign w:val="center"/>
          </w:tcPr>
          <w:p w14:paraId="445073C1"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对</w:t>
            </w:r>
            <w:r w:rsidRPr="009E464F">
              <w:rPr>
                <w:rFonts w:cs="Times New Roman"/>
                <w:color w:val="000000" w:themeColor="text1"/>
                <w:sz w:val="21"/>
                <w:szCs w:val="21"/>
                <w:shd w:val="clear" w:color="auto" w:fill="FFFFFF"/>
              </w:rPr>
              <w:t>MATE</w:t>
            </w:r>
            <w:r w:rsidRPr="009E464F">
              <w:rPr>
                <w:rFonts w:cs="Times New Roman"/>
                <w:color w:val="000000" w:themeColor="text1"/>
                <w:sz w:val="21"/>
                <w:szCs w:val="21"/>
                <w:shd w:val="clear" w:color="auto" w:fill="FFFFFF"/>
              </w:rPr>
              <w:t>抑制作用强于</w:t>
            </w:r>
            <w:r w:rsidRPr="009E464F">
              <w:rPr>
                <w:rFonts w:cs="Times New Roman"/>
                <w:color w:val="000000" w:themeColor="text1"/>
                <w:sz w:val="21"/>
                <w:szCs w:val="21"/>
                <w:shd w:val="clear" w:color="auto" w:fill="FFFFFF"/>
              </w:rPr>
              <w:t>OCT2</w:t>
            </w:r>
          </w:p>
        </w:tc>
      </w:tr>
      <w:tr w:rsidR="00BF22C5" w:rsidRPr="009E464F" w14:paraId="052CB9C6" w14:textId="77777777" w:rsidTr="008663B1">
        <w:trPr>
          <w:jc w:val="center"/>
        </w:trPr>
        <w:tc>
          <w:tcPr>
            <w:tcW w:w="818" w:type="pct"/>
            <w:vMerge/>
            <w:vAlign w:val="center"/>
          </w:tcPr>
          <w:p w14:paraId="016281AE"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018" w:type="pct"/>
            <w:vAlign w:val="center"/>
          </w:tcPr>
          <w:p w14:paraId="3B159B4C"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雷诺</w:t>
            </w:r>
            <w:proofErr w:type="gramStart"/>
            <w:r w:rsidRPr="009E464F">
              <w:rPr>
                <w:rFonts w:cs="Times New Roman"/>
                <w:color w:val="000000" w:themeColor="text1"/>
                <w:sz w:val="21"/>
                <w:szCs w:val="21"/>
                <w:shd w:val="clear" w:color="auto" w:fill="FFFFFF"/>
              </w:rPr>
              <w:t>嗪</w:t>
            </w:r>
            <w:proofErr w:type="gramEnd"/>
            <w:r w:rsidRPr="009E464F">
              <w:rPr>
                <w:rFonts w:cs="Times New Roman"/>
                <w:color w:val="000000" w:themeColor="text1"/>
                <w:sz w:val="21"/>
                <w:szCs w:val="21"/>
                <w:shd w:val="clear" w:color="auto" w:fill="FFFFFF"/>
              </w:rPr>
              <w:t>(</w:t>
            </w:r>
            <w:r w:rsidRPr="009E464F">
              <w:rPr>
                <w:rFonts w:cs="Times New Roman"/>
                <w:color w:val="000000" w:themeColor="text1"/>
                <w:sz w:val="21"/>
                <w:szCs w:val="21"/>
              </w:rPr>
              <w:t xml:space="preserve">ranolazine) </w:t>
            </w:r>
          </w:p>
        </w:tc>
        <w:tc>
          <w:tcPr>
            <w:tcW w:w="2164" w:type="pct"/>
            <w:vAlign w:val="center"/>
          </w:tcPr>
          <w:p w14:paraId="46F37718"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MATE</w:t>
            </w:r>
            <w:r w:rsidRPr="009E464F">
              <w:rPr>
                <w:rFonts w:cs="Times New Roman"/>
                <w:color w:val="000000" w:themeColor="text1"/>
                <w:sz w:val="21"/>
                <w:szCs w:val="21"/>
                <w:shd w:val="clear" w:color="auto" w:fill="FFFFFF"/>
              </w:rPr>
              <w:t>和</w:t>
            </w:r>
            <w:r w:rsidRPr="009E464F">
              <w:rPr>
                <w:rFonts w:cs="Times New Roman"/>
                <w:color w:val="000000" w:themeColor="text1"/>
                <w:sz w:val="21"/>
                <w:szCs w:val="21"/>
                <w:shd w:val="clear" w:color="auto" w:fill="FFFFFF"/>
              </w:rPr>
              <w:t>OCT2</w:t>
            </w:r>
            <w:r w:rsidRPr="009E464F">
              <w:rPr>
                <w:rFonts w:cs="Times New Roman"/>
                <w:color w:val="000000" w:themeColor="text1"/>
                <w:sz w:val="21"/>
                <w:szCs w:val="21"/>
                <w:shd w:val="clear" w:color="auto" w:fill="FFFFFF"/>
              </w:rPr>
              <w:t>抑制作用相当</w:t>
            </w:r>
          </w:p>
        </w:tc>
      </w:tr>
      <w:tr w:rsidR="00BF22C5" w:rsidRPr="009E464F" w14:paraId="6D6BAA96" w14:textId="77777777" w:rsidTr="008663B1">
        <w:trPr>
          <w:jc w:val="center"/>
        </w:trPr>
        <w:tc>
          <w:tcPr>
            <w:tcW w:w="818" w:type="pct"/>
            <w:vMerge/>
            <w:vAlign w:val="center"/>
          </w:tcPr>
          <w:p w14:paraId="1FDFA38B" w14:textId="77777777" w:rsidR="00BF22C5" w:rsidRPr="009E464F" w:rsidRDefault="00BF22C5">
            <w:pPr>
              <w:snapToGrid w:val="0"/>
              <w:spacing w:line="240" w:lineRule="auto"/>
              <w:ind w:firstLine="420"/>
              <w:jc w:val="left"/>
              <w:rPr>
                <w:rFonts w:cs="Times New Roman"/>
                <w:color w:val="000000" w:themeColor="text1"/>
                <w:sz w:val="21"/>
                <w:szCs w:val="21"/>
              </w:rPr>
            </w:pPr>
          </w:p>
        </w:tc>
        <w:tc>
          <w:tcPr>
            <w:tcW w:w="2018" w:type="pct"/>
            <w:vAlign w:val="center"/>
          </w:tcPr>
          <w:p w14:paraId="6191D154" w14:textId="77777777" w:rsidR="00BF22C5" w:rsidRPr="009E464F" w:rsidRDefault="00BF22C5">
            <w:pPr>
              <w:snapToGrid w:val="0"/>
              <w:spacing w:line="240" w:lineRule="auto"/>
              <w:ind w:firstLine="420"/>
              <w:jc w:val="left"/>
              <w:rPr>
                <w:rFonts w:cs="Times New Roman"/>
                <w:color w:val="000000" w:themeColor="text1"/>
                <w:sz w:val="21"/>
                <w:szCs w:val="21"/>
              </w:rPr>
            </w:pPr>
            <w:proofErr w:type="gramStart"/>
            <w:r w:rsidRPr="009E464F">
              <w:rPr>
                <w:rFonts w:cs="Times New Roman"/>
                <w:color w:val="000000" w:themeColor="text1"/>
                <w:sz w:val="21"/>
                <w:szCs w:val="21"/>
                <w:shd w:val="clear" w:color="auto" w:fill="FFFFFF"/>
              </w:rPr>
              <w:t>艾沙康唑</w:t>
            </w:r>
            <w:proofErr w:type="gramEnd"/>
            <w:r w:rsidRPr="009E464F">
              <w:rPr>
                <w:rFonts w:cs="Times New Roman"/>
                <w:color w:val="000000" w:themeColor="text1"/>
                <w:sz w:val="21"/>
                <w:szCs w:val="21"/>
                <w:shd w:val="clear" w:color="auto" w:fill="FFFFFF"/>
              </w:rPr>
              <w:t>(</w:t>
            </w:r>
            <w:proofErr w:type="spellStart"/>
            <w:r w:rsidRPr="009E464F">
              <w:rPr>
                <w:rFonts w:cs="Times New Roman"/>
                <w:color w:val="000000" w:themeColor="text1"/>
                <w:sz w:val="21"/>
                <w:szCs w:val="21"/>
              </w:rPr>
              <w:t>isavuconazole</w:t>
            </w:r>
            <w:proofErr w:type="spellEnd"/>
            <w:r w:rsidRPr="009E464F">
              <w:rPr>
                <w:rFonts w:cs="Times New Roman"/>
                <w:color w:val="000000" w:themeColor="text1"/>
                <w:sz w:val="21"/>
                <w:szCs w:val="21"/>
              </w:rPr>
              <w:t xml:space="preserve">) </w:t>
            </w:r>
          </w:p>
        </w:tc>
        <w:tc>
          <w:tcPr>
            <w:tcW w:w="2164" w:type="pct"/>
            <w:vAlign w:val="center"/>
          </w:tcPr>
          <w:p w14:paraId="32186872" w14:textId="77777777" w:rsidR="00BF22C5" w:rsidRPr="009E464F" w:rsidRDefault="00BF22C5">
            <w:pPr>
              <w:snapToGrid w:val="0"/>
              <w:spacing w:line="240" w:lineRule="auto"/>
              <w:ind w:firstLine="420"/>
              <w:jc w:val="left"/>
              <w:rPr>
                <w:rFonts w:cs="Times New Roman"/>
                <w:color w:val="000000" w:themeColor="text1"/>
                <w:sz w:val="21"/>
                <w:szCs w:val="21"/>
              </w:rPr>
            </w:pPr>
            <w:r w:rsidRPr="009E464F">
              <w:rPr>
                <w:rFonts w:cs="Times New Roman"/>
                <w:color w:val="000000" w:themeColor="text1"/>
                <w:sz w:val="21"/>
                <w:szCs w:val="21"/>
                <w:shd w:val="clear" w:color="auto" w:fill="FFFFFF"/>
              </w:rPr>
              <w:t>对</w:t>
            </w:r>
            <w:r w:rsidRPr="009E464F">
              <w:rPr>
                <w:rFonts w:cs="Times New Roman"/>
                <w:color w:val="000000" w:themeColor="text1"/>
                <w:sz w:val="21"/>
                <w:szCs w:val="21"/>
                <w:shd w:val="clear" w:color="auto" w:fill="FFFFFF"/>
              </w:rPr>
              <w:t>P-</w:t>
            </w:r>
            <w:proofErr w:type="spellStart"/>
            <w:r w:rsidRPr="009E464F">
              <w:rPr>
                <w:rFonts w:cs="Times New Roman"/>
                <w:color w:val="000000" w:themeColor="text1"/>
                <w:sz w:val="21"/>
                <w:szCs w:val="21"/>
                <w:shd w:val="clear" w:color="auto" w:fill="FFFFFF"/>
              </w:rPr>
              <w:t>gp</w:t>
            </w:r>
            <w:proofErr w:type="spellEnd"/>
            <w:r w:rsidRPr="009E464F">
              <w:rPr>
                <w:rFonts w:cs="Times New Roman"/>
                <w:color w:val="000000" w:themeColor="text1"/>
                <w:sz w:val="21"/>
                <w:szCs w:val="21"/>
                <w:shd w:val="clear" w:color="auto" w:fill="FFFFFF"/>
              </w:rPr>
              <w:t>和</w:t>
            </w:r>
            <w:r w:rsidRPr="009E464F">
              <w:rPr>
                <w:rFonts w:cs="Times New Roman"/>
                <w:color w:val="000000" w:themeColor="text1"/>
                <w:sz w:val="21"/>
                <w:szCs w:val="21"/>
                <w:shd w:val="clear" w:color="auto" w:fill="FFFFFF"/>
              </w:rPr>
              <w:t>BCRP</w:t>
            </w:r>
            <w:r w:rsidRPr="009E464F">
              <w:rPr>
                <w:rFonts w:cs="Times New Roman"/>
                <w:color w:val="000000" w:themeColor="text1"/>
                <w:sz w:val="21"/>
                <w:szCs w:val="21"/>
                <w:shd w:val="clear" w:color="auto" w:fill="FFFFFF"/>
              </w:rPr>
              <w:t>有一定抑制作用</w:t>
            </w:r>
          </w:p>
        </w:tc>
      </w:tr>
    </w:tbl>
    <w:p w14:paraId="33527D81" w14:textId="77777777" w:rsidR="003902BA" w:rsidRDefault="003902BA" w:rsidP="0083505F">
      <w:pPr>
        <w:spacing w:line="500" w:lineRule="exact"/>
        <w:ind w:firstLine="640"/>
        <w:rPr>
          <w:rFonts w:cs="Times New Roman"/>
          <w:color w:val="000008"/>
        </w:rPr>
      </w:pPr>
    </w:p>
    <w:p w14:paraId="4344FC9A" w14:textId="5037E5B1" w:rsidR="00E63FE6" w:rsidRPr="009E464F" w:rsidRDefault="00E63FE6" w:rsidP="0083505F">
      <w:pPr>
        <w:pStyle w:val="1"/>
        <w:spacing w:line="500" w:lineRule="exact"/>
        <w:rPr>
          <w:rFonts w:ascii="Times New Roman" w:eastAsia="仿宋_GB2312" w:hAnsi="Times New Roman" w:cs="Times New Roman"/>
        </w:rPr>
      </w:pPr>
      <w:bookmarkStart w:id="90" w:name="_Toc50395985"/>
      <w:r w:rsidRPr="009E464F">
        <w:rPr>
          <w:rFonts w:ascii="Times New Roman" w:eastAsia="仿宋_GB2312" w:hAnsi="Times New Roman" w:cs="Times New Roman"/>
        </w:rPr>
        <w:t>参考文献</w:t>
      </w:r>
      <w:bookmarkEnd w:id="90"/>
    </w:p>
    <w:p w14:paraId="489B73DD" w14:textId="77777777" w:rsidR="002A43CB" w:rsidRPr="009E464F" w:rsidRDefault="00A358BE" w:rsidP="0083505F">
      <w:pPr>
        <w:autoSpaceDE w:val="0"/>
        <w:autoSpaceDN w:val="0"/>
        <w:adjustRightInd w:val="0"/>
        <w:spacing w:line="500" w:lineRule="exact"/>
        <w:ind w:firstLine="640"/>
        <w:rPr>
          <w:rFonts w:cs="Times New Roman"/>
          <w:szCs w:val="32"/>
        </w:rPr>
      </w:pPr>
      <w:r w:rsidRPr="009E464F">
        <w:rPr>
          <w:rFonts w:cs="Times New Roman"/>
          <w:szCs w:val="32"/>
          <w:lang w:eastAsia="zh-CN"/>
        </w:rPr>
        <w:t>[1] FDA</w:t>
      </w:r>
      <w:r w:rsidR="002A43CB" w:rsidRPr="009E464F">
        <w:rPr>
          <w:rFonts w:cs="Times New Roman"/>
          <w:szCs w:val="32"/>
          <w:lang w:eastAsia="zh-CN"/>
        </w:rPr>
        <w:t>. G</w:t>
      </w:r>
      <w:r w:rsidRPr="009E464F">
        <w:rPr>
          <w:rFonts w:cs="Times New Roman"/>
          <w:szCs w:val="32"/>
          <w:lang w:eastAsia="zh-CN"/>
        </w:rPr>
        <w:t>uidance</w:t>
      </w:r>
      <w:r w:rsidR="002A43CB" w:rsidRPr="009E464F">
        <w:rPr>
          <w:rFonts w:cs="Times New Roman"/>
          <w:szCs w:val="32"/>
          <w:lang w:eastAsia="zh-CN"/>
        </w:rPr>
        <w:t xml:space="preserve"> for Industry:</w:t>
      </w:r>
      <w:r w:rsidRPr="009E464F">
        <w:rPr>
          <w:rFonts w:cs="Times New Roman"/>
          <w:szCs w:val="32"/>
          <w:lang w:eastAsia="zh-CN"/>
        </w:rPr>
        <w:t xml:space="preserve"> </w:t>
      </w:r>
      <w:r w:rsidR="002A43CB" w:rsidRPr="009E464F">
        <w:rPr>
          <w:rFonts w:cs="Times New Roman"/>
          <w:szCs w:val="32"/>
          <w:lang w:eastAsia="zh-CN"/>
        </w:rPr>
        <w:t>E</w:t>
      </w:r>
      <w:r w:rsidRPr="009E464F">
        <w:rPr>
          <w:rFonts w:cs="Times New Roman"/>
          <w:szCs w:val="32"/>
          <w:lang w:eastAsia="zh-CN"/>
        </w:rPr>
        <w:t>xpansion cohorts</w:t>
      </w:r>
      <w:r w:rsidR="002A43CB" w:rsidRPr="009E464F">
        <w:rPr>
          <w:rFonts w:cs="Times New Roman"/>
          <w:szCs w:val="32"/>
          <w:lang w:eastAsia="zh-CN"/>
        </w:rPr>
        <w:t xml:space="preserve">: Use in first-in-human clinical trial to expedite development of </w:t>
      </w:r>
      <w:r w:rsidRPr="009E464F">
        <w:rPr>
          <w:rFonts w:cs="Times New Roman"/>
          <w:szCs w:val="32"/>
          <w:lang w:eastAsia="zh-CN"/>
        </w:rPr>
        <w:t>oncology drug</w:t>
      </w:r>
      <w:r w:rsidR="002A43CB" w:rsidRPr="009E464F">
        <w:rPr>
          <w:rFonts w:cs="Times New Roman"/>
          <w:szCs w:val="32"/>
          <w:lang w:eastAsia="zh-CN"/>
        </w:rPr>
        <w:t>s and biologics. (</w:t>
      </w:r>
      <w:r w:rsidR="002A43CB" w:rsidRPr="009E464F">
        <w:rPr>
          <w:rFonts w:cs="Times New Roman"/>
          <w:szCs w:val="32"/>
        </w:rPr>
        <w:t>draft</w:t>
      </w:r>
      <w:r w:rsidR="002A43CB" w:rsidRPr="009E464F">
        <w:rPr>
          <w:rFonts w:cs="Times New Roman"/>
          <w:szCs w:val="32"/>
          <w:lang w:eastAsia="zh-CN"/>
        </w:rPr>
        <w:t>)</w:t>
      </w:r>
      <w:r w:rsidR="002A43CB" w:rsidRPr="009E464F">
        <w:rPr>
          <w:rFonts w:cs="Times New Roman"/>
          <w:szCs w:val="32"/>
        </w:rPr>
        <w:t>. 2018</w:t>
      </w:r>
      <w:r w:rsidR="002A43CB" w:rsidRPr="009E464F">
        <w:rPr>
          <w:rFonts w:cs="Times New Roman"/>
          <w:szCs w:val="32"/>
        </w:rPr>
        <w:t>年</w:t>
      </w:r>
      <w:r w:rsidR="002A43CB" w:rsidRPr="009E464F">
        <w:rPr>
          <w:rFonts w:cs="Times New Roman"/>
          <w:szCs w:val="32"/>
        </w:rPr>
        <w:t>8</w:t>
      </w:r>
      <w:r w:rsidR="002A43CB" w:rsidRPr="009E464F">
        <w:rPr>
          <w:rFonts w:cs="Times New Roman"/>
          <w:szCs w:val="32"/>
        </w:rPr>
        <w:t>月</w:t>
      </w:r>
      <w:r w:rsidR="002A43CB" w:rsidRPr="009E464F">
        <w:rPr>
          <w:rFonts w:cs="Times New Roman"/>
          <w:szCs w:val="32"/>
        </w:rPr>
        <w:t>.</w:t>
      </w:r>
    </w:p>
    <w:p w14:paraId="0EB8CFE9" w14:textId="77777777" w:rsidR="002A43CB" w:rsidRPr="009E464F" w:rsidRDefault="002A43CB" w:rsidP="0083505F">
      <w:pPr>
        <w:autoSpaceDE w:val="0"/>
        <w:autoSpaceDN w:val="0"/>
        <w:adjustRightInd w:val="0"/>
        <w:spacing w:line="500" w:lineRule="exact"/>
        <w:ind w:firstLine="640"/>
        <w:rPr>
          <w:rFonts w:cs="Times New Roman"/>
          <w:szCs w:val="32"/>
        </w:rPr>
      </w:pPr>
      <w:r w:rsidRPr="009E464F">
        <w:rPr>
          <w:rFonts w:cs="Times New Roman"/>
          <w:szCs w:val="32"/>
        </w:rPr>
        <w:t>[2] Yu H, Tweedie D. A perspective on the contribution of metabolites to drug-drug interaction potential: the need to consider both circulating levels and inhibition potency.</w:t>
      </w:r>
      <w:r w:rsidRPr="009E464F">
        <w:rPr>
          <w:rFonts w:cs="Times New Roman"/>
        </w:rPr>
        <w:t xml:space="preserve"> </w:t>
      </w:r>
      <w:r w:rsidRPr="009E464F">
        <w:rPr>
          <w:rFonts w:cs="Times New Roman"/>
          <w:szCs w:val="32"/>
        </w:rPr>
        <w:t xml:space="preserve">Drug </w:t>
      </w:r>
      <w:proofErr w:type="spellStart"/>
      <w:r w:rsidRPr="009E464F">
        <w:rPr>
          <w:rFonts w:cs="Times New Roman"/>
          <w:szCs w:val="32"/>
        </w:rPr>
        <w:t>Metab</w:t>
      </w:r>
      <w:proofErr w:type="spellEnd"/>
      <w:r w:rsidRPr="009E464F">
        <w:rPr>
          <w:rFonts w:cs="Times New Roman"/>
          <w:szCs w:val="32"/>
        </w:rPr>
        <w:t xml:space="preserve"> </w:t>
      </w:r>
      <w:proofErr w:type="spellStart"/>
      <w:r w:rsidRPr="009E464F">
        <w:rPr>
          <w:rFonts w:cs="Times New Roman"/>
          <w:szCs w:val="32"/>
        </w:rPr>
        <w:t>Dispos</w:t>
      </w:r>
      <w:proofErr w:type="spellEnd"/>
      <w:r w:rsidRPr="009E464F">
        <w:rPr>
          <w:rFonts w:cs="Times New Roman"/>
          <w:szCs w:val="32"/>
        </w:rPr>
        <w:t>. 2013. 41(3):536-540.</w:t>
      </w:r>
    </w:p>
    <w:p w14:paraId="630CE353" w14:textId="77777777" w:rsidR="00E63FE6" w:rsidRPr="009E464F" w:rsidRDefault="004A4EA1" w:rsidP="0083505F">
      <w:pPr>
        <w:autoSpaceDE w:val="0"/>
        <w:autoSpaceDN w:val="0"/>
        <w:adjustRightInd w:val="0"/>
        <w:spacing w:line="500" w:lineRule="exact"/>
        <w:ind w:firstLine="640"/>
        <w:rPr>
          <w:rFonts w:cs="Times New Roman"/>
          <w:szCs w:val="32"/>
          <w:lang w:eastAsia="zh-CN"/>
        </w:rPr>
      </w:pPr>
      <w:r w:rsidRPr="009E464F">
        <w:rPr>
          <w:rFonts w:cs="Times New Roman"/>
          <w:szCs w:val="32"/>
        </w:rPr>
        <w:t xml:space="preserve">[3] Zhang L, Wu F, Lee SC, Zhao H, Zhang L. pH-dependent drug-drug interactions for weak base drugs: potential implications for new drug development. </w:t>
      </w:r>
      <w:proofErr w:type="spellStart"/>
      <w:r w:rsidRPr="009E464F">
        <w:rPr>
          <w:rFonts w:cs="Times New Roman"/>
          <w:szCs w:val="32"/>
        </w:rPr>
        <w:t>Clin</w:t>
      </w:r>
      <w:proofErr w:type="spellEnd"/>
      <w:r w:rsidRPr="009E464F">
        <w:rPr>
          <w:rFonts w:cs="Times New Roman"/>
          <w:szCs w:val="32"/>
        </w:rPr>
        <w:t xml:space="preserve"> </w:t>
      </w:r>
      <w:proofErr w:type="spellStart"/>
      <w:r w:rsidRPr="009E464F">
        <w:rPr>
          <w:rFonts w:cs="Times New Roman"/>
          <w:szCs w:val="32"/>
        </w:rPr>
        <w:t>Pharmacol</w:t>
      </w:r>
      <w:proofErr w:type="spellEnd"/>
      <w:r w:rsidRPr="009E464F">
        <w:rPr>
          <w:rFonts w:cs="Times New Roman"/>
          <w:szCs w:val="32"/>
        </w:rPr>
        <w:t xml:space="preserve"> </w:t>
      </w:r>
      <w:proofErr w:type="spellStart"/>
      <w:r w:rsidRPr="009E464F">
        <w:rPr>
          <w:rFonts w:cs="Times New Roman"/>
          <w:szCs w:val="32"/>
        </w:rPr>
        <w:t>Ther</w:t>
      </w:r>
      <w:proofErr w:type="spellEnd"/>
      <w:r w:rsidRPr="009E464F">
        <w:rPr>
          <w:rFonts w:cs="Times New Roman"/>
          <w:szCs w:val="32"/>
        </w:rPr>
        <w:t>. 2014</w:t>
      </w:r>
      <w:r w:rsidR="00F27A61" w:rsidRPr="009E464F">
        <w:rPr>
          <w:rFonts w:cs="Times New Roman"/>
          <w:szCs w:val="32"/>
        </w:rPr>
        <w:t xml:space="preserve">. </w:t>
      </w:r>
      <w:r w:rsidRPr="009E464F">
        <w:rPr>
          <w:rFonts w:cs="Times New Roman"/>
          <w:szCs w:val="32"/>
        </w:rPr>
        <w:t>96(2):266-277.</w:t>
      </w:r>
    </w:p>
    <w:p w14:paraId="0079E483" w14:textId="77777777" w:rsidR="004A4EA1" w:rsidRPr="001E0470" w:rsidRDefault="004A4EA1" w:rsidP="0083505F">
      <w:pPr>
        <w:autoSpaceDE w:val="0"/>
        <w:autoSpaceDN w:val="0"/>
        <w:adjustRightInd w:val="0"/>
        <w:spacing w:line="500" w:lineRule="exact"/>
        <w:ind w:firstLine="640"/>
        <w:rPr>
          <w:rFonts w:cs="Times New Roman"/>
          <w:szCs w:val="32"/>
          <w:lang w:eastAsia="zh-CN"/>
        </w:rPr>
      </w:pPr>
      <w:r w:rsidRPr="009E464F">
        <w:rPr>
          <w:rFonts w:cs="Times New Roman"/>
          <w:szCs w:val="32"/>
          <w:lang w:eastAsia="zh-CN"/>
        </w:rPr>
        <w:t>[4] Palatini P, De Martin S. Pharmacokinetic drug interactions in liver disease: An update. World J Gastroenterol. 2016</w:t>
      </w:r>
      <w:r w:rsidR="00F27A61" w:rsidRPr="009E464F">
        <w:rPr>
          <w:rFonts w:cs="Times New Roman"/>
          <w:szCs w:val="32"/>
          <w:lang w:eastAsia="zh-CN"/>
        </w:rPr>
        <w:t xml:space="preserve">. </w:t>
      </w:r>
      <w:r w:rsidRPr="009E464F">
        <w:rPr>
          <w:rFonts w:cs="Times New Roman"/>
          <w:szCs w:val="32"/>
          <w:lang w:eastAsia="zh-CN"/>
        </w:rPr>
        <w:t>22(3):1260-1278.</w:t>
      </w:r>
    </w:p>
    <w:sectPr w:rsidR="004A4EA1" w:rsidRPr="001E0470" w:rsidSect="002F071D">
      <w:pgSz w:w="12240" w:h="15840"/>
      <w:pgMar w:top="1440" w:right="1440" w:bottom="1440" w:left="1440"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D908C" w14:textId="77777777" w:rsidR="003275AF" w:rsidRDefault="003275AF" w:rsidP="00DC56E0">
      <w:pPr>
        <w:spacing w:after="0" w:line="240" w:lineRule="auto"/>
        <w:ind w:firstLine="640"/>
      </w:pPr>
      <w:r>
        <w:separator/>
      </w:r>
    </w:p>
  </w:endnote>
  <w:endnote w:type="continuationSeparator" w:id="0">
    <w:p w14:paraId="2E0D10A4" w14:textId="77777777" w:rsidR="003275AF" w:rsidRDefault="003275AF" w:rsidP="00DC56E0">
      <w:pPr>
        <w:spacing w:after="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574B" w14:textId="77777777" w:rsidR="00921CF9" w:rsidRDefault="00921CF9">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D02C0" w14:textId="77777777" w:rsidR="00921CF9" w:rsidRDefault="00921CF9" w:rsidP="00EF69DD">
    <w:pPr>
      <w:pStyle w:val="a5"/>
      <w:ind w:firstLine="360"/>
    </w:pPr>
  </w:p>
  <w:p w14:paraId="216F55FF" w14:textId="77777777" w:rsidR="00921CF9" w:rsidRDefault="00921CF9" w:rsidP="00EF69DD">
    <w:pPr>
      <w:pStyle w:val="a5"/>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FD244" w14:textId="77777777" w:rsidR="00921CF9" w:rsidRDefault="00921CF9">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936185"/>
      <w:docPartObj>
        <w:docPartGallery w:val="Page Numbers (Bottom of Page)"/>
        <w:docPartUnique/>
      </w:docPartObj>
    </w:sdtPr>
    <w:sdtEndPr/>
    <w:sdtContent>
      <w:p w14:paraId="340C7094" w14:textId="208A9591" w:rsidR="00921CF9" w:rsidRDefault="00921CF9">
        <w:pPr>
          <w:pStyle w:val="a5"/>
          <w:ind w:firstLine="360"/>
          <w:jc w:val="center"/>
        </w:pPr>
        <w:r>
          <w:fldChar w:fldCharType="begin"/>
        </w:r>
        <w:r>
          <w:instrText>PAGE   \* MERGEFORMAT</w:instrText>
        </w:r>
        <w:r>
          <w:fldChar w:fldCharType="separate"/>
        </w:r>
        <w:r w:rsidR="00AB6FCD" w:rsidRPr="00AB6FCD">
          <w:rPr>
            <w:noProof/>
            <w:lang w:val="zh-CN" w:eastAsia="zh-CN"/>
          </w:rPr>
          <w:t>44</w:t>
        </w:r>
        <w:r>
          <w:rPr>
            <w:noProof/>
            <w:lang w:val="zh-CN" w:eastAsia="zh-CN"/>
          </w:rPr>
          <w:fldChar w:fldCharType="end"/>
        </w:r>
      </w:p>
    </w:sdtContent>
  </w:sdt>
  <w:p w14:paraId="5C47B37B" w14:textId="77777777" w:rsidR="00921CF9" w:rsidRDefault="00921CF9">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B8E8B" w14:textId="77777777" w:rsidR="003275AF" w:rsidRDefault="003275AF" w:rsidP="00DC56E0">
      <w:pPr>
        <w:spacing w:after="0" w:line="240" w:lineRule="auto"/>
        <w:ind w:firstLine="640"/>
      </w:pPr>
      <w:r>
        <w:separator/>
      </w:r>
    </w:p>
  </w:footnote>
  <w:footnote w:type="continuationSeparator" w:id="0">
    <w:p w14:paraId="567430D1" w14:textId="77777777" w:rsidR="003275AF" w:rsidRDefault="003275AF" w:rsidP="00DC56E0">
      <w:pPr>
        <w:spacing w:after="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4AEF5" w14:textId="168FC31C" w:rsidR="00921CF9" w:rsidRDefault="00921CF9">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EF6B7" w14:textId="243CC172" w:rsidR="00921CF9" w:rsidRDefault="00921CF9" w:rsidP="00D96321">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B84AE" w14:textId="0BC4C394" w:rsidR="00921CF9" w:rsidRDefault="00921CF9">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1684" w14:textId="77777777" w:rsidR="00921CF9" w:rsidRDefault="00921CF9">
    <w:pPr>
      <w:pStyle w:val="a3"/>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CE03C" w14:textId="77777777" w:rsidR="00921CF9" w:rsidRPr="00C5183C" w:rsidRDefault="00921CF9" w:rsidP="00C5183C">
    <w:pPr>
      <w:ind w:firstLine="64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0F57D" w14:textId="77777777" w:rsidR="00921CF9" w:rsidRDefault="00921CF9">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407"/>
    <w:multiLevelType w:val="hybridMultilevel"/>
    <w:tmpl w:val="B0BA7C38"/>
    <w:lvl w:ilvl="0" w:tplc="B8D44D6A">
      <w:start w:val="1"/>
      <w:numFmt w:val="bullet"/>
      <w:lvlText w:val="•"/>
      <w:lvlJc w:val="left"/>
      <w:pPr>
        <w:ind w:left="1060" w:hanging="420"/>
      </w:pPr>
      <w:rPr>
        <w:rFonts w:ascii="宋体" w:eastAsia="宋体" w:hAnsi="宋体" w:cs="Times New Roman" w:hint="eastAsia"/>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 w15:restartNumberingAfterBreak="0">
    <w:nsid w:val="018C00A1"/>
    <w:multiLevelType w:val="hybridMultilevel"/>
    <w:tmpl w:val="FB823C54"/>
    <w:lvl w:ilvl="0" w:tplc="CA6414BE">
      <w:start w:val="1"/>
      <w:numFmt w:val="decimal"/>
      <w:lvlText w:val="%1."/>
      <w:lvlJc w:val="left"/>
      <w:pPr>
        <w:ind w:left="360" w:hanging="360"/>
      </w:pPr>
      <w:rPr>
        <w:rFonts w:ascii="Times New Roman" w:eastAsia="宋体" w:hAnsi="宋体"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31EDA"/>
    <w:multiLevelType w:val="hybridMultilevel"/>
    <w:tmpl w:val="B3460294"/>
    <w:lvl w:ilvl="0" w:tplc="515CA6AA">
      <w:start w:val="1"/>
      <w:numFmt w:val="bullet"/>
      <w:lvlText w:val=""/>
      <w:lvlJc w:val="left"/>
      <w:pPr>
        <w:ind w:left="360" w:hanging="36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851C92"/>
    <w:multiLevelType w:val="hybridMultilevel"/>
    <w:tmpl w:val="88E89004"/>
    <w:lvl w:ilvl="0" w:tplc="CE841360">
      <w:start w:val="3"/>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4AF5FFD"/>
    <w:multiLevelType w:val="hybridMultilevel"/>
    <w:tmpl w:val="8294F2AC"/>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5105860"/>
    <w:multiLevelType w:val="hybridMultilevel"/>
    <w:tmpl w:val="F4E6B8A8"/>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8861C07"/>
    <w:multiLevelType w:val="hybridMultilevel"/>
    <w:tmpl w:val="C5CA8F3E"/>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FF30040"/>
    <w:multiLevelType w:val="hybridMultilevel"/>
    <w:tmpl w:val="048830EC"/>
    <w:lvl w:ilvl="0" w:tplc="A5563DE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571E5A"/>
    <w:multiLevelType w:val="hybridMultilevel"/>
    <w:tmpl w:val="2FD2F6DC"/>
    <w:lvl w:ilvl="0" w:tplc="1288675E">
      <w:start w:val="4"/>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55E655F"/>
    <w:multiLevelType w:val="hybridMultilevel"/>
    <w:tmpl w:val="6F127B22"/>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159B002D"/>
    <w:multiLevelType w:val="hybridMultilevel"/>
    <w:tmpl w:val="365611F0"/>
    <w:lvl w:ilvl="0" w:tplc="B8D44D6A">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E1426D2"/>
    <w:multiLevelType w:val="hybridMultilevel"/>
    <w:tmpl w:val="75CA63BE"/>
    <w:lvl w:ilvl="0" w:tplc="C694995A">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F5707A6"/>
    <w:multiLevelType w:val="hybridMultilevel"/>
    <w:tmpl w:val="A8D2001A"/>
    <w:lvl w:ilvl="0" w:tplc="515CA6AA">
      <w:start w:val="1"/>
      <w:numFmt w:val="bullet"/>
      <w:lvlText w:val=""/>
      <w:lvlJc w:val="left"/>
      <w:pPr>
        <w:ind w:left="420" w:hanging="420"/>
      </w:pPr>
      <w:rPr>
        <w:rFonts w:ascii="Symbol" w:hAnsi="Symbol" w:hint="default"/>
        <w:sz w:val="21"/>
      </w:rPr>
    </w:lvl>
    <w:lvl w:ilvl="1" w:tplc="645819FE">
      <w:start w:val="16"/>
      <w:numFmt w:val="bullet"/>
      <w:lvlText w:val="●"/>
      <w:lvlJc w:val="left"/>
      <w:pPr>
        <w:ind w:left="855" w:hanging="435"/>
      </w:pPr>
      <w:rPr>
        <w:rFonts w:ascii="Arial" w:eastAsia="宋体" w:hAnsi="Arial" w:cs="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02B5A7E"/>
    <w:multiLevelType w:val="hybridMultilevel"/>
    <w:tmpl w:val="AF54BD9C"/>
    <w:lvl w:ilvl="0" w:tplc="C1C67FC0">
      <w:start w:val="1"/>
      <w:numFmt w:val="bullet"/>
      <w:lvlText w:val="•"/>
      <w:lvlJc w:val="left"/>
      <w:pPr>
        <w:ind w:left="420" w:hanging="420"/>
      </w:pPr>
      <w:rPr>
        <w:rFonts w:ascii="宋体" w:eastAsia="宋体" w:hAnsi="宋体" w:cs="Times New Roman"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2E4320A"/>
    <w:multiLevelType w:val="hybridMultilevel"/>
    <w:tmpl w:val="C7548FCE"/>
    <w:lvl w:ilvl="0" w:tplc="04090011">
      <w:start w:val="1"/>
      <w:numFmt w:val="decimal"/>
      <w:lvlText w:val="%1)"/>
      <w:lvlJc w:val="left"/>
      <w:pPr>
        <w:ind w:left="420" w:hanging="420"/>
      </w:pPr>
      <w:rPr>
        <w:rFont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8E47175"/>
    <w:multiLevelType w:val="hybridMultilevel"/>
    <w:tmpl w:val="DDFA511A"/>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AA2562B"/>
    <w:multiLevelType w:val="hybridMultilevel"/>
    <w:tmpl w:val="E1341806"/>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40194C"/>
    <w:multiLevelType w:val="hybridMultilevel"/>
    <w:tmpl w:val="EC426528"/>
    <w:lvl w:ilvl="0" w:tplc="83C48C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F947C37"/>
    <w:multiLevelType w:val="hybridMultilevel"/>
    <w:tmpl w:val="E7B49A7C"/>
    <w:lvl w:ilvl="0" w:tplc="9DECEC7C">
      <w:start w:val="3"/>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2FAD4CC9"/>
    <w:multiLevelType w:val="hybridMultilevel"/>
    <w:tmpl w:val="3254159A"/>
    <w:lvl w:ilvl="0" w:tplc="D4CC3316">
      <w:start w:val="3"/>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0" w15:restartNumberingAfterBreak="0">
    <w:nsid w:val="34DE5B78"/>
    <w:multiLevelType w:val="hybridMultilevel"/>
    <w:tmpl w:val="C90EA11E"/>
    <w:lvl w:ilvl="0" w:tplc="9EDAC1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7061D70"/>
    <w:multiLevelType w:val="hybridMultilevel"/>
    <w:tmpl w:val="FD9CE936"/>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7E179EA"/>
    <w:multiLevelType w:val="hybridMultilevel"/>
    <w:tmpl w:val="0562FA64"/>
    <w:lvl w:ilvl="0" w:tplc="B8D44D6A">
      <w:start w:val="1"/>
      <w:numFmt w:val="bullet"/>
      <w:lvlText w:val="•"/>
      <w:lvlJc w:val="left"/>
      <w:pPr>
        <w:ind w:left="1020" w:hanging="420"/>
      </w:pPr>
      <w:rPr>
        <w:rFonts w:ascii="宋体" w:eastAsia="宋体" w:hAnsi="宋体" w:cs="Times New Roman" w:hint="eastAsia"/>
      </w:rPr>
    </w:lvl>
    <w:lvl w:ilvl="1" w:tplc="B8D44D6A">
      <w:start w:val="1"/>
      <w:numFmt w:val="bullet"/>
      <w:lvlText w:val="•"/>
      <w:lvlJc w:val="left"/>
      <w:pPr>
        <w:ind w:left="1440" w:hanging="420"/>
      </w:pPr>
      <w:rPr>
        <w:rFonts w:ascii="宋体" w:eastAsia="宋体" w:hAnsi="宋体" w:cs="Times New Roman" w:hint="eastAsia"/>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3" w15:restartNumberingAfterBreak="0">
    <w:nsid w:val="37F614F0"/>
    <w:multiLevelType w:val="hybridMultilevel"/>
    <w:tmpl w:val="EB8C10B4"/>
    <w:lvl w:ilvl="0" w:tplc="B8D44D6A">
      <w:start w:val="1"/>
      <w:numFmt w:val="bullet"/>
      <w:lvlText w:val="•"/>
      <w:lvlJc w:val="left"/>
      <w:pPr>
        <w:ind w:left="420" w:hanging="4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8135FE5"/>
    <w:multiLevelType w:val="hybridMultilevel"/>
    <w:tmpl w:val="56FA46B0"/>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A0C1114"/>
    <w:multiLevelType w:val="hybridMultilevel"/>
    <w:tmpl w:val="B8725C68"/>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BFF747D"/>
    <w:multiLevelType w:val="hybridMultilevel"/>
    <w:tmpl w:val="BD866F36"/>
    <w:lvl w:ilvl="0" w:tplc="B8D44D6A">
      <w:start w:val="1"/>
      <w:numFmt w:val="bullet"/>
      <w:lvlText w:val="•"/>
      <w:lvlJc w:val="left"/>
      <w:pPr>
        <w:ind w:left="420" w:hanging="4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C332ACB"/>
    <w:multiLevelType w:val="hybridMultilevel"/>
    <w:tmpl w:val="54DAA9C8"/>
    <w:lvl w:ilvl="0" w:tplc="182A6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DF6CFD"/>
    <w:multiLevelType w:val="hybridMultilevel"/>
    <w:tmpl w:val="1714A220"/>
    <w:lvl w:ilvl="0" w:tplc="16F288C2">
      <w:start w:val="1"/>
      <w:numFmt w:val="decimalEnclosedCircle"/>
      <w:lvlText w:val="%1"/>
      <w:lvlJc w:val="left"/>
      <w:pPr>
        <w:ind w:left="1000" w:hanging="360"/>
      </w:pPr>
      <w:rPr>
        <w:rFonts w:ascii="仿宋" w:eastAsia="仿宋" w:hAnsi="仿宋" w:cs="宋体" w:hint="default"/>
        <w:sz w:val="30"/>
        <w:szCs w:val="3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9" w15:restartNumberingAfterBreak="0">
    <w:nsid w:val="3DA06DF8"/>
    <w:multiLevelType w:val="hybridMultilevel"/>
    <w:tmpl w:val="20B2D36C"/>
    <w:lvl w:ilvl="0" w:tplc="3E3A8BC0">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15:restartNumberingAfterBreak="0">
    <w:nsid w:val="3E795A17"/>
    <w:multiLevelType w:val="hybridMultilevel"/>
    <w:tmpl w:val="9C7A9BAA"/>
    <w:lvl w:ilvl="0" w:tplc="8FC28D7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15:restartNumberingAfterBreak="0">
    <w:nsid w:val="3F350A6B"/>
    <w:multiLevelType w:val="hybridMultilevel"/>
    <w:tmpl w:val="2F40100C"/>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F695B49"/>
    <w:multiLevelType w:val="hybridMultilevel"/>
    <w:tmpl w:val="088EB31C"/>
    <w:lvl w:ilvl="0" w:tplc="515CA6AA">
      <w:start w:val="1"/>
      <w:numFmt w:val="bullet"/>
      <w:lvlText w:val=""/>
      <w:lvlJc w:val="left"/>
      <w:pPr>
        <w:ind w:left="360" w:hanging="36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6C77BE1"/>
    <w:multiLevelType w:val="hybridMultilevel"/>
    <w:tmpl w:val="0F4A0376"/>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BE72B85"/>
    <w:multiLevelType w:val="hybridMultilevel"/>
    <w:tmpl w:val="797625A6"/>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3F07021"/>
    <w:multiLevelType w:val="hybridMultilevel"/>
    <w:tmpl w:val="CB2257F8"/>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8FE49FE"/>
    <w:multiLevelType w:val="hybridMultilevel"/>
    <w:tmpl w:val="6494DAD4"/>
    <w:lvl w:ilvl="0" w:tplc="AD9227C6">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60126C60"/>
    <w:multiLevelType w:val="hybridMultilevel"/>
    <w:tmpl w:val="D6003CF8"/>
    <w:lvl w:ilvl="0" w:tplc="28826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780CB5"/>
    <w:multiLevelType w:val="hybridMultilevel"/>
    <w:tmpl w:val="5DF281E2"/>
    <w:lvl w:ilvl="0" w:tplc="66309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76F676F"/>
    <w:multiLevelType w:val="hybridMultilevel"/>
    <w:tmpl w:val="B3565C00"/>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8EE3E62"/>
    <w:multiLevelType w:val="hybridMultilevel"/>
    <w:tmpl w:val="E8546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F132B5"/>
    <w:multiLevelType w:val="hybridMultilevel"/>
    <w:tmpl w:val="2AB0FB7C"/>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EAA5126"/>
    <w:multiLevelType w:val="hybridMultilevel"/>
    <w:tmpl w:val="7AEAE30E"/>
    <w:lvl w:ilvl="0" w:tplc="B7EAF9C4">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945493"/>
    <w:multiLevelType w:val="hybridMultilevel"/>
    <w:tmpl w:val="82741042"/>
    <w:lvl w:ilvl="0" w:tplc="515CA6AA">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7F95499"/>
    <w:multiLevelType w:val="hybridMultilevel"/>
    <w:tmpl w:val="9F16879E"/>
    <w:lvl w:ilvl="0" w:tplc="515CA6AA">
      <w:start w:val="1"/>
      <w:numFmt w:val="bullet"/>
      <w:lvlText w:val=""/>
      <w:lvlJc w:val="left"/>
      <w:pPr>
        <w:ind w:left="420" w:hanging="420"/>
      </w:pPr>
      <w:rPr>
        <w:rFonts w:ascii="Symbol" w:hAnsi="Symbol" w:hint="default"/>
        <w:sz w:val="21"/>
      </w:rPr>
    </w:lvl>
    <w:lvl w:ilvl="1" w:tplc="5352D66C">
      <w:numFmt w:val="bullet"/>
      <w:lvlText w:val="●"/>
      <w:lvlJc w:val="left"/>
      <w:pPr>
        <w:ind w:left="900" w:hanging="480"/>
      </w:pPr>
      <w:rPr>
        <w:rFonts w:ascii="Arial" w:eastAsia="宋体" w:hAnsi="Arial" w:cs="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8F52E79"/>
    <w:multiLevelType w:val="hybridMultilevel"/>
    <w:tmpl w:val="2B6AEC52"/>
    <w:lvl w:ilvl="0" w:tplc="B8D44D6A">
      <w:start w:val="1"/>
      <w:numFmt w:val="bullet"/>
      <w:lvlText w:val="•"/>
      <w:lvlJc w:val="left"/>
      <w:pPr>
        <w:ind w:left="420" w:hanging="4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B1A6BB6"/>
    <w:multiLevelType w:val="hybridMultilevel"/>
    <w:tmpl w:val="DF7C24CE"/>
    <w:lvl w:ilvl="0" w:tplc="515CA6AA">
      <w:start w:val="1"/>
      <w:numFmt w:val="bullet"/>
      <w:lvlText w:val=""/>
      <w:lvlJc w:val="left"/>
      <w:pPr>
        <w:ind w:left="420" w:hanging="420"/>
      </w:pPr>
      <w:rPr>
        <w:rFonts w:ascii="Symbol" w:hAnsi="Symbol" w:hint="default"/>
        <w:sz w:val="21"/>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7"/>
  </w:num>
  <w:num w:numId="3">
    <w:abstractNumId w:val="32"/>
  </w:num>
  <w:num w:numId="4">
    <w:abstractNumId w:val="10"/>
  </w:num>
  <w:num w:numId="5">
    <w:abstractNumId w:val="42"/>
  </w:num>
  <w:num w:numId="6">
    <w:abstractNumId w:val="2"/>
  </w:num>
  <w:num w:numId="7">
    <w:abstractNumId w:val="9"/>
  </w:num>
  <w:num w:numId="8">
    <w:abstractNumId w:val="13"/>
  </w:num>
  <w:num w:numId="9">
    <w:abstractNumId w:val="8"/>
  </w:num>
  <w:num w:numId="10">
    <w:abstractNumId w:val="11"/>
  </w:num>
  <w:num w:numId="11">
    <w:abstractNumId w:val="44"/>
  </w:num>
  <w:num w:numId="12">
    <w:abstractNumId w:val="15"/>
  </w:num>
  <w:num w:numId="13">
    <w:abstractNumId w:val="25"/>
  </w:num>
  <w:num w:numId="14">
    <w:abstractNumId w:val="41"/>
  </w:num>
  <w:num w:numId="15">
    <w:abstractNumId w:val="34"/>
  </w:num>
  <w:num w:numId="16">
    <w:abstractNumId w:val="39"/>
  </w:num>
  <w:num w:numId="17">
    <w:abstractNumId w:val="35"/>
  </w:num>
  <w:num w:numId="18">
    <w:abstractNumId w:val="16"/>
  </w:num>
  <w:num w:numId="19">
    <w:abstractNumId w:val="4"/>
  </w:num>
  <w:num w:numId="20">
    <w:abstractNumId w:val="24"/>
  </w:num>
  <w:num w:numId="21">
    <w:abstractNumId w:val="6"/>
  </w:num>
  <w:num w:numId="22">
    <w:abstractNumId w:val="12"/>
  </w:num>
  <w:num w:numId="23">
    <w:abstractNumId w:val="31"/>
  </w:num>
  <w:num w:numId="24">
    <w:abstractNumId w:val="5"/>
  </w:num>
  <w:num w:numId="25">
    <w:abstractNumId w:val="43"/>
  </w:num>
  <w:num w:numId="26">
    <w:abstractNumId w:val="33"/>
  </w:num>
  <w:num w:numId="27">
    <w:abstractNumId w:val="46"/>
  </w:num>
  <w:num w:numId="28">
    <w:abstractNumId w:val="21"/>
  </w:num>
  <w:num w:numId="29">
    <w:abstractNumId w:val="1"/>
  </w:num>
  <w:num w:numId="30">
    <w:abstractNumId w:val="17"/>
  </w:num>
  <w:num w:numId="31">
    <w:abstractNumId w:val="40"/>
  </w:num>
  <w:num w:numId="32">
    <w:abstractNumId w:val="20"/>
  </w:num>
  <w:num w:numId="33">
    <w:abstractNumId w:val="45"/>
  </w:num>
  <w:num w:numId="34">
    <w:abstractNumId w:val="22"/>
  </w:num>
  <w:num w:numId="35">
    <w:abstractNumId w:val="26"/>
  </w:num>
  <w:num w:numId="36">
    <w:abstractNumId w:val="23"/>
  </w:num>
  <w:num w:numId="37">
    <w:abstractNumId w:val="5"/>
  </w:num>
  <w:num w:numId="38">
    <w:abstractNumId w:val="43"/>
  </w:num>
  <w:num w:numId="39">
    <w:abstractNumId w:val="33"/>
  </w:num>
  <w:num w:numId="40">
    <w:abstractNumId w:val="46"/>
  </w:num>
  <w:num w:numId="41">
    <w:abstractNumId w:val="28"/>
  </w:num>
  <w:num w:numId="42">
    <w:abstractNumId w:val="37"/>
  </w:num>
  <w:num w:numId="43">
    <w:abstractNumId w:val="14"/>
  </w:num>
  <w:num w:numId="44">
    <w:abstractNumId w:val="0"/>
  </w:num>
  <w:num w:numId="45">
    <w:abstractNumId w:val="29"/>
  </w:num>
  <w:num w:numId="46">
    <w:abstractNumId w:val="36"/>
  </w:num>
  <w:num w:numId="47">
    <w:abstractNumId w:val="38"/>
  </w:num>
  <w:num w:numId="48">
    <w:abstractNumId w:val="18"/>
  </w:num>
  <w:num w:numId="49">
    <w:abstractNumId w:val="19"/>
  </w:num>
  <w:num w:numId="50">
    <w:abstractNumId w:val="30"/>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Y_MEDREF_DOCUID" w:val="{C5D5076E-A34D-4CCE-AAE9-5F66BD78FE61}"/>
    <w:docVar w:name="KY_MEDREF_VERSION" w:val="3"/>
  </w:docVars>
  <w:rsids>
    <w:rsidRoot w:val="00740D50"/>
    <w:rsid w:val="00000045"/>
    <w:rsid w:val="000005D2"/>
    <w:rsid w:val="00002DD2"/>
    <w:rsid w:val="00004256"/>
    <w:rsid w:val="000079E7"/>
    <w:rsid w:val="00007EA3"/>
    <w:rsid w:val="00007F1F"/>
    <w:rsid w:val="00011841"/>
    <w:rsid w:val="0001334D"/>
    <w:rsid w:val="00014B98"/>
    <w:rsid w:val="00014BF2"/>
    <w:rsid w:val="000160D7"/>
    <w:rsid w:val="00017304"/>
    <w:rsid w:val="00017521"/>
    <w:rsid w:val="00020286"/>
    <w:rsid w:val="00020FD8"/>
    <w:rsid w:val="00021C61"/>
    <w:rsid w:val="00022557"/>
    <w:rsid w:val="0002259A"/>
    <w:rsid w:val="000243D9"/>
    <w:rsid w:val="0002524A"/>
    <w:rsid w:val="000259D0"/>
    <w:rsid w:val="00026335"/>
    <w:rsid w:val="00026DE7"/>
    <w:rsid w:val="00033C52"/>
    <w:rsid w:val="00033DCA"/>
    <w:rsid w:val="000346E4"/>
    <w:rsid w:val="000348A6"/>
    <w:rsid w:val="00034908"/>
    <w:rsid w:val="00034A10"/>
    <w:rsid w:val="0003506F"/>
    <w:rsid w:val="00035820"/>
    <w:rsid w:val="00036A9E"/>
    <w:rsid w:val="000374F6"/>
    <w:rsid w:val="000406FC"/>
    <w:rsid w:val="000410C8"/>
    <w:rsid w:val="000412E0"/>
    <w:rsid w:val="0004284A"/>
    <w:rsid w:val="00043AFD"/>
    <w:rsid w:val="00043DB5"/>
    <w:rsid w:val="0004431D"/>
    <w:rsid w:val="00044CCF"/>
    <w:rsid w:val="00044D3B"/>
    <w:rsid w:val="000450B6"/>
    <w:rsid w:val="0004594A"/>
    <w:rsid w:val="00050129"/>
    <w:rsid w:val="000532AF"/>
    <w:rsid w:val="00053EB8"/>
    <w:rsid w:val="00053EC4"/>
    <w:rsid w:val="00054843"/>
    <w:rsid w:val="0005527E"/>
    <w:rsid w:val="00057F6F"/>
    <w:rsid w:val="00060715"/>
    <w:rsid w:val="00060B3F"/>
    <w:rsid w:val="00061C72"/>
    <w:rsid w:val="00064DF5"/>
    <w:rsid w:val="00066B71"/>
    <w:rsid w:val="000671AF"/>
    <w:rsid w:val="000673AB"/>
    <w:rsid w:val="00067495"/>
    <w:rsid w:val="00067559"/>
    <w:rsid w:val="00071E38"/>
    <w:rsid w:val="00072000"/>
    <w:rsid w:val="00072004"/>
    <w:rsid w:val="00072FFE"/>
    <w:rsid w:val="000736C6"/>
    <w:rsid w:val="00076F58"/>
    <w:rsid w:val="0007797F"/>
    <w:rsid w:val="00081292"/>
    <w:rsid w:val="000814F3"/>
    <w:rsid w:val="00082DA6"/>
    <w:rsid w:val="0008508F"/>
    <w:rsid w:val="00087431"/>
    <w:rsid w:val="000875F2"/>
    <w:rsid w:val="00090AF3"/>
    <w:rsid w:val="00092714"/>
    <w:rsid w:val="00095349"/>
    <w:rsid w:val="0009715D"/>
    <w:rsid w:val="000A2BE0"/>
    <w:rsid w:val="000A3965"/>
    <w:rsid w:val="000A42F5"/>
    <w:rsid w:val="000A7172"/>
    <w:rsid w:val="000A76BE"/>
    <w:rsid w:val="000B084F"/>
    <w:rsid w:val="000B1121"/>
    <w:rsid w:val="000B331D"/>
    <w:rsid w:val="000B375C"/>
    <w:rsid w:val="000B5F54"/>
    <w:rsid w:val="000B64CC"/>
    <w:rsid w:val="000C06EB"/>
    <w:rsid w:val="000C0AC7"/>
    <w:rsid w:val="000C3042"/>
    <w:rsid w:val="000C3A75"/>
    <w:rsid w:val="000C40A3"/>
    <w:rsid w:val="000C6235"/>
    <w:rsid w:val="000C64B2"/>
    <w:rsid w:val="000C6966"/>
    <w:rsid w:val="000C6D20"/>
    <w:rsid w:val="000C6F8C"/>
    <w:rsid w:val="000C76B7"/>
    <w:rsid w:val="000D02F3"/>
    <w:rsid w:val="000D0BB3"/>
    <w:rsid w:val="000D0D1D"/>
    <w:rsid w:val="000D2090"/>
    <w:rsid w:val="000D40F0"/>
    <w:rsid w:val="000D604E"/>
    <w:rsid w:val="000D6F4D"/>
    <w:rsid w:val="000D7317"/>
    <w:rsid w:val="000D74EE"/>
    <w:rsid w:val="000D7AC3"/>
    <w:rsid w:val="000E0DE4"/>
    <w:rsid w:val="000E0ED0"/>
    <w:rsid w:val="000E2C6D"/>
    <w:rsid w:val="000E383A"/>
    <w:rsid w:val="000E4BC8"/>
    <w:rsid w:val="000E5DAF"/>
    <w:rsid w:val="000E6035"/>
    <w:rsid w:val="000E6890"/>
    <w:rsid w:val="000E7219"/>
    <w:rsid w:val="000E7654"/>
    <w:rsid w:val="000E76BD"/>
    <w:rsid w:val="000F0907"/>
    <w:rsid w:val="000F1790"/>
    <w:rsid w:val="000F2B0C"/>
    <w:rsid w:val="000F3AA1"/>
    <w:rsid w:val="000F3E93"/>
    <w:rsid w:val="000F3ED1"/>
    <w:rsid w:val="000F45B9"/>
    <w:rsid w:val="000F55F7"/>
    <w:rsid w:val="000F7990"/>
    <w:rsid w:val="00100AA9"/>
    <w:rsid w:val="0010130E"/>
    <w:rsid w:val="0010423C"/>
    <w:rsid w:val="001051AC"/>
    <w:rsid w:val="001074D4"/>
    <w:rsid w:val="0010799A"/>
    <w:rsid w:val="00111C0C"/>
    <w:rsid w:val="0011200E"/>
    <w:rsid w:val="0011218F"/>
    <w:rsid w:val="00113E25"/>
    <w:rsid w:val="001148D8"/>
    <w:rsid w:val="00114C4B"/>
    <w:rsid w:val="00115151"/>
    <w:rsid w:val="001156B2"/>
    <w:rsid w:val="00116DEE"/>
    <w:rsid w:val="001171E1"/>
    <w:rsid w:val="00117D4F"/>
    <w:rsid w:val="00120E76"/>
    <w:rsid w:val="001211EE"/>
    <w:rsid w:val="00121253"/>
    <w:rsid w:val="00122D86"/>
    <w:rsid w:val="00122FF5"/>
    <w:rsid w:val="00123953"/>
    <w:rsid w:val="00125683"/>
    <w:rsid w:val="001260EE"/>
    <w:rsid w:val="00127A24"/>
    <w:rsid w:val="00131FD4"/>
    <w:rsid w:val="001334EA"/>
    <w:rsid w:val="001337CA"/>
    <w:rsid w:val="0013380D"/>
    <w:rsid w:val="00135273"/>
    <w:rsid w:val="0013570A"/>
    <w:rsid w:val="001360EC"/>
    <w:rsid w:val="001363A2"/>
    <w:rsid w:val="0014126B"/>
    <w:rsid w:val="00141E55"/>
    <w:rsid w:val="0014408C"/>
    <w:rsid w:val="00145505"/>
    <w:rsid w:val="00145BF5"/>
    <w:rsid w:val="0014634D"/>
    <w:rsid w:val="001466C4"/>
    <w:rsid w:val="00150D97"/>
    <w:rsid w:val="00153C7F"/>
    <w:rsid w:val="0015419B"/>
    <w:rsid w:val="0015519A"/>
    <w:rsid w:val="001554CC"/>
    <w:rsid w:val="00155B10"/>
    <w:rsid w:val="00155FEC"/>
    <w:rsid w:val="001577FF"/>
    <w:rsid w:val="00160036"/>
    <w:rsid w:val="00162604"/>
    <w:rsid w:val="001630E2"/>
    <w:rsid w:val="00163C15"/>
    <w:rsid w:val="0016417A"/>
    <w:rsid w:val="001645E8"/>
    <w:rsid w:val="00165163"/>
    <w:rsid w:val="00167A9A"/>
    <w:rsid w:val="001734D6"/>
    <w:rsid w:val="00173760"/>
    <w:rsid w:val="00174622"/>
    <w:rsid w:val="00174AC2"/>
    <w:rsid w:val="00174B57"/>
    <w:rsid w:val="00174B65"/>
    <w:rsid w:val="00174ED0"/>
    <w:rsid w:val="001760EA"/>
    <w:rsid w:val="00177346"/>
    <w:rsid w:val="00177B97"/>
    <w:rsid w:val="00177EB1"/>
    <w:rsid w:val="001809BC"/>
    <w:rsid w:val="00181936"/>
    <w:rsid w:val="0018263D"/>
    <w:rsid w:val="0018284B"/>
    <w:rsid w:val="00182B35"/>
    <w:rsid w:val="00184B23"/>
    <w:rsid w:val="001854B6"/>
    <w:rsid w:val="00185767"/>
    <w:rsid w:val="001862FF"/>
    <w:rsid w:val="00191796"/>
    <w:rsid w:val="00192494"/>
    <w:rsid w:val="001935BB"/>
    <w:rsid w:val="00194526"/>
    <w:rsid w:val="001A0137"/>
    <w:rsid w:val="001A1811"/>
    <w:rsid w:val="001A385E"/>
    <w:rsid w:val="001A4A8E"/>
    <w:rsid w:val="001A5133"/>
    <w:rsid w:val="001A55E2"/>
    <w:rsid w:val="001A6371"/>
    <w:rsid w:val="001A7E73"/>
    <w:rsid w:val="001B13E2"/>
    <w:rsid w:val="001B2FC0"/>
    <w:rsid w:val="001B4847"/>
    <w:rsid w:val="001B6122"/>
    <w:rsid w:val="001B6D24"/>
    <w:rsid w:val="001C0B43"/>
    <w:rsid w:val="001C0C86"/>
    <w:rsid w:val="001C149F"/>
    <w:rsid w:val="001C14C5"/>
    <w:rsid w:val="001C2814"/>
    <w:rsid w:val="001C2C96"/>
    <w:rsid w:val="001C2DFE"/>
    <w:rsid w:val="001C6982"/>
    <w:rsid w:val="001C73DB"/>
    <w:rsid w:val="001C756B"/>
    <w:rsid w:val="001C7F91"/>
    <w:rsid w:val="001D143F"/>
    <w:rsid w:val="001D17D8"/>
    <w:rsid w:val="001D1F2F"/>
    <w:rsid w:val="001D27C8"/>
    <w:rsid w:val="001D3216"/>
    <w:rsid w:val="001D3FEF"/>
    <w:rsid w:val="001D4FDF"/>
    <w:rsid w:val="001D544B"/>
    <w:rsid w:val="001D5A4A"/>
    <w:rsid w:val="001D668E"/>
    <w:rsid w:val="001D6C49"/>
    <w:rsid w:val="001D7FDE"/>
    <w:rsid w:val="001E0470"/>
    <w:rsid w:val="001E2A75"/>
    <w:rsid w:val="001E301B"/>
    <w:rsid w:val="001E3D46"/>
    <w:rsid w:val="001E5514"/>
    <w:rsid w:val="001E5C9D"/>
    <w:rsid w:val="001E74CA"/>
    <w:rsid w:val="001F0891"/>
    <w:rsid w:val="001F0B6D"/>
    <w:rsid w:val="001F1854"/>
    <w:rsid w:val="001F19C4"/>
    <w:rsid w:val="001F27AA"/>
    <w:rsid w:val="001F27E5"/>
    <w:rsid w:val="001F2D05"/>
    <w:rsid w:val="001F3097"/>
    <w:rsid w:val="001F47C6"/>
    <w:rsid w:val="001F5DD8"/>
    <w:rsid w:val="001F7F6B"/>
    <w:rsid w:val="002007D7"/>
    <w:rsid w:val="00201F6F"/>
    <w:rsid w:val="0020588F"/>
    <w:rsid w:val="002060BC"/>
    <w:rsid w:val="00206982"/>
    <w:rsid w:val="00206BBE"/>
    <w:rsid w:val="00207AF4"/>
    <w:rsid w:val="00212235"/>
    <w:rsid w:val="002136BA"/>
    <w:rsid w:val="00215675"/>
    <w:rsid w:val="0021697A"/>
    <w:rsid w:val="00216BEB"/>
    <w:rsid w:val="00216E90"/>
    <w:rsid w:val="002207FB"/>
    <w:rsid w:val="002209C1"/>
    <w:rsid w:val="00221A85"/>
    <w:rsid w:val="00223627"/>
    <w:rsid w:val="00223CE7"/>
    <w:rsid w:val="0022701D"/>
    <w:rsid w:val="002304C7"/>
    <w:rsid w:val="002307BC"/>
    <w:rsid w:val="002313FA"/>
    <w:rsid w:val="002326A6"/>
    <w:rsid w:val="00232722"/>
    <w:rsid w:val="002335F7"/>
    <w:rsid w:val="00233A7D"/>
    <w:rsid w:val="00233D7B"/>
    <w:rsid w:val="00235245"/>
    <w:rsid w:val="002352F6"/>
    <w:rsid w:val="002356EE"/>
    <w:rsid w:val="00235730"/>
    <w:rsid w:val="00235757"/>
    <w:rsid w:val="002374A3"/>
    <w:rsid w:val="00237AA0"/>
    <w:rsid w:val="00240140"/>
    <w:rsid w:val="002430A3"/>
    <w:rsid w:val="00246DD5"/>
    <w:rsid w:val="002525C4"/>
    <w:rsid w:val="00252EEB"/>
    <w:rsid w:val="00253BA8"/>
    <w:rsid w:val="00254FAE"/>
    <w:rsid w:val="00255979"/>
    <w:rsid w:val="00255FD1"/>
    <w:rsid w:val="00257ABD"/>
    <w:rsid w:val="00263461"/>
    <w:rsid w:val="0026380A"/>
    <w:rsid w:val="00265124"/>
    <w:rsid w:val="0026656E"/>
    <w:rsid w:val="0026675D"/>
    <w:rsid w:val="00267BE9"/>
    <w:rsid w:val="00271ABF"/>
    <w:rsid w:val="002732CD"/>
    <w:rsid w:val="00274196"/>
    <w:rsid w:val="002742E3"/>
    <w:rsid w:val="00274425"/>
    <w:rsid w:val="00274906"/>
    <w:rsid w:val="00275A90"/>
    <w:rsid w:val="0027645D"/>
    <w:rsid w:val="002769AC"/>
    <w:rsid w:val="0028177E"/>
    <w:rsid w:val="00283485"/>
    <w:rsid w:val="00283A07"/>
    <w:rsid w:val="002841F8"/>
    <w:rsid w:val="002859A3"/>
    <w:rsid w:val="002870B8"/>
    <w:rsid w:val="00287571"/>
    <w:rsid w:val="00291BBE"/>
    <w:rsid w:val="002962EF"/>
    <w:rsid w:val="00296D79"/>
    <w:rsid w:val="002974B8"/>
    <w:rsid w:val="00297571"/>
    <w:rsid w:val="002A027C"/>
    <w:rsid w:val="002A10F6"/>
    <w:rsid w:val="002A43CB"/>
    <w:rsid w:val="002A462F"/>
    <w:rsid w:val="002A4636"/>
    <w:rsid w:val="002A4A8C"/>
    <w:rsid w:val="002A5621"/>
    <w:rsid w:val="002A572E"/>
    <w:rsid w:val="002A65D0"/>
    <w:rsid w:val="002A6A75"/>
    <w:rsid w:val="002A78F0"/>
    <w:rsid w:val="002B1A57"/>
    <w:rsid w:val="002B3F03"/>
    <w:rsid w:val="002B77B1"/>
    <w:rsid w:val="002C054D"/>
    <w:rsid w:val="002C28B7"/>
    <w:rsid w:val="002C434E"/>
    <w:rsid w:val="002C4499"/>
    <w:rsid w:val="002C6AB2"/>
    <w:rsid w:val="002C7738"/>
    <w:rsid w:val="002C794E"/>
    <w:rsid w:val="002D16C3"/>
    <w:rsid w:val="002D1A36"/>
    <w:rsid w:val="002D1EFC"/>
    <w:rsid w:val="002D3903"/>
    <w:rsid w:val="002D4D37"/>
    <w:rsid w:val="002D518A"/>
    <w:rsid w:val="002D5985"/>
    <w:rsid w:val="002D5A7E"/>
    <w:rsid w:val="002D5E7B"/>
    <w:rsid w:val="002D7832"/>
    <w:rsid w:val="002D7FE8"/>
    <w:rsid w:val="002E0874"/>
    <w:rsid w:val="002E0F75"/>
    <w:rsid w:val="002E18CE"/>
    <w:rsid w:val="002E192B"/>
    <w:rsid w:val="002E1F11"/>
    <w:rsid w:val="002E2DA7"/>
    <w:rsid w:val="002E302A"/>
    <w:rsid w:val="002E4BC9"/>
    <w:rsid w:val="002E5124"/>
    <w:rsid w:val="002E543F"/>
    <w:rsid w:val="002E7A81"/>
    <w:rsid w:val="002F071D"/>
    <w:rsid w:val="002F212F"/>
    <w:rsid w:val="002F3A43"/>
    <w:rsid w:val="002F4178"/>
    <w:rsid w:val="002F500A"/>
    <w:rsid w:val="002F5C76"/>
    <w:rsid w:val="002F6F8B"/>
    <w:rsid w:val="002F7334"/>
    <w:rsid w:val="002F796A"/>
    <w:rsid w:val="003011E0"/>
    <w:rsid w:val="003013AD"/>
    <w:rsid w:val="00302097"/>
    <w:rsid w:val="00302718"/>
    <w:rsid w:val="00306284"/>
    <w:rsid w:val="0030674F"/>
    <w:rsid w:val="00307339"/>
    <w:rsid w:val="00311168"/>
    <w:rsid w:val="00313696"/>
    <w:rsid w:val="00314032"/>
    <w:rsid w:val="00314997"/>
    <w:rsid w:val="00315A96"/>
    <w:rsid w:val="00316F16"/>
    <w:rsid w:val="0031783F"/>
    <w:rsid w:val="00317873"/>
    <w:rsid w:val="00325912"/>
    <w:rsid w:val="003259D7"/>
    <w:rsid w:val="00326889"/>
    <w:rsid w:val="00326BBD"/>
    <w:rsid w:val="0032731F"/>
    <w:rsid w:val="003274EA"/>
    <w:rsid w:val="003275AF"/>
    <w:rsid w:val="00327F2F"/>
    <w:rsid w:val="00330A06"/>
    <w:rsid w:val="00330E8E"/>
    <w:rsid w:val="00333336"/>
    <w:rsid w:val="0033574A"/>
    <w:rsid w:val="00336912"/>
    <w:rsid w:val="00337A72"/>
    <w:rsid w:val="00340B68"/>
    <w:rsid w:val="00341802"/>
    <w:rsid w:val="003418EC"/>
    <w:rsid w:val="003429CB"/>
    <w:rsid w:val="00343266"/>
    <w:rsid w:val="003446BD"/>
    <w:rsid w:val="00344B53"/>
    <w:rsid w:val="00344D2F"/>
    <w:rsid w:val="00346ABE"/>
    <w:rsid w:val="00347BCE"/>
    <w:rsid w:val="00347BFE"/>
    <w:rsid w:val="00347E07"/>
    <w:rsid w:val="00347EFB"/>
    <w:rsid w:val="003501E9"/>
    <w:rsid w:val="003520D0"/>
    <w:rsid w:val="00352EC2"/>
    <w:rsid w:val="00354FDE"/>
    <w:rsid w:val="003551D8"/>
    <w:rsid w:val="0035721F"/>
    <w:rsid w:val="00357413"/>
    <w:rsid w:val="00360A04"/>
    <w:rsid w:val="00362CB1"/>
    <w:rsid w:val="0036339E"/>
    <w:rsid w:val="00363E77"/>
    <w:rsid w:val="00364A15"/>
    <w:rsid w:val="00365269"/>
    <w:rsid w:val="003701B0"/>
    <w:rsid w:val="003722D8"/>
    <w:rsid w:val="00373A22"/>
    <w:rsid w:val="0037411F"/>
    <w:rsid w:val="00374BE3"/>
    <w:rsid w:val="003753B5"/>
    <w:rsid w:val="0037568F"/>
    <w:rsid w:val="0037572E"/>
    <w:rsid w:val="0037591B"/>
    <w:rsid w:val="003759D8"/>
    <w:rsid w:val="00375CF7"/>
    <w:rsid w:val="00375EC1"/>
    <w:rsid w:val="00376C8E"/>
    <w:rsid w:val="00377027"/>
    <w:rsid w:val="003802E7"/>
    <w:rsid w:val="00381A06"/>
    <w:rsid w:val="00383AB8"/>
    <w:rsid w:val="00383EC3"/>
    <w:rsid w:val="00384CCB"/>
    <w:rsid w:val="003866AF"/>
    <w:rsid w:val="00386DE9"/>
    <w:rsid w:val="003902BA"/>
    <w:rsid w:val="00390E63"/>
    <w:rsid w:val="003915E4"/>
    <w:rsid w:val="00395201"/>
    <w:rsid w:val="0039530A"/>
    <w:rsid w:val="00396C34"/>
    <w:rsid w:val="00397ECE"/>
    <w:rsid w:val="003A008F"/>
    <w:rsid w:val="003A0FB4"/>
    <w:rsid w:val="003A10DA"/>
    <w:rsid w:val="003A2E29"/>
    <w:rsid w:val="003A6135"/>
    <w:rsid w:val="003A647A"/>
    <w:rsid w:val="003A72A5"/>
    <w:rsid w:val="003A7CB1"/>
    <w:rsid w:val="003B2BA7"/>
    <w:rsid w:val="003B3257"/>
    <w:rsid w:val="003B3DC4"/>
    <w:rsid w:val="003B4B05"/>
    <w:rsid w:val="003B5353"/>
    <w:rsid w:val="003B7CE2"/>
    <w:rsid w:val="003C6F52"/>
    <w:rsid w:val="003C7CC4"/>
    <w:rsid w:val="003D0451"/>
    <w:rsid w:val="003D08A2"/>
    <w:rsid w:val="003D0FB2"/>
    <w:rsid w:val="003D2494"/>
    <w:rsid w:val="003D417B"/>
    <w:rsid w:val="003D41AB"/>
    <w:rsid w:val="003D46F4"/>
    <w:rsid w:val="003D4E02"/>
    <w:rsid w:val="003D515C"/>
    <w:rsid w:val="003E1CE3"/>
    <w:rsid w:val="003E2402"/>
    <w:rsid w:val="003E2451"/>
    <w:rsid w:val="003E31E3"/>
    <w:rsid w:val="003E4953"/>
    <w:rsid w:val="003E4A44"/>
    <w:rsid w:val="003E6490"/>
    <w:rsid w:val="003E6A7C"/>
    <w:rsid w:val="003E6C16"/>
    <w:rsid w:val="003E7B19"/>
    <w:rsid w:val="003F1240"/>
    <w:rsid w:val="003F2302"/>
    <w:rsid w:val="003F27F2"/>
    <w:rsid w:val="003F2975"/>
    <w:rsid w:val="003F2985"/>
    <w:rsid w:val="003F37D0"/>
    <w:rsid w:val="003F5954"/>
    <w:rsid w:val="003F5ED6"/>
    <w:rsid w:val="003F60A7"/>
    <w:rsid w:val="00400864"/>
    <w:rsid w:val="00401363"/>
    <w:rsid w:val="004029CA"/>
    <w:rsid w:val="00403CF1"/>
    <w:rsid w:val="00403E5B"/>
    <w:rsid w:val="00404F1E"/>
    <w:rsid w:val="00406049"/>
    <w:rsid w:val="00407753"/>
    <w:rsid w:val="00407C17"/>
    <w:rsid w:val="00410252"/>
    <w:rsid w:val="00411219"/>
    <w:rsid w:val="0041179C"/>
    <w:rsid w:val="00411E1F"/>
    <w:rsid w:val="0041206F"/>
    <w:rsid w:val="004139F7"/>
    <w:rsid w:val="004148C0"/>
    <w:rsid w:val="00415CB2"/>
    <w:rsid w:val="00416705"/>
    <w:rsid w:val="0041742F"/>
    <w:rsid w:val="0042291C"/>
    <w:rsid w:val="00423859"/>
    <w:rsid w:val="00423DA3"/>
    <w:rsid w:val="0042437E"/>
    <w:rsid w:val="00424D39"/>
    <w:rsid w:val="0042508F"/>
    <w:rsid w:val="00425A84"/>
    <w:rsid w:val="00427E1A"/>
    <w:rsid w:val="00430EE5"/>
    <w:rsid w:val="0043681A"/>
    <w:rsid w:val="00440B38"/>
    <w:rsid w:val="00440C46"/>
    <w:rsid w:val="00441C91"/>
    <w:rsid w:val="00441E9E"/>
    <w:rsid w:val="004448DF"/>
    <w:rsid w:val="00445774"/>
    <w:rsid w:val="00446341"/>
    <w:rsid w:val="004463AD"/>
    <w:rsid w:val="00446BD5"/>
    <w:rsid w:val="0045362A"/>
    <w:rsid w:val="00453FD4"/>
    <w:rsid w:val="00455343"/>
    <w:rsid w:val="00456F75"/>
    <w:rsid w:val="004570BE"/>
    <w:rsid w:val="004573BF"/>
    <w:rsid w:val="00457FF1"/>
    <w:rsid w:val="0046059C"/>
    <w:rsid w:val="004614E7"/>
    <w:rsid w:val="0046200D"/>
    <w:rsid w:val="00463EB2"/>
    <w:rsid w:val="00464BBC"/>
    <w:rsid w:val="00466BCA"/>
    <w:rsid w:val="0047432C"/>
    <w:rsid w:val="00475A64"/>
    <w:rsid w:val="00477824"/>
    <w:rsid w:val="00480B55"/>
    <w:rsid w:val="00480D0A"/>
    <w:rsid w:val="00482841"/>
    <w:rsid w:val="00482AD7"/>
    <w:rsid w:val="00483AA0"/>
    <w:rsid w:val="00483BD7"/>
    <w:rsid w:val="0048460F"/>
    <w:rsid w:val="004856FE"/>
    <w:rsid w:val="00485F18"/>
    <w:rsid w:val="00490470"/>
    <w:rsid w:val="0049096E"/>
    <w:rsid w:val="00492CCB"/>
    <w:rsid w:val="00493C49"/>
    <w:rsid w:val="00497E34"/>
    <w:rsid w:val="004A1891"/>
    <w:rsid w:val="004A1C5D"/>
    <w:rsid w:val="004A4187"/>
    <w:rsid w:val="004A4EA1"/>
    <w:rsid w:val="004A5133"/>
    <w:rsid w:val="004A5353"/>
    <w:rsid w:val="004A53B4"/>
    <w:rsid w:val="004A6112"/>
    <w:rsid w:val="004A6742"/>
    <w:rsid w:val="004A6831"/>
    <w:rsid w:val="004A7310"/>
    <w:rsid w:val="004B0C9F"/>
    <w:rsid w:val="004B1314"/>
    <w:rsid w:val="004B2431"/>
    <w:rsid w:val="004B2665"/>
    <w:rsid w:val="004B2F21"/>
    <w:rsid w:val="004B339E"/>
    <w:rsid w:val="004B5406"/>
    <w:rsid w:val="004B7471"/>
    <w:rsid w:val="004B7885"/>
    <w:rsid w:val="004C00B8"/>
    <w:rsid w:val="004C0C13"/>
    <w:rsid w:val="004C23FD"/>
    <w:rsid w:val="004C3D1A"/>
    <w:rsid w:val="004C67C7"/>
    <w:rsid w:val="004C6D2B"/>
    <w:rsid w:val="004D5434"/>
    <w:rsid w:val="004D630A"/>
    <w:rsid w:val="004D6FF8"/>
    <w:rsid w:val="004E1A73"/>
    <w:rsid w:val="004E200A"/>
    <w:rsid w:val="004E2403"/>
    <w:rsid w:val="004E264B"/>
    <w:rsid w:val="004E355B"/>
    <w:rsid w:val="004E4CC0"/>
    <w:rsid w:val="004E58BD"/>
    <w:rsid w:val="004E777E"/>
    <w:rsid w:val="004E7923"/>
    <w:rsid w:val="004F101C"/>
    <w:rsid w:val="004F147F"/>
    <w:rsid w:val="004F1E18"/>
    <w:rsid w:val="004F37C8"/>
    <w:rsid w:val="004F453C"/>
    <w:rsid w:val="004F467A"/>
    <w:rsid w:val="004F4B86"/>
    <w:rsid w:val="004F6BCE"/>
    <w:rsid w:val="004F6E7A"/>
    <w:rsid w:val="004F7A06"/>
    <w:rsid w:val="00500606"/>
    <w:rsid w:val="00500705"/>
    <w:rsid w:val="0050112D"/>
    <w:rsid w:val="005019AB"/>
    <w:rsid w:val="00501F53"/>
    <w:rsid w:val="00506114"/>
    <w:rsid w:val="00507FB5"/>
    <w:rsid w:val="005107D7"/>
    <w:rsid w:val="00510D0A"/>
    <w:rsid w:val="00512346"/>
    <w:rsid w:val="0051274B"/>
    <w:rsid w:val="00512BA6"/>
    <w:rsid w:val="005150FB"/>
    <w:rsid w:val="00515406"/>
    <w:rsid w:val="00515B6C"/>
    <w:rsid w:val="0051641A"/>
    <w:rsid w:val="00516581"/>
    <w:rsid w:val="005175C8"/>
    <w:rsid w:val="00521793"/>
    <w:rsid w:val="00523D07"/>
    <w:rsid w:val="005242BE"/>
    <w:rsid w:val="0052760B"/>
    <w:rsid w:val="00533507"/>
    <w:rsid w:val="00533B1E"/>
    <w:rsid w:val="00533DBB"/>
    <w:rsid w:val="00534B71"/>
    <w:rsid w:val="00542E63"/>
    <w:rsid w:val="00543B1D"/>
    <w:rsid w:val="0054464A"/>
    <w:rsid w:val="00546BB1"/>
    <w:rsid w:val="00547DBB"/>
    <w:rsid w:val="00547DFC"/>
    <w:rsid w:val="005508F0"/>
    <w:rsid w:val="005521A3"/>
    <w:rsid w:val="005546A4"/>
    <w:rsid w:val="00554EF5"/>
    <w:rsid w:val="0055517C"/>
    <w:rsid w:val="0055600F"/>
    <w:rsid w:val="00556961"/>
    <w:rsid w:val="00557394"/>
    <w:rsid w:val="00557B4C"/>
    <w:rsid w:val="005601DC"/>
    <w:rsid w:val="00560592"/>
    <w:rsid w:val="00561043"/>
    <w:rsid w:val="00563854"/>
    <w:rsid w:val="00564BCB"/>
    <w:rsid w:val="00564C7D"/>
    <w:rsid w:val="00567D52"/>
    <w:rsid w:val="00570BAC"/>
    <w:rsid w:val="00570F24"/>
    <w:rsid w:val="00571665"/>
    <w:rsid w:val="00572390"/>
    <w:rsid w:val="00574755"/>
    <w:rsid w:val="00574EC7"/>
    <w:rsid w:val="00577BB8"/>
    <w:rsid w:val="00581F92"/>
    <w:rsid w:val="00581FC4"/>
    <w:rsid w:val="00582927"/>
    <w:rsid w:val="005832CF"/>
    <w:rsid w:val="00583B5F"/>
    <w:rsid w:val="00584633"/>
    <w:rsid w:val="00585451"/>
    <w:rsid w:val="005872EF"/>
    <w:rsid w:val="00587B3C"/>
    <w:rsid w:val="00590DCF"/>
    <w:rsid w:val="00591791"/>
    <w:rsid w:val="0059196F"/>
    <w:rsid w:val="00593FAB"/>
    <w:rsid w:val="0059510D"/>
    <w:rsid w:val="005954BF"/>
    <w:rsid w:val="00596FFA"/>
    <w:rsid w:val="00597658"/>
    <w:rsid w:val="00597B75"/>
    <w:rsid w:val="005A106E"/>
    <w:rsid w:val="005A65BF"/>
    <w:rsid w:val="005A6ADD"/>
    <w:rsid w:val="005B008B"/>
    <w:rsid w:val="005B19C3"/>
    <w:rsid w:val="005B27D0"/>
    <w:rsid w:val="005B3F19"/>
    <w:rsid w:val="005B4C53"/>
    <w:rsid w:val="005B4CC0"/>
    <w:rsid w:val="005B5429"/>
    <w:rsid w:val="005B5973"/>
    <w:rsid w:val="005B6024"/>
    <w:rsid w:val="005B689F"/>
    <w:rsid w:val="005B798E"/>
    <w:rsid w:val="005C0385"/>
    <w:rsid w:val="005C0C63"/>
    <w:rsid w:val="005C3614"/>
    <w:rsid w:val="005C3983"/>
    <w:rsid w:val="005C4185"/>
    <w:rsid w:val="005C4FC2"/>
    <w:rsid w:val="005C5CFC"/>
    <w:rsid w:val="005D1213"/>
    <w:rsid w:val="005D144C"/>
    <w:rsid w:val="005D33AA"/>
    <w:rsid w:val="005D346A"/>
    <w:rsid w:val="005D407C"/>
    <w:rsid w:val="005D49B3"/>
    <w:rsid w:val="005D6EE1"/>
    <w:rsid w:val="005D7F90"/>
    <w:rsid w:val="005E0E60"/>
    <w:rsid w:val="005E106B"/>
    <w:rsid w:val="005E1627"/>
    <w:rsid w:val="005E24DB"/>
    <w:rsid w:val="005E42BA"/>
    <w:rsid w:val="005E770A"/>
    <w:rsid w:val="005F142C"/>
    <w:rsid w:val="005F1E9F"/>
    <w:rsid w:val="005F4628"/>
    <w:rsid w:val="005F5851"/>
    <w:rsid w:val="005F5ABE"/>
    <w:rsid w:val="005F5CD1"/>
    <w:rsid w:val="005F67D9"/>
    <w:rsid w:val="00600A78"/>
    <w:rsid w:val="00601D6B"/>
    <w:rsid w:val="006044FF"/>
    <w:rsid w:val="00604ACA"/>
    <w:rsid w:val="0060548E"/>
    <w:rsid w:val="00605BF3"/>
    <w:rsid w:val="0060668D"/>
    <w:rsid w:val="00607695"/>
    <w:rsid w:val="00607E8F"/>
    <w:rsid w:val="00610290"/>
    <w:rsid w:val="00610367"/>
    <w:rsid w:val="00610421"/>
    <w:rsid w:val="00610AEB"/>
    <w:rsid w:val="00611815"/>
    <w:rsid w:val="00611DA3"/>
    <w:rsid w:val="00611F9A"/>
    <w:rsid w:val="006136A7"/>
    <w:rsid w:val="00613751"/>
    <w:rsid w:val="006138EE"/>
    <w:rsid w:val="00615508"/>
    <w:rsid w:val="0061599C"/>
    <w:rsid w:val="0061631B"/>
    <w:rsid w:val="00616B1B"/>
    <w:rsid w:val="00617E15"/>
    <w:rsid w:val="0062002F"/>
    <w:rsid w:val="006202D0"/>
    <w:rsid w:val="0062122C"/>
    <w:rsid w:val="00623F5E"/>
    <w:rsid w:val="00624C87"/>
    <w:rsid w:val="00625991"/>
    <w:rsid w:val="00627B6E"/>
    <w:rsid w:val="00627CBB"/>
    <w:rsid w:val="00630D1A"/>
    <w:rsid w:val="00631861"/>
    <w:rsid w:val="006322F5"/>
    <w:rsid w:val="0063232E"/>
    <w:rsid w:val="00632781"/>
    <w:rsid w:val="006331AE"/>
    <w:rsid w:val="00634163"/>
    <w:rsid w:val="0063519E"/>
    <w:rsid w:val="0063538D"/>
    <w:rsid w:val="0063757A"/>
    <w:rsid w:val="00642511"/>
    <w:rsid w:val="006513C9"/>
    <w:rsid w:val="006523F0"/>
    <w:rsid w:val="0065254C"/>
    <w:rsid w:val="006525F8"/>
    <w:rsid w:val="00653F10"/>
    <w:rsid w:val="00653F62"/>
    <w:rsid w:val="00655064"/>
    <w:rsid w:val="006558D9"/>
    <w:rsid w:val="006563BB"/>
    <w:rsid w:val="0066034A"/>
    <w:rsid w:val="006603D9"/>
    <w:rsid w:val="00662342"/>
    <w:rsid w:val="00662569"/>
    <w:rsid w:val="00662DCF"/>
    <w:rsid w:val="00663115"/>
    <w:rsid w:val="006636DF"/>
    <w:rsid w:val="00663DF9"/>
    <w:rsid w:val="00663F19"/>
    <w:rsid w:val="00665BF4"/>
    <w:rsid w:val="00665C06"/>
    <w:rsid w:val="0066775A"/>
    <w:rsid w:val="00671896"/>
    <w:rsid w:val="00671C68"/>
    <w:rsid w:val="006747F3"/>
    <w:rsid w:val="006779EA"/>
    <w:rsid w:val="006800FA"/>
    <w:rsid w:val="00680C6C"/>
    <w:rsid w:val="00681EFF"/>
    <w:rsid w:val="00682710"/>
    <w:rsid w:val="00683D03"/>
    <w:rsid w:val="0068487E"/>
    <w:rsid w:val="00687489"/>
    <w:rsid w:val="00690035"/>
    <w:rsid w:val="0069044B"/>
    <w:rsid w:val="00690675"/>
    <w:rsid w:val="00691B52"/>
    <w:rsid w:val="006932F0"/>
    <w:rsid w:val="00693B98"/>
    <w:rsid w:val="006951F2"/>
    <w:rsid w:val="0069608F"/>
    <w:rsid w:val="006A0795"/>
    <w:rsid w:val="006A093D"/>
    <w:rsid w:val="006A0CD6"/>
    <w:rsid w:val="006A0F51"/>
    <w:rsid w:val="006A16BB"/>
    <w:rsid w:val="006A239B"/>
    <w:rsid w:val="006A2589"/>
    <w:rsid w:val="006A2EC2"/>
    <w:rsid w:val="006A2F95"/>
    <w:rsid w:val="006A5573"/>
    <w:rsid w:val="006A6BB1"/>
    <w:rsid w:val="006A7654"/>
    <w:rsid w:val="006B124D"/>
    <w:rsid w:val="006B20FA"/>
    <w:rsid w:val="006B2F37"/>
    <w:rsid w:val="006B571C"/>
    <w:rsid w:val="006B5768"/>
    <w:rsid w:val="006B68BB"/>
    <w:rsid w:val="006C1A0B"/>
    <w:rsid w:val="006C3CFA"/>
    <w:rsid w:val="006C4B7A"/>
    <w:rsid w:val="006C4C0A"/>
    <w:rsid w:val="006C4D15"/>
    <w:rsid w:val="006C6BD3"/>
    <w:rsid w:val="006D08FD"/>
    <w:rsid w:val="006D0B20"/>
    <w:rsid w:val="006D23BC"/>
    <w:rsid w:val="006D322D"/>
    <w:rsid w:val="006D39F5"/>
    <w:rsid w:val="006D3CDE"/>
    <w:rsid w:val="006D5033"/>
    <w:rsid w:val="006D5542"/>
    <w:rsid w:val="006D5E59"/>
    <w:rsid w:val="006D7F54"/>
    <w:rsid w:val="006E1754"/>
    <w:rsid w:val="006E448E"/>
    <w:rsid w:val="006E524C"/>
    <w:rsid w:val="006E53E3"/>
    <w:rsid w:val="006E717B"/>
    <w:rsid w:val="006E7864"/>
    <w:rsid w:val="006F0C10"/>
    <w:rsid w:val="006F39FA"/>
    <w:rsid w:val="006F3E13"/>
    <w:rsid w:val="006F3F58"/>
    <w:rsid w:val="006F4201"/>
    <w:rsid w:val="006F49E0"/>
    <w:rsid w:val="006F6042"/>
    <w:rsid w:val="006F7F5B"/>
    <w:rsid w:val="00701217"/>
    <w:rsid w:val="007019D2"/>
    <w:rsid w:val="00701B00"/>
    <w:rsid w:val="00701C5F"/>
    <w:rsid w:val="00703913"/>
    <w:rsid w:val="00703979"/>
    <w:rsid w:val="0070764B"/>
    <w:rsid w:val="00710C84"/>
    <w:rsid w:val="00713EE5"/>
    <w:rsid w:val="007145F6"/>
    <w:rsid w:val="00714C04"/>
    <w:rsid w:val="00715915"/>
    <w:rsid w:val="00716684"/>
    <w:rsid w:val="00716EAD"/>
    <w:rsid w:val="00717E8B"/>
    <w:rsid w:val="00717EDA"/>
    <w:rsid w:val="007206DD"/>
    <w:rsid w:val="007210C8"/>
    <w:rsid w:val="00721D10"/>
    <w:rsid w:val="007220CD"/>
    <w:rsid w:val="00722BA4"/>
    <w:rsid w:val="00723454"/>
    <w:rsid w:val="00723A28"/>
    <w:rsid w:val="00723D72"/>
    <w:rsid w:val="00725E20"/>
    <w:rsid w:val="00727B69"/>
    <w:rsid w:val="00732360"/>
    <w:rsid w:val="00732862"/>
    <w:rsid w:val="007339A5"/>
    <w:rsid w:val="00733EAC"/>
    <w:rsid w:val="00734295"/>
    <w:rsid w:val="00734C0F"/>
    <w:rsid w:val="00734C12"/>
    <w:rsid w:val="00736C11"/>
    <w:rsid w:val="00737390"/>
    <w:rsid w:val="00740710"/>
    <w:rsid w:val="00740D50"/>
    <w:rsid w:val="00740E11"/>
    <w:rsid w:val="00742003"/>
    <w:rsid w:val="0074389D"/>
    <w:rsid w:val="0074472F"/>
    <w:rsid w:val="0074524D"/>
    <w:rsid w:val="00745B93"/>
    <w:rsid w:val="00745F5D"/>
    <w:rsid w:val="007500F7"/>
    <w:rsid w:val="007506D6"/>
    <w:rsid w:val="00751383"/>
    <w:rsid w:val="00753056"/>
    <w:rsid w:val="007532BE"/>
    <w:rsid w:val="00753424"/>
    <w:rsid w:val="007540DF"/>
    <w:rsid w:val="0075497A"/>
    <w:rsid w:val="00755617"/>
    <w:rsid w:val="00760689"/>
    <w:rsid w:val="0076333A"/>
    <w:rsid w:val="007644B8"/>
    <w:rsid w:val="0076516E"/>
    <w:rsid w:val="00765ABB"/>
    <w:rsid w:val="00766194"/>
    <w:rsid w:val="00770A24"/>
    <w:rsid w:val="0077210F"/>
    <w:rsid w:val="007732C5"/>
    <w:rsid w:val="007738D7"/>
    <w:rsid w:val="007757A3"/>
    <w:rsid w:val="00775AC8"/>
    <w:rsid w:val="00775F50"/>
    <w:rsid w:val="00775F8A"/>
    <w:rsid w:val="00785DBC"/>
    <w:rsid w:val="007862AF"/>
    <w:rsid w:val="007862E9"/>
    <w:rsid w:val="007877C2"/>
    <w:rsid w:val="00787CB2"/>
    <w:rsid w:val="00787DD0"/>
    <w:rsid w:val="007907D9"/>
    <w:rsid w:val="00790C3F"/>
    <w:rsid w:val="0079169E"/>
    <w:rsid w:val="00793034"/>
    <w:rsid w:val="007931BA"/>
    <w:rsid w:val="00795CDD"/>
    <w:rsid w:val="007A2187"/>
    <w:rsid w:val="007A23A6"/>
    <w:rsid w:val="007A278B"/>
    <w:rsid w:val="007A2D86"/>
    <w:rsid w:val="007A38E2"/>
    <w:rsid w:val="007A3CD9"/>
    <w:rsid w:val="007A530A"/>
    <w:rsid w:val="007A7D63"/>
    <w:rsid w:val="007B08F8"/>
    <w:rsid w:val="007C3619"/>
    <w:rsid w:val="007C51FF"/>
    <w:rsid w:val="007C5F7A"/>
    <w:rsid w:val="007C7323"/>
    <w:rsid w:val="007C7498"/>
    <w:rsid w:val="007C74DE"/>
    <w:rsid w:val="007D0263"/>
    <w:rsid w:val="007D043B"/>
    <w:rsid w:val="007D062F"/>
    <w:rsid w:val="007D06F4"/>
    <w:rsid w:val="007D0F11"/>
    <w:rsid w:val="007D233D"/>
    <w:rsid w:val="007D2F3E"/>
    <w:rsid w:val="007D5C05"/>
    <w:rsid w:val="007D6E95"/>
    <w:rsid w:val="007D743C"/>
    <w:rsid w:val="007E0061"/>
    <w:rsid w:val="007E0437"/>
    <w:rsid w:val="007E3AA4"/>
    <w:rsid w:val="007E3B24"/>
    <w:rsid w:val="007E50A5"/>
    <w:rsid w:val="007E5D4E"/>
    <w:rsid w:val="007E6085"/>
    <w:rsid w:val="007E6478"/>
    <w:rsid w:val="007E6A1B"/>
    <w:rsid w:val="007E6CBC"/>
    <w:rsid w:val="007E7C11"/>
    <w:rsid w:val="007F1D30"/>
    <w:rsid w:val="007F3E57"/>
    <w:rsid w:val="007F6E47"/>
    <w:rsid w:val="008007DC"/>
    <w:rsid w:val="008007FA"/>
    <w:rsid w:val="00801069"/>
    <w:rsid w:val="0080143D"/>
    <w:rsid w:val="00804037"/>
    <w:rsid w:val="0080445D"/>
    <w:rsid w:val="00804C0A"/>
    <w:rsid w:val="0080504E"/>
    <w:rsid w:val="0080553D"/>
    <w:rsid w:val="00805AA6"/>
    <w:rsid w:val="008066A4"/>
    <w:rsid w:val="00811DAA"/>
    <w:rsid w:val="00812778"/>
    <w:rsid w:val="00814573"/>
    <w:rsid w:val="008146F2"/>
    <w:rsid w:val="00820160"/>
    <w:rsid w:val="008209D3"/>
    <w:rsid w:val="00820C56"/>
    <w:rsid w:val="00820C95"/>
    <w:rsid w:val="008213CD"/>
    <w:rsid w:val="00822E86"/>
    <w:rsid w:val="00823533"/>
    <w:rsid w:val="0082503D"/>
    <w:rsid w:val="008258FC"/>
    <w:rsid w:val="00827DFF"/>
    <w:rsid w:val="00831913"/>
    <w:rsid w:val="00834E48"/>
    <w:rsid w:val="0083505F"/>
    <w:rsid w:val="00837794"/>
    <w:rsid w:val="00841704"/>
    <w:rsid w:val="00841A45"/>
    <w:rsid w:val="00843436"/>
    <w:rsid w:val="0084367D"/>
    <w:rsid w:val="00843963"/>
    <w:rsid w:val="0084534D"/>
    <w:rsid w:val="00845964"/>
    <w:rsid w:val="00847156"/>
    <w:rsid w:val="00847B0D"/>
    <w:rsid w:val="00847FD3"/>
    <w:rsid w:val="00850539"/>
    <w:rsid w:val="00857CF8"/>
    <w:rsid w:val="0086069B"/>
    <w:rsid w:val="008617EC"/>
    <w:rsid w:val="00861AC4"/>
    <w:rsid w:val="00861E5F"/>
    <w:rsid w:val="00864573"/>
    <w:rsid w:val="00865BE7"/>
    <w:rsid w:val="008663B1"/>
    <w:rsid w:val="008663E4"/>
    <w:rsid w:val="008663F0"/>
    <w:rsid w:val="00867963"/>
    <w:rsid w:val="00867D8A"/>
    <w:rsid w:val="00870435"/>
    <w:rsid w:val="008705BE"/>
    <w:rsid w:val="00871B77"/>
    <w:rsid w:val="00872AB5"/>
    <w:rsid w:val="00873DFD"/>
    <w:rsid w:val="008742EB"/>
    <w:rsid w:val="00875E77"/>
    <w:rsid w:val="00875F62"/>
    <w:rsid w:val="00875F95"/>
    <w:rsid w:val="00877BDD"/>
    <w:rsid w:val="00877C4F"/>
    <w:rsid w:val="00881969"/>
    <w:rsid w:val="00881E2E"/>
    <w:rsid w:val="008831C8"/>
    <w:rsid w:val="00883E24"/>
    <w:rsid w:val="0088457D"/>
    <w:rsid w:val="00885A72"/>
    <w:rsid w:val="0088727E"/>
    <w:rsid w:val="0088728A"/>
    <w:rsid w:val="008873D4"/>
    <w:rsid w:val="00887A55"/>
    <w:rsid w:val="00887ACB"/>
    <w:rsid w:val="008906C2"/>
    <w:rsid w:val="008908E5"/>
    <w:rsid w:val="00891E64"/>
    <w:rsid w:val="00892268"/>
    <w:rsid w:val="00894163"/>
    <w:rsid w:val="00894C20"/>
    <w:rsid w:val="008965DA"/>
    <w:rsid w:val="00896A4A"/>
    <w:rsid w:val="00896BA5"/>
    <w:rsid w:val="00896C9C"/>
    <w:rsid w:val="00897793"/>
    <w:rsid w:val="008A14D2"/>
    <w:rsid w:val="008A2E78"/>
    <w:rsid w:val="008A4ABF"/>
    <w:rsid w:val="008A58C6"/>
    <w:rsid w:val="008A6C72"/>
    <w:rsid w:val="008A7B0A"/>
    <w:rsid w:val="008B13FF"/>
    <w:rsid w:val="008B17FE"/>
    <w:rsid w:val="008B1F7D"/>
    <w:rsid w:val="008B212B"/>
    <w:rsid w:val="008B45C2"/>
    <w:rsid w:val="008B53FC"/>
    <w:rsid w:val="008B6443"/>
    <w:rsid w:val="008B6F19"/>
    <w:rsid w:val="008B766F"/>
    <w:rsid w:val="008C1385"/>
    <w:rsid w:val="008C384C"/>
    <w:rsid w:val="008C702B"/>
    <w:rsid w:val="008C7C40"/>
    <w:rsid w:val="008D0BE8"/>
    <w:rsid w:val="008D2345"/>
    <w:rsid w:val="008D2ECD"/>
    <w:rsid w:val="008D32AE"/>
    <w:rsid w:val="008D5921"/>
    <w:rsid w:val="008D5DF9"/>
    <w:rsid w:val="008D74DF"/>
    <w:rsid w:val="008E231D"/>
    <w:rsid w:val="008E2F6D"/>
    <w:rsid w:val="008E3639"/>
    <w:rsid w:val="008E590A"/>
    <w:rsid w:val="008E6916"/>
    <w:rsid w:val="008E6F15"/>
    <w:rsid w:val="008E6FB6"/>
    <w:rsid w:val="008E75C8"/>
    <w:rsid w:val="008E79C9"/>
    <w:rsid w:val="008F1071"/>
    <w:rsid w:val="008F13A0"/>
    <w:rsid w:val="008F3545"/>
    <w:rsid w:val="008F4203"/>
    <w:rsid w:val="008F4F5D"/>
    <w:rsid w:val="008F56F1"/>
    <w:rsid w:val="008F5872"/>
    <w:rsid w:val="008F5F8B"/>
    <w:rsid w:val="008F6CC9"/>
    <w:rsid w:val="008F6CE1"/>
    <w:rsid w:val="009007A6"/>
    <w:rsid w:val="009025BB"/>
    <w:rsid w:val="0090279E"/>
    <w:rsid w:val="00902F76"/>
    <w:rsid w:val="00903259"/>
    <w:rsid w:val="009032CC"/>
    <w:rsid w:val="00903564"/>
    <w:rsid w:val="009036EF"/>
    <w:rsid w:val="00903D87"/>
    <w:rsid w:val="009052AD"/>
    <w:rsid w:val="00907092"/>
    <w:rsid w:val="009078EB"/>
    <w:rsid w:val="00910755"/>
    <w:rsid w:val="00910C98"/>
    <w:rsid w:val="00910DB4"/>
    <w:rsid w:val="00913C81"/>
    <w:rsid w:val="00914A60"/>
    <w:rsid w:val="00914CC3"/>
    <w:rsid w:val="009161BD"/>
    <w:rsid w:val="00916293"/>
    <w:rsid w:val="00916CAA"/>
    <w:rsid w:val="0092108C"/>
    <w:rsid w:val="00921540"/>
    <w:rsid w:val="00921CF9"/>
    <w:rsid w:val="00922D46"/>
    <w:rsid w:val="0092545F"/>
    <w:rsid w:val="0093071E"/>
    <w:rsid w:val="009308DC"/>
    <w:rsid w:val="00932F08"/>
    <w:rsid w:val="00933548"/>
    <w:rsid w:val="00933723"/>
    <w:rsid w:val="00934660"/>
    <w:rsid w:val="0093558D"/>
    <w:rsid w:val="009358AB"/>
    <w:rsid w:val="00935A6D"/>
    <w:rsid w:val="00936880"/>
    <w:rsid w:val="00936C19"/>
    <w:rsid w:val="009375DD"/>
    <w:rsid w:val="00940816"/>
    <w:rsid w:val="00940FE9"/>
    <w:rsid w:val="00941997"/>
    <w:rsid w:val="0094217A"/>
    <w:rsid w:val="00942617"/>
    <w:rsid w:val="00942BE2"/>
    <w:rsid w:val="00942CEA"/>
    <w:rsid w:val="00943EA9"/>
    <w:rsid w:val="00944639"/>
    <w:rsid w:val="00944E2C"/>
    <w:rsid w:val="00945A39"/>
    <w:rsid w:val="00947612"/>
    <w:rsid w:val="00950BE8"/>
    <w:rsid w:val="009510A6"/>
    <w:rsid w:val="00952DF1"/>
    <w:rsid w:val="00952FE0"/>
    <w:rsid w:val="00954C98"/>
    <w:rsid w:val="00956BF6"/>
    <w:rsid w:val="00956CB4"/>
    <w:rsid w:val="009575EC"/>
    <w:rsid w:val="00960061"/>
    <w:rsid w:val="00961395"/>
    <w:rsid w:val="009620A1"/>
    <w:rsid w:val="00963409"/>
    <w:rsid w:val="00963A19"/>
    <w:rsid w:val="00963B24"/>
    <w:rsid w:val="00963C12"/>
    <w:rsid w:val="00965926"/>
    <w:rsid w:val="00965E25"/>
    <w:rsid w:val="00966AEF"/>
    <w:rsid w:val="0096703C"/>
    <w:rsid w:val="009672AA"/>
    <w:rsid w:val="00967396"/>
    <w:rsid w:val="0097130F"/>
    <w:rsid w:val="00971748"/>
    <w:rsid w:val="009727C5"/>
    <w:rsid w:val="0097369F"/>
    <w:rsid w:val="009759A0"/>
    <w:rsid w:val="00975C9D"/>
    <w:rsid w:val="009762D9"/>
    <w:rsid w:val="009816F4"/>
    <w:rsid w:val="00982C4E"/>
    <w:rsid w:val="009845C8"/>
    <w:rsid w:val="00984C5C"/>
    <w:rsid w:val="009856BC"/>
    <w:rsid w:val="009912EF"/>
    <w:rsid w:val="009935A3"/>
    <w:rsid w:val="0099756C"/>
    <w:rsid w:val="00997646"/>
    <w:rsid w:val="00997D82"/>
    <w:rsid w:val="009A0260"/>
    <w:rsid w:val="009A1865"/>
    <w:rsid w:val="009A2008"/>
    <w:rsid w:val="009A25E5"/>
    <w:rsid w:val="009A28C9"/>
    <w:rsid w:val="009A349F"/>
    <w:rsid w:val="009A36D1"/>
    <w:rsid w:val="009A38BE"/>
    <w:rsid w:val="009A467D"/>
    <w:rsid w:val="009A6694"/>
    <w:rsid w:val="009A74FD"/>
    <w:rsid w:val="009B012A"/>
    <w:rsid w:val="009B0ADA"/>
    <w:rsid w:val="009B0E84"/>
    <w:rsid w:val="009B2FF5"/>
    <w:rsid w:val="009B3E19"/>
    <w:rsid w:val="009B67DD"/>
    <w:rsid w:val="009B6B31"/>
    <w:rsid w:val="009C17C3"/>
    <w:rsid w:val="009C2748"/>
    <w:rsid w:val="009C3D5B"/>
    <w:rsid w:val="009C40A3"/>
    <w:rsid w:val="009C44A5"/>
    <w:rsid w:val="009C50A1"/>
    <w:rsid w:val="009C7184"/>
    <w:rsid w:val="009C71E3"/>
    <w:rsid w:val="009C73C9"/>
    <w:rsid w:val="009D0006"/>
    <w:rsid w:val="009D04BF"/>
    <w:rsid w:val="009D1FA1"/>
    <w:rsid w:val="009D2158"/>
    <w:rsid w:val="009D3780"/>
    <w:rsid w:val="009D4C4E"/>
    <w:rsid w:val="009D50D8"/>
    <w:rsid w:val="009D5C8E"/>
    <w:rsid w:val="009E14BD"/>
    <w:rsid w:val="009E3471"/>
    <w:rsid w:val="009E362F"/>
    <w:rsid w:val="009E464F"/>
    <w:rsid w:val="009E4755"/>
    <w:rsid w:val="009E513A"/>
    <w:rsid w:val="009E55DB"/>
    <w:rsid w:val="009E63D4"/>
    <w:rsid w:val="009E65CC"/>
    <w:rsid w:val="009F0241"/>
    <w:rsid w:val="009F0531"/>
    <w:rsid w:val="009F0B27"/>
    <w:rsid w:val="009F0EA2"/>
    <w:rsid w:val="009F1200"/>
    <w:rsid w:val="009F36A7"/>
    <w:rsid w:val="009F37CC"/>
    <w:rsid w:val="009F3F39"/>
    <w:rsid w:val="009F5E2A"/>
    <w:rsid w:val="00A03DB2"/>
    <w:rsid w:val="00A12172"/>
    <w:rsid w:val="00A12ADC"/>
    <w:rsid w:val="00A14E9A"/>
    <w:rsid w:val="00A156A5"/>
    <w:rsid w:val="00A15890"/>
    <w:rsid w:val="00A159F2"/>
    <w:rsid w:val="00A16866"/>
    <w:rsid w:val="00A16DAE"/>
    <w:rsid w:val="00A17521"/>
    <w:rsid w:val="00A246CC"/>
    <w:rsid w:val="00A2629D"/>
    <w:rsid w:val="00A3135A"/>
    <w:rsid w:val="00A3142D"/>
    <w:rsid w:val="00A3451A"/>
    <w:rsid w:val="00A358BE"/>
    <w:rsid w:val="00A36771"/>
    <w:rsid w:val="00A4095B"/>
    <w:rsid w:val="00A40BB1"/>
    <w:rsid w:val="00A4164E"/>
    <w:rsid w:val="00A42C57"/>
    <w:rsid w:val="00A446FF"/>
    <w:rsid w:val="00A44781"/>
    <w:rsid w:val="00A449B7"/>
    <w:rsid w:val="00A454DE"/>
    <w:rsid w:val="00A462BE"/>
    <w:rsid w:val="00A463D6"/>
    <w:rsid w:val="00A46780"/>
    <w:rsid w:val="00A50F9E"/>
    <w:rsid w:val="00A51C74"/>
    <w:rsid w:val="00A51F36"/>
    <w:rsid w:val="00A51FF4"/>
    <w:rsid w:val="00A5507E"/>
    <w:rsid w:val="00A565E0"/>
    <w:rsid w:val="00A569A8"/>
    <w:rsid w:val="00A61EBB"/>
    <w:rsid w:val="00A62AB2"/>
    <w:rsid w:val="00A63229"/>
    <w:rsid w:val="00A64D47"/>
    <w:rsid w:val="00A66268"/>
    <w:rsid w:val="00A6724B"/>
    <w:rsid w:val="00A71504"/>
    <w:rsid w:val="00A72C3D"/>
    <w:rsid w:val="00A72E8C"/>
    <w:rsid w:val="00A75B65"/>
    <w:rsid w:val="00A76C87"/>
    <w:rsid w:val="00A770B0"/>
    <w:rsid w:val="00A845A9"/>
    <w:rsid w:val="00A860C6"/>
    <w:rsid w:val="00A8623A"/>
    <w:rsid w:val="00A86FB3"/>
    <w:rsid w:val="00A8723C"/>
    <w:rsid w:val="00A878BD"/>
    <w:rsid w:val="00A90349"/>
    <w:rsid w:val="00A90569"/>
    <w:rsid w:val="00A92973"/>
    <w:rsid w:val="00A94187"/>
    <w:rsid w:val="00A94931"/>
    <w:rsid w:val="00A95B15"/>
    <w:rsid w:val="00A96CAD"/>
    <w:rsid w:val="00A96FB7"/>
    <w:rsid w:val="00AA07F7"/>
    <w:rsid w:val="00AA0F3A"/>
    <w:rsid w:val="00AA176E"/>
    <w:rsid w:val="00AA311F"/>
    <w:rsid w:val="00AA4096"/>
    <w:rsid w:val="00AA518F"/>
    <w:rsid w:val="00AA56C4"/>
    <w:rsid w:val="00AB01E3"/>
    <w:rsid w:val="00AB2979"/>
    <w:rsid w:val="00AB3068"/>
    <w:rsid w:val="00AB4631"/>
    <w:rsid w:val="00AB4759"/>
    <w:rsid w:val="00AB4CCB"/>
    <w:rsid w:val="00AB5BE9"/>
    <w:rsid w:val="00AB6FCD"/>
    <w:rsid w:val="00AB7103"/>
    <w:rsid w:val="00AB756F"/>
    <w:rsid w:val="00AB7E23"/>
    <w:rsid w:val="00AC039A"/>
    <w:rsid w:val="00AC12E0"/>
    <w:rsid w:val="00AC2B9D"/>
    <w:rsid w:val="00AC2FEC"/>
    <w:rsid w:val="00AC4346"/>
    <w:rsid w:val="00AC467B"/>
    <w:rsid w:val="00AC6C17"/>
    <w:rsid w:val="00AC75A0"/>
    <w:rsid w:val="00AC78C9"/>
    <w:rsid w:val="00AC7FD1"/>
    <w:rsid w:val="00AD215C"/>
    <w:rsid w:val="00AD2238"/>
    <w:rsid w:val="00AD380C"/>
    <w:rsid w:val="00AD413D"/>
    <w:rsid w:val="00AD6D50"/>
    <w:rsid w:val="00AD7BDE"/>
    <w:rsid w:val="00AE079D"/>
    <w:rsid w:val="00AE18E5"/>
    <w:rsid w:val="00AE18EA"/>
    <w:rsid w:val="00AE37D9"/>
    <w:rsid w:val="00AE4012"/>
    <w:rsid w:val="00AE45F6"/>
    <w:rsid w:val="00AE5DCD"/>
    <w:rsid w:val="00AE61CF"/>
    <w:rsid w:val="00AE6245"/>
    <w:rsid w:val="00AE6EF8"/>
    <w:rsid w:val="00AE7B9C"/>
    <w:rsid w:val="00AE7C51"/>
    <w:rsid w:val="00AF0222"/>
    <w:rsid w:val="00AF0EFB"/>
    <w:rsid w:val="00AF28D5"/>
    <w:rsid w:val="00AF30BF"/>
    <w:rsid w:val="00AF31C7"/>
    <w:rsid w:val="00AF321A"/>
    <w:rsid w:val="00AF4EF0"/>
    <w:rsid w:val="00AF4F5C"/>
    <w:rsid w:val="00AF51A4"/>
    <w:rsid w:val="00B023D4"/>
    <w:rsid w:val="00B02C03"/>
    <w:rsid w:val="00B02C22"/>
    <w:rsid w:val="00B04AF8"/>
    <w:rsid w:val="00B05D9E"/>
    <w:rsid w:val="00B05EA1"/>
    <w:rsid w:val="00B06080"/>
    <w:rsid w:val="00B063C8"/>
    <w:rsid w:val="00B06B1A"/>
    <w:rsid w:val="00B11EB8"/>
    <w:rsid w:val="00B12235"/>
    <w:rsid w:val="00B13119"/>
    <w:rsid w:val="00B15BB9"/>
    <w:rsid w:val="00B1657E"/>
    <w:rsid w:val="00B17540"/>
    <w:rsid w:val="00B17D6C"/>
    <w:rsid w:val="00B20A06"/>
    <w:rsid w:val="00B22489"/>
    <w:rsid w:val="00B229D8"/>
    <w:rsid w:val="00B22B8D"/>
    <w:rsid w:val="00B23D5C"/>
    <w:rsid w:val="00B24C6F"/>
    <w:rsid w:val="00B27C8A"/>
    <w:rsid w:val="00B30040"/>
    <w:rsid w:val="00B30061"/>
    <w:rsid w:val="00B3139E"/>
    <w:rsid w:val="00B31AC9"/>
    <w:rsid w:val="00B33056"/>
    <w:rsid w:val="00B33722"/>
    <w:rsid w:val="00B34428"/>
    <w:rsid w:val="00B34F51"/>
    <w:rsid w:val="00B34F53"/>
    <w:rsid w:val="00B3719C"/>
    <w:rsid w:val="00B379A2"/>
    <w:rsid w:val="00B40CFB"/>
    <w:rsid w:val="00B41F2C"/>
    <w:rsid w:val="00B43014"/>
    <w:rsid w:val="00B445C6"/>
    <w:rsid w:val="00B457A5"/>
    <w:rsid w:val="00B46179"/>
    <w:rsid w:val="00B47426"/>
    <w:rsid w:val="00B5296E"/>
    <w:rsid w:val="00B53703"/>
    <w:rsid w:val="00B54B00"/>
    <w:rsid w:val="00B5584F"/>
    <w:rsid w:val="00B610CD"/>
    <w:rsid w:val="00B6122C"/>
    <w:rsid w:val="00B61983"/>
    <w:rsid w:val="00B61E13"/>
    <w:rsid w:val="00B62BFA"/>
    <w:rsid w:val="00B62D92"/>
    <w:rsid w:val="00B637E2"/>
    <w:rsid w:val="00B63C4C"/>
    <w:rsid w:val="00B64591"/>
    <w:rsid w:val="00B67396"/>
    <w:rsid w:val="00B675B5"/>
    <w:rsid w:val="00B7009A"/>
    <w:rsid w:val="00B70D98"/>
    <w:rsid w:val="00B713DE"/>
    <w:rsid w:val="00B72376"/>
    <w:rsid w:val="00B72D0F"/>
    <w:rsid w:val="00B73861"/>
    <w:rsid w:val="00B73DAB"/>
    <w:rsid w:val="00B80196"/>
    <w:rsid w:val="00B81EF5"/>
    <w:rsid w:val="00B822FA"/>
    <w:rsid w:val="00B82316"/>
    <w:rsid w:val="00B844D5"/>
    <w:rsid w:val="00B907AD"/>
    <w:rsid w:val="00B90EF4"/>
    <w:rsid w:val="00B911F7"/>
    <w:rsid w:val="00B91841"/>
    <w:rsid w:val="00B92498"/>
    <w:rsid w:val="00B927D6"/>
    <w:rsid w:val="00B9302F"/>
    <w:rsid w:val="00B94AC6"/>
    <w:rsid w:val="00BA087C"/>
    <w:rsid w:val="00BA0B4D"/>
    <w:rsid w:val="00BA1B64"/>
    <w:rsid w:val="00BA1BBE"/>
    <w:rsid w:val="00BA1C4D"/>
    <w:rsid w:val="00BA2C5D"/>
    <w:rsid w:val="00BA3093"/>
    <w:rsid w:val="00BA53FF"/>
    <w:rsid w:val="00BA602A"/>
    <w:rsid w:val="00BA7D44"/>
    <w:rsid w:val="00BB0EBE"/>
    <w:rsid w:val="00BB1569"/>
    <w:rsid w:val="00BB2877"/>
    <w:rsid w:val="00BB41FB"/>
    <w:rsid w:val="00BB572A"/>
    <w:rsid w:val="00BB5B73"/>
    <w:rsid w:val="00BB6E42"/>
    <w:rsid w:val="00BB7230"/>
    <w:rsid w:val="00BC0A3E"/>
    <w:rsid w:val="00BC1E7D"/>
    <w:rsid w:val="00BC25BB"/>
    <w:rsid w:val="00BC379E"/>
    <w:rsid w:val="00BC3B08"/>
    <w:rsid w:val="00BC3B82"/>
    <w:rsid w:val="00BC3BA0"/>
    <w:rsid w:val="00BC5248"/>
    <w:rsid w:val="00BC74EE"/>
    <w:rsid w:val="00BD0B01"/>
    <w:rsid w:val="00BD1CDD"/>
    <w:rsid w:val="00BD3B62"/>
    <w:rsid w:val="00BD5547"/>
    <w:rsid w:val="00BD7357"/>
    <w:rsid w:val="00BE0556"/>
    <w:rsid w:val="00BE1988"/>
    <w:rsid w:val="00BE320F"/>
    <w:rsid w:val="00BE3791"/>
    <w:rsid w:val="00BE5EAC"/>
    <w:rsid w:val="00BE6EAA"/>
    <w:rsid w:val="00BE7269"/>
    <w:rsid w:val="00BF0140"/>
    <w:rsid w:val="00BF135C"/>
    <w:rsid w:val="00BF22C5"/>
    <w:rsid w:val="00BF39E4"/>
    <w:rsid w:val="00BF4226"/>
    <w:rsid w:val="00BF54C9"/>
    <w:rsid w:val="00BF5DAA"/>
    <w:rsid w:val="00C01B48"/>
    <w:rsid w:val="00C024C1"/>
    <w:rsid w:val="00C02C2E"/>
    <w:rsid w:val="00C06C03"/>
    <w:rsid w:val="00C10C2A"/>
    <w:rsid w:val="00C13ABB"/>
    <w:rsid w:val="00C14221"/>
    <w:rsid w:val="00C14358"/>
    <w:rsid w:val="00C14E4E"/>
    <w:rsid w:val="00C1502D"/>
    <w:rsid w:val="00C16161"/>
    <w:rsid w:val="00C20D8D"/>
    <w:rsid w:val="00C21305"/>
    <w:rsid w:val="00C2462C"/>
    <w:rsid w:val="00C2571B"/>
    <w:rsid w:val="00C267CD"/>
    <w:rsid w:val="00C268CB"/>
    <w:rsid w:val="00C26CA4"/>
    <w:rsid w:val="00C27957"/>
    <w:rsid w:val="00C31CF0"/>
    <w:rsid w:val="00C32C92"/>
    <w:rsid w:val="00C34D94"/>
    <w:rsid w:val="00C367A0"/>
    <w:rsid w:val="00C40849"/>
    <w:rsid w:val="00C41494"/>
    <w:rsid w:val="00C430B0"/>
    <w:rsid w:val="00C448B6"/>
    <w:rsid w:val="00C44AE4"/>
    <w:rsid w:val="00C44C15"/>
    <w:rsid w:val="00C46A4B"/>
    <w:rsid w:val="00C46ECE"/>
    <w:rsid w:val="00C47636"/>
    <w:rsid w:val="00C478FB"/>
    <w:rsid w:val="00C500DC"/>
    <w:rsid w:val="00C501D1"/>
    <w:rsid w:val="00C504F6"/>
    <w:rsid w:val="00C504F9"/>
    <w:rsid w:val="00C50916"/>
    <w:rsid w:val="00C50FC5"/>
    <w:rsid w:val="00C5183C"/>
    <w:rsid w:val="00C51BC8"/>
    <w:rsid w:val="00C5518E"/>
    <w:rsid w:val="00C56804"/>
    <w:rsid w:val="00C570F3"/>
    <w:rsid w:val="00C57475"/>
    <w:rsid w:val="00C57867"/>
    <w:rsid w:val="00C579C2"/>
    <w:rsid w:val="00C62E1D"/>
    <w:rsid w:val="00C633F9"/>
    <w:rsid w:val="00C63C00"/>
    <w:rsid w:val="00C64C06"/>
    <w:rsid w:val="00C669BE"/>
    <w:rsid w:val="00C66DA8"/>
    <w:rsid w:val="00C70695"/>
    <w:rsid w:val="00C709D0"/>
    <w:rsid w:val="00C70A21"/>
    <w:rsid w:val="00C70C94"/>
    <w:rsid w:val="00C72712"/>
    <w:rsid w:val="00C761F9"/>
    <w:rsid w:val="00C76290"/>
    <w:rsid w:val="00C764DE"/>
    <w:rsid w:val="00C768AB"/>
    <w:rsid w:val="00C76CC7"/>
    <w:rsid w:val="00C77AB5"/>
    <w:rsid w:val="00C8106B"/>
    <w:rsid w:val="00C833FC"/>
    <w:rsid w:val="00C849C1"/>
    <w:rsid w:val="00C84B14"/>
    <w:rsid w:val="00C853F1"/>
    <w:rsid w:val="00C876EA"/>
    <w:rsid w:val="00C90D69"/>
    <w:rsid w:val="00C91EC7"/>
    <w:rsid w:val="00C9259B"/>
    <w:rsid w:val="00C93645"/>
    <w:rsid w:val="00C93B44"/>
    <w:rsid w:val="00C95CA7"/>
    <w:rsid w:val="00C96959"/>
    <w:rsid w:val="00CA10BA"/>
    <w:rsid w:val="00CA192C"/>
    <w:rsid w:val="00CA1B88"/>
    <w:rsid w:val="00CA237B"/>
    <w:rsid w:val="00CA2E8B"/>
    <w:rsid w:val="00CA3F01"/>
    <w:rsid w:val="00CA4C82"/>
    <w:rsid w:val="00CB0133"/>
    <w:rsid w:val="00CB0421"/>
    <w:rsid w:val="00CB07BE"/>
    <w:rsid w:val="00CB0BA2"/>
    <w:rsid w:val="00CB0FFD"/>
    <w:rsid w:val="00CB1279"/>
    <w:rsid w:val="00CB1474"/>
    <w:rsid w:val="00CB1905"/>
    <w:rsid w:val="00CB30A7"/>
    <w:rsid w:val="00CB3407"/>
    <w:rsid w:val="00CB3BF2"/>
    <w:rsid w:val="00CB680A"/>
    <w:rsid w:val="00CC14AB"/>
    <w:rsid w:val="00CC16E6"/>
    <w:rsid w:val="00CC1E20"/>
    <w:rsid w:val="00CC22D8"/>
    <w:rsid w:val="00CC54BC"/>
    <w:rsid w:val="00CC5BEF"/>
    <w:rsid w:val="00CC6E83"/>
    <w:rsid w:val="00CC7A4E"/>
    <w:rsid w:val="00CD02C1"/>
    <w:rsid w:val="00CD03DE"/>
    <w:rsid w:val="00CD2231"/>
    <w:rsid w:val="00CD32D4"/>
    <w:rsid w:val="00CD3711"/>
    <w:rsid w:val="00CD3A14"/>
    <w:rsid w:val="00CD460A"/>
    <w:rsid w:val="00CD5674"/>
    <w:rsid w:val="00CD6AA0"/>
    <w:rsid w:val="00CD6BE8"/>
    <w:rsid w:val="00CE05CD"/>
    <w:rsid w:val="00CE0B50"/>
    <w:rsid w:val="00CE1212"/>
    <w:rsid w:val="00CE1569"/>
    <w:rsid w:val="00CE232A"/>
    <w:rsid w:val="00CE42F2"/>
    <w:rsid w:val="00CE610C"/>
    <w:rsid w:val="00CF19AD"/>
    <w:rsid w:val="00CF1FFA"/>
    <w:rsid w:val="00CF2044"/>
    <w:rsid w:val="00CF2BE6"/>
    <w:rsid w:val="00CF2FBB"/>
    <w:rsid w:val="00CF3910"/>
    <w:rsid w:val="00CF608D"/>
    <w:rsid w:val="00CF6390"/>
    <w:rsid w:val="00CF64A9"/>
    <w:rsid w:val="00D02E45"/>
    <w:rsid w:val="00D0460F"/>
    <w:rsid w:val="00D048CD"/>
    <w:rsid w:val="00D0574B"/>
    <w:rsid w:val="00D05817"/>
    <w:rsid w:val="00D05F30"/>
    <w:rsid w:val="00D067AD"/>
    <w:rsid w:val="00D07271"/>
    <w:rsid w:val="00D07AC2"/>
    <w:rsid w:val="00D10DC3"/>
    <w:rsid w:val="00D110AC"/>
    <w:rsid w:val="00D12B73"/>
    <w:rsid w:val="00D1459B"/>
    <w:rsid w:val="00D15CF7"/>
    <w:rsid w:val="00D179E3"/>
    <w:rsid w:val="00D20660"/>
    <w:rsid w:val="00D2145C"/>
    <w:rsid w:val="00D21F1E"/>
    <w:rsid w:val="00D22476"/>
    <w:rsid w:val="00D23709"/>
    <w:rsid w:val="00D25604"/>
    <w:rsid w:val="00D25C95"/>
    <w:rsid w:val="00D27BB0"/>
    <w:rsid w:val="00D27F96"/>
    <w:rsid w:val="00D30448"/>
    <w:rsid w:val="00D30783"/>
    <w:rsid w:val="00D307D0"/>
    <w:rsid w:val="00D32296"/>
    <w:rsid w:val="00D32DEB"/>
    <w:rsid w:val="00D32E6D"/>
    <w:rsid w:val="00D343B5"/>
    <w:rsid w:val="00D349F6"/>
    <w:rsid w:val="00D36602"/>
    <w:rsid w:val="00D378D2"/>
    <w:rsid w:val="00D40969"/>
    <w:rsid w:val="00D41093"/>
    <w:rsid w:val="00D43632"/>
    <w:rsid w:val="00D43735"/>
    <w:rsid w:val="00D47D45"/>
    <w:rsid w:val="00D50122"/>
    <w:rsid w:val="00D50183"/>
    <w:rsid w:val="00D52D4F"/>
    <w:rsid w:val="00D52DCF"/>
    <w:rsid w:val="00D52E59"/>
    <w:rsid w:val="00D5686B"/>
    <w:rsid w:val="00D57F4E"/>
    <w:rsid w:val="00D6013B"/>
    <w:rsid w:val="00D60F54"/>
    <w:rsid w:val="00D611BD"/>
    <w:rsid w:val="00D64B49"/>
    <w:rsid w:val="00D66C24"/>
    <w:rsid w:val="00D67815"/>
    <w:rsid w:val="00D67C29"/>
    <w:rsid w:val="00D7098D"/>
    <w:rsid w:val="00D70B44"/>
    <w:rsid w:val="00D70C0C"/>
    <w:rsid w:val="00D7152F"/>
    <w:rsid w:val="00D71BB1"/>
    <w:rsid w:val="00D73307"/>
    <w:rsid w:val="00D7392F"/>
    <w:rsid w:val="00D73CF9"/>
    <w:rsid w:val="00D740FC"/>
    <w:rsid w:val="00D756D5"/>
    <w:rsid w:val="00D75C75"/>
    <w:rsid w:val="00D76263"/>
    <w:rsid w:val="00D76561"/>
    <w:rsid w:val="00D77028"/>
    <w:rsid w:val="00D776B5"/>
    <w:rsid w:val="00D805E3"/>
    <w:rsid w:val="00D81477"/>
    <w:rsid w:val="00D8277F"/>
    <w:rsid w:val="00D834F5"/>
    <w:rsid w:val="00D84B43"/>
    <w:rsid w:val="00D858C7"/>
    <w:rsid w:val="00D85D8B"/>
    <w:rsid w:val="00D86389"/>
    <w:rsid w:val="00D93BC9"/>
    <w:rsid w:val="00D93D1D"/>
    <w:rsid w:val="00D956C8"/>
    <w:rsid w:val="00D96321"/>
    <w:rsid w:val="00D96C60"/>
    <w:rsid w:val="00DA113E"/>
    <w:rsid w:val="00DA3304"/>
    <w:rsid w:val="00DA42DB"/>
    <w:rsid w:val="00DA462D"/>
    <w:rsid w:val="00DA5388"/>
    <w:rsid w:val="00DA7EDC"/>
    <w:rsid w:val="00DB177B"/>
    <w:rsid w:val="00DB24E2"/>
    <w:rsid w:val="00DB2F83"/>
    <w:rsid w:val="00DB3C75"/>
    <w:rsid w:val="00DB4E0F"/>
    <w:rsid w:val="00DC0229"/>
    <w:rsid w:val="00DC107D"/>
    <w:rsid w:val="00DC121B"/>
    <w:rsid w:val="00DC1DB0"/>
    <w:rsid w:val="00DC1FCF"/>
    <w:rsid w:val="00DC43CE"/>
    <w:rsid w:val="00DC4FE2"/>
    <w:rsid w:val="00DC56E0"/>
    <w:rsid w:val="00DC5A2A"/>
    <w:rsid w:val="00DC5FDC"/>
    <w:rsid w:val="00DC6F48"/>
    <w:rsid w:val="00DD0D57"/>
    <w:rsid w:val="00DD0DEE"/>
    <w:rsid w:val="00DD1983"/>
    <w:rsid w:val="00DD1AF4"/>
    <w:rsid w:val="00DD2F62"/>
    <w:rsid w:val="00DD3553"/>
    <w:rsid w:val="00DD3E01"/>
    <w:rsid w:val="00DD4F88"/>
    <w:rsid w:val="00DD50A2"/>
    <w:rsid w:val="00DD52D4"/>
    <w:rsid w:val="00DD576E"/>
    <w:rsid w:val="00DD5AFB"/>
    <w:rsid w:val="00DD67B8"/>
    <w:rsid w:val="00DD7C30"/>
    <w:rsid w:val="00DE1E2C"/>
    <w:rsid w:val="00DE488D"/>
    <w:rsid w:val="00DE4DAF"/>
    <w:rsid w:val="00DE65F1"/>
    <w:rsid w:val="00DE71C6"/>
    <w:rsid w:val="00DE73FE"/>
    <w:rsid w:val="00DE7CD1"/>
    <w:rsid w:val="00DF07A5"/>
    <w:rsid w:val="00DF28C4"/>
    <w:rsid w:val="00DF4736"/>
    <w:rsid w:val="00DF4855"/>
    <w:rsid w:val="00DF5509"/>
    <w:rsid w:val="00DF5FE8"/>
    <w:rsid w:val="00DF6763"/>
    <w:rsid w:val="00DF75DC"/>
    <w:rsid w:val="00DF7F40"/>
    <w:rsid w:val="00E02B07"/>
    <w:rsid w:val="00E04895"/>
    <w:rsid w:val="00E048E3"/>
    <w:rsid w:val="00E063EF"/>
    <w:rsid w:val="00E07574"/>
    <w:rsid w:val="00E10575"/>
    <w:rsid w:val="00E12147"/>
    <w:rsid w:val="00E12753"/>
    <w:rsid w:val="00E13186"/>
    <w:rsid w:val="00E13521"/>
    <w:rsid w:val="00E17896"/>
    <w:rsid w:val="00E17F80"/>
    <w:rsid w:val="00E207BB"/>
    <w:rsid w:val="00E20D17"/>
    <w:rsid w:val="00E21C31"/>
    <w:rsid w:val="00E2392B"/>
    <w:rsid w:val="00E24702"/>
    <w:rsid w:val="00E247BF"/>
    <w:rsid w:val="00E247E8"/>
    <w:rsid w:val="00E2508A"/>
    <w:rsid w:val="00E25846"/>
    <w:rsid w:val="00E27881"/>
    <w:rsid w:val="00E307A6"/>
    <w:rsid w:val="00E31BFD"/>
    <w:rsid w:val="00E3204B"/>
    <w:rsid w:val="00E3255B"/>
    <w:rsid w:val="00E3580E"/>
    <w:rsid w:val="00E369A9"/>
    <w:rsid w:val="00E36CC8"/>
    <w:rsid w:val="00E402B8"/>
    <w:rsid w:val="00E414BC"/>
    <w:rsid w:val="00E417B7"/>
    <w:rsid w:val="00E41EF8"/>
    <w:rsid w:val="00E4298E"/>
    <w:rsid w:val="00E447E0"/>
    <w:rsid w:val="00E45240"/>
    <w:rsid w:val="00E464BC"/>
    <w:rsid w:val="00E4666A"/>
    <w:rsid w:val="00E46D83"/>
    <w:rsid w:val="00E509E2"/>
    <w:rsid w:val="00E51882"/>
    <w:rsid w:val="00E52B29"/>
    <w:rsid w:val="00E52D7E"/>
    <w:rsid w:val="00E53E7E"/>
    <w:rsid w:val="00E56C5F"/>
    <w:rsid w:val="00E60345"/>
    <w:rsid w:val="00E6093D"/>
    <w:rsid w:val="00E60E73"/>
    <w:rsid w:val="00E6140D"/>
    <w:rsid w:val="00E63FE6"/>
    <w:rsid w:val="00E65B1D"/>
    <w:rsid w:val="00E66A3F"/>
    <w:rsid w:val="00E706D9"/>
    <w:rsid w:val="00E72434"/>
    <w:rsid w:val="00E7270E"/>
    <w:rsid w:val="00E730D6"/>
    <w:rsid w:val="00E73772"/>
    <w:rsid w:val="00E75624"/>
    <w:rsid w:val="00E7698E"/>
    <w:rsid w:val="00E8043E"/>
    <w:rsid w:val="00E812CF"/>
    <w:rsid w:val="00E823E5"/>
    <w:rsid w:val="00E82BBA"/>
    <w:rsid w:val="00E838B6"/>
    <w:rsid w:val="00E839A5"/>
    <w:rsid w:val="00E84C5C"/>
    <w:rsid w:val="00E85490"/>
    <w:rsid w:val="00E85B0F"/>
    <w:rsid w:val="00E87AF9"/>
    <w:rsid w:val="00E9093A"/>
    <w:rsid w:val="00E9102E"/>
    <w:rsid w:val="00E91932"/>
    <w:rsid w:val="00E949F4"/>
    <w:rsid w:val="00E94B11"/>
    <w:rsid w:val="00E9743A"/>
    <w:rsid w:val="00E975B8"/>
    <w:rsid w:val="00E97672"/>
    <w:rsid w:val="00E97BEF"/>
    <w:rsid w:val="00EA0961"/>
    <w:rsid w:val="00EA1A3C"/>
    <w:rsid w:val="00EA2349"/>
    <w:rsid w:val="00EA28FC"/>
    <w:rsid w:val="00EA3711"/>
    <w:rsid w:val="00EA385A"/>
    <w:rsid w:val="00EA540E"/>
    <w:rsid w:val="00EA5797"/>
    <w:rsid w:val="00EA5827"/>
    <w:rsid w:val="00EA5B3F"/>
    <w:rsid w:val="00EA79D8"/>
    <w:rsid w:val="00EA7B47"/>
    <w:rsid w:val="00EB04EA"/>
    <w:rsid w:val="00EB1263"/>
    <w:rsid w:val="00EB1412"/>
    <w:rsid w:val="00EB174D"/>
    <w:rsid w:val="00EB1A10"/>
    <w:rsid w:val="00EB2591"/>
    <w:rsid w:val="00EB3326"/>
    <w:rsid w:val="00EB5CFF"/>
    <w:rsid w:val="00EB63CB"/>
    <w:rsid w:val="00EB6BE3"/>
    <w:rsid w:val="00EB6ED4"/>
    <w:rsid w:val="00EB7262"/>
    <w:rsid w:val="00EC078C"/>
    <w:rsid w:val="00EC0E5C"/>
    <w:rsid w:val="00EC198C"/>
    <w:rsid w:val="00EC22D7"/>
    <w:rsid w:val="00EC2CFD"/>
    <w:rsid w:val="00EC2FE1"/>
    <w:rsid w:val="00EC3773"/>
    <w:rsid w:val="00EC4D18"/>
    <w:rsid w:val="00EC65B3"/>
    <w:rsid w:val="00ED0B24"/>
    <w:rsid w:val="00ED1C86"/>
    <w:rsid w:val="00ED1E82"/>
    <w:rsid w:val="00ED2283"/>
    <w:rsid w:val="00ED2FF3"/>
    <w:rsid w:val="00ED3BBB"/>
    <w:rsid w:val="00ED4001"/>
    <w:rsid w:val="00ED46CF"/>
    <w:rsid w:val="00ED5BA5"/>
    <w:rsid w:val="00ED6494"/>
    <w:rsid w:val="00ED7AE1"/>
    <w:rsid w:val="00EE1166"/>
    <w:rsid w:val="00EE1AB3"/>
    <w:rsid w:val="00EE1AD4"/>
    <w:rsid w:val="00EE3571"/>
    <w:rsid w:val="00EE55B8"/>
    <w:rsid w:val="00EE6F35"/>
    <w:rsid w:val="00EE77CB"/>
    <w:rsid w:val="00EE7B54"/>
    <w:rsid w:val="00EE7F77"/>
    <w:rsid w:val="00EF3757"/>
    <w:rsid w:val="00EF3B92"/>
    <w:rsid w:val="00EF4B04"/>
    <w:rsid w:val="00EF4F30"/>
    <w:rsid w:val="00EF509C"/>
    <w:rsid w:val="00EF5AB8"/>
    <w:rsid w:val="00EF69DD"/>
    <w:rsid w:val="00EF7216"/>
    <w:rsid w:val="00EF7724"/>
    <w:rsid w:val="00F01CA5"/>
    <w:rsid w:val="00F023D7"/>
    <w:rsid w:val="00F03208"/>
    <w:rsid w:val="00F040EB"/>
    <w:rsid w:val="00F05D93"/>
    <w:rsid w:val="00F07BD0"/>
    <w:rsid w:val="00F11C5C"/>
    <w:rsid w:val="00F133F4"/>
    <w:rsid w:val="00F148C3"/>
    <w:rsid w:val="00F14FD6"/>
    <w:rsid w:val="00F156C7"/>
    <w:rsid w:val="00F15B5D"/>
    <w:rsid w:val="00F1658D"/>
    <w:rsid w:val="00F16AB2"/>
    <w:rsid w:val="00F17629"/>
    <w:rsid w:val="00F204B0"/>
    <w:rsid w:val="00F21A50"/>
    <w:rsid w:val="00F24460"/>
    <w:rsid w:val="00F246C8"/>
    <w:rsid w:val="00F25BB6"/>
    <w:rsid w:val="00F27A61"/>
    <w:rsid w:val="00F27E25"/>
    <w:rsid w:val="00F30528"/>
    <w:rsid w:val="00F31736"/>
    <w:rsid w:val="00F31BBA"/>
    <w:rsid w:val="00F3248C"/>
    <w:rsid w:val="00F3299D"/>
    <w:rsid w:val="00F332F5"/>
    <w:rsid w:val="00F33676"/>
    <w:rsid w:val="00F33CEC"/>
    <w:rsid w:val="00F33E8E"/>
    <w:rsid w:val="00F33F98"/>
    <w:rsid w:val="00F34B8D"/>
    <w:rsid w:val="00F3642A"/>
    <w:rsid w:val="00F36A8E"/>
    <w:rsid w:val="00F4008A"/>
    <w:rsid w:val="00F402C7"/>
    <w:rsid w:val="00F40BA2"/>
    <w:rsid w:val="00F40CEC"/>
    <w:rsid w:val="00F4207D"/>
    <w:rsid w:val="00F423FE"/>
    <w:rsid w:val="00F42D81"/>
    <w:rsid w:val="00F44291"/>
    <w:rsid w:val="00F44835"/>
    <w:rsid w:val="00F44C0C"/>
    <w:rsid w:val="00F44DED"/>
    <w:rsid w:val="00F46451"/>
    <w:rsid w:val="00F4690A"/>
    <w:rsid w:val="00F46A43"/>
    <w:rsid w:val="00F47AFB"/>
    <w:rsid w:val="00F53491"/>
    <w:rsid w:val="00F54A2B"/>
    <w:rsid w:val="00F561C7"/>
    <w:rsid w:val="00F57132"/>
    <w:rsid w:val="00F57DF1"/>
    <w:rsid w:val="00F60B10"/>
    <w:rsid w:val="00F612F6"/>
    <w:rsid w:val="00F619D9"/>
    <w:rsid w:val="00F61C6B"/>
    <w:rsid w:val="00F61E50"/>
    <w:rsid w:val="00F61FD5"/>
    <w:rsid w:val="00F63706"/>
    <w:rsid w:val="00F643FA"/>
    <w:rsid w:val="00F64AAA"/>
    <w:rsid w:val="00F64ACA"/>
    <w:rsid w:val="00F65AAE"/>
    <w:rsid w:val="00F667F2"/>
    <w:rsid w:val="00F6712A"/>
    <w:rsid w:val="00F70AC9"/>
    <w:rsid w:val="00F70B99"/>
    <w:rsid w:val="00F70CF1"/>
    <w:rsid w:val="00F712B2"/>
    <w:rsid w:val="00F71350"/>
    <w:rsid w:val="00F71B8D"/>
    <w:rsid w:val="00F727F0"/>
    <w:rsid w:val="00F72F34"/>
    <w:rsid w:val="00F76124"/>
    <w:rsid w:val="00F76D20"/>
    <w:rsid w:val="00F7755D"/>
    <w:rsid w:val="00F80835"/>
    <w:rsid w:val="00F80BF7"/>
    <w:rsid w:val="00F80D06"/>
    <w:rsid w:val="00F811B5"/>
    <w:rsid w:val="00F84704"/>
    <w:rsid w:val="00F84CCF"/>
    <w:rsid w:val="00F84FB4"/>
    <w:rsid w:val="00F85D42"/>
    <w:rsid w:val="00F86FCC"/>
    <w:rsid w:val="00F91D6F"/>
    <w:rsid w:val="00F91ECC"/>
    <w:rsid w:val="00F941E9"/>
    <w:rsid w:val="00F9543F"/>
    <w:rsid w:val="00F95F58"/>
    <w:rsid w:val="00F97547"/>
    <w:rsid w:val="00FA04C9"/>
    <w:rsid w:val="00FA0873"/>
    <w:rsid w:val="00FA18A6"/>
    <w:rsid w:val="00FA1B93"/>
    <w:rsid w:val="00FA2F42"/>
    <w:rsid w:val="00FA4A8E"/>
    <w:rsid w:val="00FA5263"/>
    <w:rsid w:val="00FB00C6"/>
    <w:rsid w:val="00FB060E"/>
    <w:rsid w:val="00FB1E0D"/>
    <w:rsid w:val="00FB23BB"/>
    <w:rsid w:val="00FB2816"/>
    <w:rsid w:val="00FB41B6"/>
    <w:rsid w:val="00FB4320"/>
    <w:rsid w:val="00FB54E4"/>
    <w:rsid w:val="00FB5641"/>
    <w:rsid w:val="00FB5CB7"/>
    <w:rsid w:val="00FC0135"/>
    <w:rsid w:val="00FC173B"/>
    <w:rsid w:val="00FC2100"/>
    <w:rsid w:val="00FC290E"/>
    <w:rsid w:val="00FC3D08"/>
    <w:rsid w:val="00FC445E"/>
    <w:rsid w:val="00FC75E5"/>
    <w:rsid w:val="00FC791D"/>
    <w:rsid w:val="00FC7969"/>
    <w:rsid w:val="00FD06E1"/>
    <w:rsid w:val="00FD1FF3"/>
    <w:rsid w:val="00FD6CA2"/>
    <w:rsid w:val="00FE0446"/>
    <w:rsid w:val="00FE0465"/>
    <w:rsid w:val="00FE099C"/>
    <w:rsid w:val="00FE0D03"/>
    <w:rsid w:val="00FE37C3"/>
    <w:rsid w:val="00FE4F20"/>
    <w:rsid w:val="00FE5269"/>
    <w:rsid w:val="00FE68C3"/>
    <w:rsid w:val="00FF0740"/>
    <w:rsid w:val="00FF1059"/>
    <w:rsid w:val="00FF233F"/>
    <w:rsid w:val="00FF2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067C9"/>
  <w15:docId w15:val="{EB01DA05-6514-4FD1-9586-00996823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0CD"/>
    <w:pPr>
      <w:spacing w:line="360" w:lineRule="auto"/>
      <w:ind w:firstLineChars="200" w:firstLine="200"/>
      <w:jc w:val="both"/>
    </w:pPr>
    <w:rPr>
      <w:rFonts w:ascii="Times New Roman" w:eastAsia="仿宋_GB2312" w:hAnsi="Times New Roman"/>
      <w:sz w:val="32"/>
    </w:rPr>
  </w:style>
  <w:style w:type="paragraph" w:styleId="1">
    <w:name w:val="heading 1"/>
    <w:basedOn w:val="a"/>
    <w:link w:val="10"/>
    <w:autoRedefine/>
    <w:uiPriority w:val="1"/>
    <w:qFormat/>
    <w:rsid w:val="00020FD8"/>
    <w:pPr>
      <w:widowControl w:val="0"/>
      <w:spacing w:after="120"/>
      <w:ind w:firstLineChars="0" w:firstLine="0"/>
      <w:outlineLvl w:val="0"/>
    </w:pPr>
    <w:rPr>
      <w:rFonts w:ascii="黑体" w:eastAsia="黑体" w:hAnsi="黑体" w:cs="Arial"/>
      <w:bCs/>
      <w:szCs w:val="24"/>
      <w:lang w:eastAsia="zh-CN"/>
    </w:rPr>
  </w:style>
  <w:style w:type="paragraph" w:styleId="2">
    <w:name w:val="heading 2"/>
    <w:basedOn w:val="a"/>
    <w:link w:val="20"/>
    <w:autoRedefine/>
    <w:uiPriority w:val="1"/>
    <w:qFormat/>
    <w:rsid w:val="00CB0133"/>
    <w:pPr>
      <w:widowControl w:val="0"/>
      <w:spacing w:after="0"/>
      <w:ind w:firstLine="640"/>
      <w:outlineLvl w:val="1"/>
    </w:pPr>
    <w:rPr>
      <w:rFonts w:cs="Times New Roman"/>
      <w:bCs/>
      <w:szCs w:val="32"/>
      <w:lang w:eastAsia="zh-CN"/>
    </w:rPr>
  </w:style>
  <w:style w:type="paragraph" w:styleId="3">
    <w:name w:val="heading 3"/>
    <w:basedOn w:val="a"/>
    <w:next w:val="a"/>
    <w:link w:val="30"/>
    <w:uiPriority w:val="9"/>
    <w:unhideWhenUsed/>
    <w:qFormat/>
    <w:rsid w:val="006B68BB"/>
    <w:pPr>
      <w:keepNext/>
      <w:keepLines/>
      <w:spacing w:before="100" w:beforeAutospacing="1" w:after="120"/>
      <w:ind w:firstLineChars="0" w:firstLine="0"/>
      <w:outlineLvl w:val="2"/>
    </w:pPr>
    <w:rPr>
      <w:bCs/>
      <w:sz w:val="24"/>
      <w:szCs w:val="32"/>
    </w:rPr>
  </w:style>
  <w:style w:type="paragraph" w:styleId="4">
    <w:name w:val="heading 4"/>
    <w:basedOn w:val="a"/>
    <w:next w:val="a"/>
    <w:link w:val="40"/>
    <w:autoRedefine/>
    <w:uiPriority w:val="9"/>
    <w:unhideWhenUsed/>
    <w:qFormat/>
    <w:rsid w:val="006B68BB"/>
    <w:pPr>
      <w:keepNext/>
      <w:keepLines/>
      <w:widowControl w:val="0"/>
      <w:spacing w:after="120"/>
      <w:ind w:firstLineChars="0" w:firstLine="0"/>
      <w:outlineLvl w:val="3"/>
    </w:pPr>
    <w:rPr>
      <w:rFonts w:cstheme="majorBidi"/>
      <w:bCs/>
      <w:kern w:val="2"/>
      <w:sz w:val="24"/>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6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C56E0"/>
    <w:rPr>
      <w:sz w:val="18"/>
      <w:szCs w:val="18"/>
    </w:rPr>
  </w:style>
  <w:style w:type="paragraph" w:styleId="a5">
    <w:name w:val="footer"/>
    <w:basedOn w:val="a"/>
    <w:link w:val="a6"/>
    <w:uiPriority w:val="99"/>
    <w:unhideWhenUsed/>
    <w:rsid w:val="00DC56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C56E0"/>
    <w:rPr>
      <w:sz w:val="18"/>
      <w:szCs w:val="18"/>
    </w:rPr>
  </w:style>
  <w:style w:type="character" w:customStyle="1" w:styleId="10">
    <w:name w:val="标题 1 字符"/>
    <w:basedOn w:val="a0"/>
    <w:link w:val="1"/>
    <w:uiPriority w:val="1"/>
    <w:rsid w:val="00020FD8"/>
    <w:rPr>
      <w:rFonts w:ascii="黑体" w:eastAsia="黑体" w:hAnsi="黑体" w:cs="Arial"/>
      <w:bCs/>
      <w:sz w:val="32"/>
      <w:szCs w:val="24"/>
      <w:lang w:eastAsia="zh-CN"/>
    </w:rPr>
  </w:style>
  <w:style w:type="character" w:customStyle="1" w:styleId="20">
    <w:name w:val="标题 2 字符"/>
    <w:basedOn w:val="a0"/>
    <w:link w:val="2"/>
    <w:uiPriority w:val="1"/>
    <w:rsid w:val="00CB0133"/>
    <w:rPr>
      <w:rFonts w:ascii="Times New Roman" w:eastAsia="仿宋_GB2312" w:hAnsi="Times New Roman" w:cs="Times New Roman"/>
      <w:bCs/>
      <w:sz w:val="32"/>
      <w:szCs w:val="32"/>
      <w:lang w:eastAsia="zh-CN"/>
    </w:rPr>
  </w:style>
  <w:style w:type="paragraph" w:customStyle="1" w:styleId="a7">
    <w:name w:val="副标"/>
    <w:basedOn w:val="a"/>
    <w:qFormat/>
    <w:rsid w:val="006E1754"/>
    <w:pPr>
      <w:widowControl w:val="0"/>
      <w:spacing w:after="250" w:line="240" w:lineRule="auto"/>
      <w:ind w:left="480" w:hangingChars="200" w:hanging="480"/>
    </w:pPr>
    <w:rPr>
      <w:rFonts w:ascii="Arial" w:hAnsi="Arial" w:cs="Arial"/>
      <w:i/>
      <w:sz w:val="24"/>
      <w:szCs w:val="24"/>
      <w:lang w:eastAsia="zh-CN"/>
    </w:rPr>
  </w:style>
  <w:style w:type="character" w:styleId="a8">
    <w:name w:val="annotation reference"/>
    <w:basedOn w:val="a0"/>
    <w:uiPriority w:val="99"/>
    <w:semiHidden/>
    <w:unhideWhenUsed/>
    <w:rsid w:val="006E1754"/>
    <w:rPr>
      <w:sz w:val="16"/>
      <w:szCs w:val="16"/>
    </w:rPr>
  </w:style>
  <w:style w:type="paragraph" w:styleId="a9">
    <w:name w:val="annotation text"/>
    <w:basedOn w:val="a"/>
    <w:link w:val="aa"/>
    <w:uiPriority w:val="99"/>
    <w:semiHidden/>
    <w:unhideWhenUsed/>
    <w:rsid w:val="006E1754"/>
    <w:pPr>
      <w:spacing w:line="240" w:lineRule="auto"/>
    </w:pPr>
    <w:rPr>
      <w:rFonts w:eastAsiaTheme="minorEastAsia"/>
      <w:sz w:val="20"/>
      <w:szCs w:val="20"/>
      <w:lang w:eastAsia="zh-CN"/>
    </w:rPr>
  </w:style>
  <w:style w:type="character" w:customStyle="1" w:styleId="aa">
    <w:name w:val="批注文字 字符"/>
    <w:basedOn w:val="a0"/>
    <w:link w:val="a9"/>
    <w:uiPriority w:val="99"/>
    <w:semiHidden/>
    <w:rsid w:val="006E1754"/>
    <w:rPr>
      <w:rFonts w:eastAsiaTheme="minorEastAsia"/>
      <w:sz w:val="20"/>
      <w:szCs w:val="20"/>
      <w:lang w:eastAsia="zh-CN"/>
    </w:rPr>
  </w:style>
  <w:style w:type="paragraph" w:styleId="ab">
    <w:name w:val="Balloon Text"/>
    <w:basedOn w:val="a"/>
    <w:link w:val="ac"/>
    <w:uiPriority w:val="99"/>
    <w:semiHidden/>
    <w:unhideWhenUsed/>
    <w:rsid w:val="006E1754"/>
    <w:pPr>
      <w:spacing w:after="0" w:line="240" w:lineRule="auto"/>
    </w:pPr>
    <w:rPr>
      <w:sz w:val="18"/>
      <w:szCs w:val="18"/>
    </w:rPr>
  </w:style>
  <w:style w:type="character" w:customStyle="1" w:styleId="ac">
    <w:name w:val="批注框文本 字符"/>
    <w:basedOn w:val="a0"/>
    <w:link w:val="ab"/>
    <w:uiPriority w:val="99"/>
    <w:semiHidden/>
    <w:rsid w:val="006E1754"/>
    <w:rPr>
      <w:sz w:val="18"/>
      <w:szCs w:val="18"/>
    </w:rPr>
  </w:style>
  <w:style w:type="paragraph" w:styleId="ad">
    <w:name w:val="List Paragraph"/>
    <w:basedOn w:val="a"/>
    <w:uiPriority w:val="34"/>
    <w:qFormat/>
    <w:rsid w:val="00DA5388"/>
    <w:pPr>
      <w:widowControl w:val="0"/>
      <w:spacing w:after="0" w:line="240" w:lineRule="auto"/>
      <w:ind w:firstLine="420"/>
    </w:pPr>
    <w:rPr>
      <w:rFonts w:eastAsiaTheme="minorEastAsia"/>
      <w:kern w:val="2"/>
      <w:sz w:val="21"/>
      <w:lang w:eastAsia="zh-CN"/>
    </w:rPr>
  </w:style>
  <w:style w:type="paragraph" w:styleId="ae">
    <w:name w:val="Body Text"/>
    <w:basedOn w:val="a"/>
    <w:link w:val="af"/>
    <w:uiPriority w:val="1"/>
    <w:qFormat/>
    <w:rsid w:val="00DA5388"/>
    <w:pPr>
      <w:widowControl w:val="0"/>
      <w:spacing w:after="0" w:line="240" w:lineRule="auto"/>
      <w:ind w:left="108"/>
    </w:pPr>
    <w:rPr>
      <w:rFonts w:ascii="Verdana" w:hAnsi="Verdana"/>
      <w:sz w:val="18"/>
      <w:szCs w:val="18"/>
      <w:lang w:eastAsia="zh-CN"/>
    </w:rPr>
  </w:style>
  <w:style w:type="character" w:customStyle="1" w:styleId="af">
    <w:name w:val="正文文本 字符"/>
    <w:basedOn w:val="a0"/>
    <w:link w:val="ae"/>
    <w:uiPriority w:val="1"/>
    <w:rsid w:val="00DA5388"/>
    <w:rPr>
      <w:rFonts w:ascii="Verdana" w:hAnsi="Verdana"/>
      <w:sz w:val="18"/>
      <w:szCs w:val="18"/>
      <w:lang w:eastAsia="zh-CN"/>
    </w:rPr>
  </w:style>
  <w:style w:type="character" w:customStyle="1" w:styleId="40">
    <w:name w:val="标题 4 字符"/>
    <w:basedOn w:val="a0"/>
    <w:link w:val="4"/>
    <w:uiPriority w:val="9"/>
    <w:rsid w:val="006B68BB"/>
    <w:rPr>
      <w:rFonts w:ascii="Times New Roman" w:hAnsi="Times New Roman" w:cstheme="majorBidi"/>
      <w:bCs/>
      <w:kern w:val="2"/>
      <w:sz w:val="24"/>
      <w:szCs w:val="28"/>
      <w:lang w:eastAsia="zh-CN"/>
    </w:rPr>
  </w:style>
  <w:style w:type="table" w:customStyle="1" w:styleId="TableNormal1">
    <w:name w:val="Table Normal1"/>
    <w:uiPriority w:val="2"/>
    <w:semiHidden/>
    <w:unhideWhenUsed/>
    <w:qFormat/>
    <w:rsid w:val="00400864"/>
    <w:pPr>
      <w:widowControl w:val="0"/>
      <w:spacing w:after="0" w:line="240" w:lineRule="auto"/>
    </w:pPr>
    <w:rPr>
      <w:rFonts w:eastAsiaTheme="minorEastAsia"/>
      <w:lang w:eastAsia="zh-CN"/>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00864"/>
    <w:pPr>
      <w:widowControl w:val="0"/>
      <w:spacing w:after="0" w:line="240" w:lineRule="auto"/>
    </w:pPr>
    <w:rPr>
      <w:rFonts w:eastAsiaTheme="minorEastAsia"/>
      <w:lang w:eastAsia="zh-CN"/>
    </w:rPr>
  </w:style>
  <w:style w:type="paragraph" w:customStyle="1" w:styleId="af0">
    <w:name w:val="表"/>
    <w:basedOn w:val="4"/>
    <w:uiPriority w:val="1"/>
    <w:qFormat/>
    <w:rsid w:val="00400864"/>
    <w:pPr>
      <w:keepNext w:val="0"/>
      <w:keepLines w:val="0"/>
      <w:spacing w:before="360" w:after="160" w:line="300" w:lineRule="exact"/>
      <w:ind w:left="1084" w:hangingChars="450" w:hanging="1084"/>
    </w:pPr>
    <w:rPr>
      <w:rFonts w:ascii="Arial" w:hAnsi="Arial" w:cs="Arial"/>
      <w:kern w:val="0"/>
      <w:szCs w:val="24"/>
    </w:rPr>
  </w:style>
  <w:style w:type="paragraph" w:customStyle="1" w:styleId="af1">
    <w:name w:val="注释"/>
    <w:basedOn w:val="ae"/>
    <w:uiPriority w:val="1"/>
    <w:qFormat/>
    <w:rsid w:val="00400864"/>
    <w:pPr>
      <w:ind w:left="0"/>
    </w:pPr>
    <w:rPr>
      <w:rFonts w:ascii="Arial" w:hAnsi="Arial" w:cs="Arial"/>
      <w:sz w:val="21"/>
      <w:szCs w:val="21"/>
    </w:rPr>
  </w:style>
  <w:style w:type="paragraph" w:customStyle="1" w:styleId="Default">
    <w:name w:val="Default"/>
    <w:rsid w:val="00400864"/>
    <w:pPr>
      <w:widowControl w:val="0"/>
      <w:autoSpaceDE w:val="0"/>
      <w:autoSpaceDN w:val="0"/>
      <w:adjustRightInd w:val="0"/>
      <w:spacing w:after="0" w:line="240" w:lineRule="auto"/>
    </w:pPr>
    <w:rPr>
      <w:rFonts w:ascii="Verdana" w:eastAsiaTheme="minorEastAsia" w:hAnsi="Verdana" w:cs="Verdana"/>
      <w:color w:val="000000"/>
      <w:sz w:val="24"/>
      <w:szCs w:val="24"/>
      <w:lang w:eastAsia="zh-CN"/>
    </w:rPr>
  </w:style>
  <w:style w:type="paragraph" w:styleId="af2">
    <w:name w:val="annotation subject"/>
    <w:basedOn w:val="a9"/>
    <w:next w:val="a9"/>
    <w:link w:val="af3"/>
    <w:uiPriority w:val="99"/>
    <w:semiHidden/>
    <w:unhideWhenUsed/>
    <w:rsid w:val="00CF2FBB"/>
    <w:pPr>
      <w:spacing w:line="259" w:lineRule="auto"/>
    </w:pPr>
    <w:rPr>
      <w:rFonts w:eastAsia="宋体"/>
      <w:b/>
      <w:bCs/>
      <w:sz w:val="22"/>
      <w:szCs w:val="22"/>
      <w:lang w:eastAsia="en-US"/>
    </w:rPr>
  </w:style>
  <w:style w:type="character" w:customStyle="1" w:styleId="af3">
    <w:name w:val="批注主题 字符"/>
    <w:basedOn w:val="aa"/>
    <w:link w:val="af2"/>
    <w:uiPriority w:val="99"/>
    <w:semiHidden/>
    <w:rsid w:val="00CF2FBB"/>
    <w:rPr>
      <w:rFonts w:eastAsiaTheme="minorEastAsia"/>
      <w:b/>
      <w:bCs/>
      <w:sz w:val="20"/>
      <w:szCs w:val="20"/>
      <w:lang w:eastAsia="zh-CN"/>
    </w:rPr>
  </w:style>
  <w:style w:type="character" w:styleId="af4">
    <w:name w:val="Hyperlink"/>
    <w:basedOn w:val="a0"/>
    <w:uiPriority w:val="99"/>
    <w:unhideWhenUsed/>
    <w:rsid w:val="00FE0465"/>
    <w:rPr>
      <w:color w:val="0563C1" w:themeColor="hyperlink"/>
      <w:u w:val="single"/>
    </w:rPr>
  </w:style>
  <w:style w:type="character" w:customStyle="1" w:styleId="30">
    <w:name w:val="标题 3 字符"/>
    <w:basedOn w:val="a0"/>
    <w:link w:val="3"/>
    <w:uiPriority w:val="9"/>
    <w:rsid w:val="006B68BB"/>
    <w:rPr>
      <w:rFonts w:ascii="Times New Roman" w:hAnsi="Times New Roman"/>
      <w:bCs/>
      <w:sz w:val="24"/>
      <w:szCs w:val="32"/>
    </w:rPr>
  </w:style>
  <w:style w:type="paragraph" w:styleId="af5">
    <w:name w:val="Title"/>
    <w:basedOn w:val="a"/>
    <w:next w:val="a"/>
    <w:link w:val="af6"/>
    <w:uiPriority w:val="10"/>
    <w:qFormat/>
    <w:rsid w:val="00383AB8"/>
    <w:pPr>
      <w:spacing w:before="240" w:after="60"/>
      <w:jc w:val="center"/>
      <w:outlineLvl w:val="0"/>
    </w:pPr>
    <w:rPr>
      <w:rFonts w:asciiTheme="majorHAnsi" w:hAnsiTheme="majorHAnsi" w:cstheme="majorBidi"/>
      <w:b/>
      <w:bCs/>
      <w:szCs w:val="32"/>
    </w:rPr>
  </w:style>
  <w:style w:type="character" w:customStyle="1" w:styleId="af6">
    <w:name w:val="标题 字符"/>
    <w:basedOn w:val="a0"/>
    <w:link w:val="af5"/>
    <w:uiPriority w:val="10"/>
    <w:rsid w:val="00383AB8"/>
    <w:rPr>
      <w:rFonts w:asciiTheme="majorHAnsi" w:hAnsiTheme="majorHAnsi" w:cstheme="majorBidi"/>
      <w:b/>
      <w:bCs/>
      <w:sz w:val="32"/>
      <w:szCs w:val="32"/>
    </w:rPr>
  </w:style>
  <w:style w:type="table" w:styleId="af7">
    <w:name w:val="Table Grid"/>
    <w:basedOn w:val="a1"/>
    <w:uiPriority w:val="59"/>
    <w:rsid w:val="00B46179"/>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Revision"/>
    <w:hidden/>
    <w:uiPriority w:val="99"/>
    <w:semiHidden/>
    <w:rsid w:val="00D7392F"/>
    <w:pPr>
      <w:spacing w:after="0" w:line="240" w:lineRule="auto"/>
    </w:pPr>
    <w:rPr>
      <w:rFonts w:ascii="Times New Roman" w:hAnsi="Times New Roman"/>
    </w:rPr>
  </w:style>
  <w:style w:type="paragraph" w:styleId="TOC">
    <w:name w:val="TOC Heading"/>
    <w:basedOn w:val="1"/>
    <w:next w:val="a"/>
    <w:uiPriority w:val="39"/>
    <w:unhideWhenUsed/>
    <w:qFormat/>
    <w:rsid w:val="00D7392F"/>
    <w:pPr>
      <w:keepNext/>
      <w:keepLines/>
      <w:widowControl/>
      <w:spacing w:before="240" w:after="0" w:line="259" w:lineRule="auto"/>
      <w:outlineLvl w:val="9"/>
    </w:pPr>
    <w:rPr>
      <w:rFonts w:asciiTheme="majorHAnsi" w:eastAsiaTheme="majorEastAsia" w:hAnsiTheme="majorHAnsi" w:cstheme="majorBidi"/>
      <w:b/>
      <w:bCs w:val="0"/>
      <w:color w:val="2F5496" w:themeColor="accent1" w:themeShade="BF"/>
      <w:szCs w:val="32"/>
    </w:rPr>
  </w:style>
  <w:style w:type="paragraph" w:styleId="21">
    <w:name w:val="toc 2"/>
    <w:basedOn w:val="a"/>
    <w:next w:val="a"/>
    <w:autoRedefine/>
    <w:uiPriority w:val="39"/>
    <w:unhideWhenUsed/>
    <w:rsid w:val="00BF0140"/>
    <w:pPr>
      <w:tabs>
        <w:tab w:val="right" w:leader="dot" w:pos="9350"/>
      </w:tabs>
      <w:spacing w:after="100" w:line="259" w:lineRule="auto"/>
      <w:ind w:left="220" w:firstLineChars="0" w:firstLine="0"/>
    </w:pPr>
    <w:rPr>
      <w:rFonts w:asciiTheme="minorHAnsi" w:eastAsiaTheme="minorEastAsia" w:hAnsiTheme="minorHAnsi" w:cs="Times New Roman"/>
      <w:lang w:eastAsia="zh-CN"/>
    </w:rPr>
  </w:style>
  <w:style w:type="paragraph" w:styleId="11">
    <w:name w:val="toc 1"/>
    <w:basedOn w:val="a"/>
    <w:next w:val="a"/>
    <w:autoRedefine/>
    <w:uiPriority w:val="39"/>
    <w:unhideWhenUsed/>
    <w:rsid w:val="00020FD8"/>
    <w:pPr>
      <w:tabs>
        <w:tab w:val="right" w:leader="dot" w:pos="9350"/>
      </w:tabs>
      <w:spacing w:after="100" w:line="259" w:lineRule="auto"/>
      <w:ind w:firstLineChars="0" w:firstLine="0"/>
    </w:pPr>
    <w:rPr>
      <w:rFonts w:asciiTheme="minorHAnsi" w:eastAsiaTheme="minorEastAsia" w:hAnsiTheme="minorHAnsi" w:cs="Times New Roman"/>
      <w:lang w:eastAsia="zh-CN"/>
    </w:rPr>
  </w:style>
  <w:style w:type="paragraph" w:styleId="31">
    <w:name w:val="toc 3"/>
    <w:basedOn w:val="a"/>
    <w:next w:val="a"/>
    <w:autoRedefine/>
    <w:uiPriority w:val="39"/>
    <w:unhideWhenUsed/>
    <w:rsid w:val="00D7392F"/>
    <w:pPr>
      <w:spacing w:after="100" w:line="259" w:lineRule="auto"/>
      <w:ind w:left="440" w:firstLineChars="0" w:firstLine="0"/>
    </w:pPr>
    <w:rPr>
      <w:rFonts w:asciiTheme="minorHAnsi" w:eastAsiaTheme="minorEastAsia" w:hAnsiTheme="minorHAnsi" w:cs="Times New Roman"/>
      <w:lang w:eastAsia="zh-CN"/>
    </w:rPr>
  </w:style>
  <w:style w:type="paragraph" w:styleId="af9">
    <w:name w:val="caption"/>
    <w:basedOn w:val="a"/>
    <w:next w:val="a"/>
    <w:uiPriority w:val="35"/>
    <w:unhideWhenUsed/>
    <w:qFormat/>
    <w:rsid w:val="005F67D9"/>
    <w:rPr>
      <w:rFonts w:asciiTheme="majorHAnsi" w:eastAsia="黑体" w:hAnsiTheme="majorHAnsi" w:cstheme="majorBidi"/>
      <w:sz w:val="20"/>
      <w:szCs w:val="20"/>
    </w:rPr>
  </w:style>
  <w:style w:type="character" w:styleId="afa">
    <w:name w:val="FollowedHyperlink"/>
    <w:basedOn w:val="a0"/>
    <w:uiPriority w:val="99"/>
    <w:semiHidden/>
    <w:unhideWhenUsed/>
    <w:rsid w:val="005521A3"/>
    <w:rPr>
      <w:color w:val="954F72" w:themeColor="followedHyperlink"/>
      <w:u w:val="single"/>
    </w:rPr>
  </w:style>
  <w:style w:type="character" w:styleId="afb">
    <w:name w:val="Emphasis"/>
    <w:basedOn w:val="a0"/>
    <w:uiPriority w:val="20"/>
    <w:qFormat/>
    <w:rsid w:val="00BF22C5"/>
    <w:rPr>
      <w:i/>
      <w:iCs/>
    </w:rPr>
  </w:style>
  <w:style w:type="paragraph" w:styleId="afc">
    <w:name w:val="Subtitle"/>
    <w:basedOn w:val="a"/>
    <w:next w:val="a"/>
    <w:link w:val="afd"/>
    <w:uiPriority w:val="11"/>
    <w:qFormat/>
    <w:rsid w:val="00BF22C5"/>
    <w:pPr>
      <w:widowControl w:val="0"/>
      <w:spacing w:before="240" w:after="60" w:line="312" w:lineRule="auto"/>
      <w:ind w:firstLineChars="0" w:firstLine="0"/>
      <w:jc w:val="center"/>
      <w:outlineLvl w:val="1"/>
    </w:pPr>
    <w:rPr>
      <w:rFonts w:asciiTheme="minorHAnsi" w:eastAsiaTheme="minorEastAsia" w:hAnsiTheme="minorHAnsi"/>
      <w:b/>
      <w:bCs/>
      <w:kern w:val="28"/>
      <w:szCs w:val="32"/>
      <w:lang w:eastAsia="zh-CN"/>
    </w:rPr>
  </w:style>
  <w:style w:type="character" w:customStyle="1" w:styleId="afd">
    <w:name w:val="副标题 字符"/>
    <w:basedOn w:val="a0"/>
    <w:link w:val="afc"/>
    <w:uiPriority w:val="11"/>
    <w:rsid w:val="00BF22C5"/>
    <w:rPr>
      <w:rFonts w:eastAsiaTheme="minorEastAsia"/>
      <w:b/>
      <w:bCs/>
      <w:kern w:val="28"/>
      <w:sz w:val="32"/>
      <w:szCs w:val="32"/>
      <w:lang w:eastAsia="zh-CN"/>
    </w:rPr>
  </w:style>
  <w:style w:type="character" w:customStyle="1" w:styleId="12">
    <w:name w:val="未处理的提及1"/>
    <w:basedOn w:val="a0"/>
    <w:uiPriority w:val="99"/>
    <w:semiHidden/>
    <w:unhideWhenUsed/>
    <w:rsid w:val="00546BB1"/>
    <w:rPr>
      <w:color w:val="605E5C"/>
      <w:shd w:val="clear" w:color="auto" w:fill="E1DFDD"/>
    </w:rPr>
  </w:style>
  <w:style w:type="character" w:styleId="afe">
    <w:name w:val="line number"/>
    <w:basedOn w:val="a0"/>
    <w:uiPriority w:val="99"/>
    <w:semiHidden/>
    <w:unhideWhenUsed/>
    <w:rsid w:val="00F16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93431">
      <w:bodyDiv w:val="1"/>
      <w:marLeft w:val="0"/>
      <w:marRight w:val="0"/>
      <w:marTop w:val="0"/>
      <w:marBottom w:val="0"/>
      <w:divBdr>
        <w:top w:val="none" w:sz="0" w:space="0" w:color="auto"/>
        <w:left w:val="none" w:sz="0" w:space="0" w:color="auto"/>
        <w:bottom w:val="none" w:sz="0" w:space="0" w:color="auto"/>
        <w:right w:val="none" w:sz="0" w:space="0" w:color="auto"/>
      </w:divBdr>
    </w:div>
    <w:div w:id="1679499272">
      <w:bodyDiv w:val="1"/>
      <w:marLeft w:val="0"/>
      <w:marRight w:val="0"/>
      <w:marTop w:val="0"/>
      <w:marBottom w:val="0"/>
      <w:divBdr>
        <w:top w:val="none" w:sz="0" w:space="0" w:color="auto"/>
        <w:left w:val="none" w:sz="0" w:space="0" w:color="auto"/>
        <w:bottom w:val="none" w:sz="0" w:space="0" w:color="auto"/>
        <w:right w:val="none" w:sz="0" w:space="0" w:color="auto"/>
      </w:divBdr>
      <w:divsChild>
        <w:div w:id="499738023">
          <w:marLeft w:val="0"/>
          <w:marRight w:val="0"/>
          <w:marTop w:val="0"/>
          <w:marBottom w:val="0"/>
          <w:divBdr>
            <w:top w:val="none" w:sz="0" w:space="0" w:color="auto"/>
            <w:left w:val="none" w:sz="0" w:space="0" w:color="auto"/>
            <w:bottom w:val="none" w:sz="0" w:space="0" w:color="auto"/>
            <w:right w:val="none" w:sz="0" w:space="0" w:color="auto"/>
          </w:divBdr>
          <w:divsChild>
            <w:div w:id="12948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585">
      <w:bodyDiv w:val="1"/>
      <w:marLeft w:val="0"/>
      <w:marRight w:val="0"/>
      <w:marTop w:val="0"/>
      <w:marBottom w:val="0"/>
      <w:divBdr>
        <w:top w:val="none" w:sz="0" w:space="0" w:color="auto"/>
        <w:left w:val="none" w:sz="0" w:space="0" w:color="auto"/>
        <w:bottom w:val="none" w:sz="0" w:space="0" w:color="auto"/>
        <w:right w:val="none" w:sz="0" w:space="0" w:color="auto"/>
      </w:divBdr>
      <w:divsChild>
        <w:div w:id="1481920414">
          <w:marLeft w:val="0"/>
          <w:marRight w:val="0"/>
          <w:marTop w:val="0"/>
          <w:marBottom w:val="0"/>
          <w:divBdr>
            <w:top w:val="none" w:sz="0" w:space="0" w:color="auto"/>
            <w:left w:val="none" w:sz="0" w:space="0" w:color="auto"/>
            <w:bottom w:val="none" w:sz="0" w:space="0" w:color="auto"/>
            <w:right w:val="none" w:sz="0" w:space="0" w:color="auto"/>
          </w:divBdr>
          <w:divsChild>
            <w:div w:id="8907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891">
      <w:bodyDiv w:val="1"/>
      <w:marLeft w:val="0"/>
      <w:marRight w:val="0"/>
      <w:marTop w:val="0"/>
      <w:marBottom w:val="0"/>
      <w:divBdr>
        <w:top w:val="none" w:sz="0" w:space="0" w:color="auto"/>
        <w:left w:val="none" w:sz="0" w:space="0" w:color="auto"/>
        <w:bottom w:val="none" w:sz="0" w:space="0" w:color="auto"/>
        <w:right w:val="none" w:sz="0" w:space="0" w:color="auto"/>
      </w:divBdr>
    </w:div>
    <w:div w:id="211157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S i m c y p D a t a   x m l n s = " h t t p : / / w w w . s i m c y p . c o m / " >  
     < P r o f i l e C h a r t s / >  
     < R e s u l t s T a b l e s / >  
     < S t a t i s t i c s C h a r t s / >  
     < R e g i o n a l F r a c t i o n C h a r t s / >  
     < I n p u t T a b l e s / >  
 < / S i m c y p 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1CA09-C66B-454B-B202-E22478957818}">
  <ds:schemaRefs>
    <ds:schemaRef ds:uri="http://www.simcyp.com/"/>
  </ds:schemaRefs>
</ds:datastoreItem>
</file>

<file path=customXml/itemProps2.xml><?xml version="1.0" encoding="utf-8"?>
<ds:datastoreItem xmlns:ds="http://schemas.openxmlformats.org/officeDocument/2006/customXml" ds:itemID="{D8C48C46-2F37-4F5D-AA6C-3A3A94BA8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70</Pages>
  <Words>5697</Words>
  <Characters>32477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李丽</cp:lastModifiedBy>
  <cp:revision>4</cp:revision>
  <cp:lastPrinted>2020-09-07T10:45:00Z</cp:lastPrinted>
  <dcterms:created xsi:type="dcterms:W3CDTF">2020-09-11T09:57:00Z</dcterms:created>
  <dcterms:modified xsi:type="dcterms:W3CDTF">2020-09-11T09:59:00Z</dcterms:modified>
</cp:coreProperties>
</file>