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556F1" w14:textId="77777777" w:rsidR="000F65C3" w:rsidRPr="008D0525" w:rsidRDefault="000F65C3" w:rsidP="008D0525">
      <w:pPr>
        <w:pStyle w:val="a7"/>
        <w:rPr>
          <w:rFonts w:ascii="宋体" w:eastAsia="宋体" w:hAnsi="宋体"/>
        </w:rPr>
      </w:pPr>
      <w:bookmarkStart w:id="0" w:name="_Toc277602067"/>
      <w:r w:rsidRPr="008D0525">
        <w:rPr>
          <w:rFonts w:ascii="宋体" w:eastAsia="宋体" w:hAnsi="宋体" w:hint="eastAsia"/>
        </w:rPr>
        <w:t>新药用辅料非临床安全性评价指导原则</w:t>
      </w:r>
    </w:p>
    <w:p w14:paraId="58A52A60" w14:textId="77777777" w:rsidR="000F65C3" w:rsidRPr="00C37EFE" w:rsidRDefault="000F65C3" w:rsidP="000F65C3">
      <w:pPr>
        <w:spacing w:line="560" w:lineRule="exact"/>
        <w:jc w:val="center"/>
        <w:outlineLvl w:val="0"/>
        <w:rPr>
          <w:rFonts w:ascii="宋体" w:hAnsi="宋体"/>
          <w:sz w:val="36"/>
          <w:szCs w:val="36"/>
        </w:rPr>
      </w:pPr>
    </w:p>
    <w:p w14:paraId="53578203" w14:textId="77777777" w:rsidR="000F65C3" w:rsidRPr="00C37EFE" w:rsidRDefault="000F65C3" w:rsidP="009D6471">
      <w:pPr>
        <w:spacing w:line="560" w:lineRule="exact"/>
        <w:ind w:leftChars="257" w:left="953" w:hangingChars="129" w:hanging="413"/>
        <w:outlineLvl w:val="0"/>
        <w:rPr>
          <w:rFonts w:ascii="宋体" w:hAnsi="宋体"/>
          <w:sz w:val="32"/>
          <w:szCs w:val="32"/>
        </w:rPr>
      </w:pPr>
      <w:r w:rsidRPr="00C37EFE">
        <w:rPr>
          <w:rFonts w:ascii="宋体" w:hAnsi="宋体" w:hint="eastAsia"/>
          <w:sz w:val="32"/>
          <w:szCs w:val="32"/>
        </w:rPr>
        <w:t>一、概述</w:t>
      </w:r>
      <w:bookmarkEnd w:id="0"/>
    </w:p>
    <w:p w14:paraId="5F237E76"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本指导原则为支持新药用辅料能够作为药品或生物制品组分使用需要提供安全性数据提供指南。本指导原则不具有法律强制性，而是阐述了国家食品药品监督管理局（以下简称SFDA）当前对新药用辅料开发的一些考虑，但文中引用的特定条例或者法规要求除外。</w:t>
      </w:r>
    </w:p>
    <w:p w14:paraId="7304096E"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在本指导原则中，“新药用辅料”</w:t>
      </w:r>
      <w:proofErr w:type="gramStart"/>
      <w:r w:rsidRPr="00C37EFE">
        <w:rPr>
          <w:rFonts w:ascii="宋体" w:hAnsi="宋体" w:hint="eastAsia"/>
          <w:sz w:val="32"/>
          <w:szCs w:val="32"/>
        </w:rPr>
        <w:t>是指拟添加</w:t>
      </w:r>
      <w:proofErr w:type="gramEnd"/>
      <w:r w:rsidRPr="00C37EFE">
        <w:rPr>
          <w:rFonts w:ascii="宋体" w:hAnsi="宋体" w:hint="eastAsia"/>
          <w:sz w:val="32"/>
          <w:szCs w:val="32"/>
        </w:rPr>
        <w:t>到治疗用或诊断用药物中的任何无活性成分，需要注意的是：</w:t>
      </w:r>
    </w:p>
    <w:p w14:paraId="507ACE0C"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1）尽管它们可能会改善药物输送，如增强药用成分的吸收或者控制释放，但在拟定使用剂量下预期不会产生药理作用；</w:t>
      </w:r>
    </w:p>
    <w:p w14:paraId="2A2A6F94"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2）根据现有的安全性数据，尚不能充分评估用拟定的剂量水平、暴露持续时间或者给药方</w:t>
      </w:r>
      <w:proofErr w:type="gramStart"/>
      <w:r w:rsidRPr="00C37EFE">
        <w:rPr>
          <w:rFonts w:ascii="宋体" w:hAnsi="宋体" w:hint="eastAsia"/>
          <w:sz w:val="32"/>
          <w:szCs w:val="32"/>
        </w:rPr>
        <w:t>式使用</w:t>
      </w:r>
      <w:proofErr w:type="gramEnd"/>
      <w:r w:rsidRPr="00C37EFE">
        <w:rPr>
          <w:rFonts w:ascii="宋体" w:hAnsi="宋体" w:hint="eastAsia"/>
          <w:sz w:val="32"/>
          <w:szCs w:val="32"/>
        </w:rPr>
        <w:t>时对人体的风险。辅料包括填充剂、增容剂、稀释剂、润湿剂、溶剂、乳化剂、防腐剂、</w:t>
      </w:r>
      <w:proofErr w:type="gramStart"/>
      <w:r w:rsidRPr="00C37EFE">
        <w:rPr>
          <w:rFonts w:ascii="宋体" w:hAnsi="宋体" w:hint="eastAsia"/>
          <w:sz w:val="32"/>
          <w:szCs w:val="32"/>
        </w:rPr>
        <w:t>矫</w:t>
      </w:r>
      <w:proofErr w:type="gramEnd"/>
      <w:r w:rsidRPr="00C37EFE">
        <w:rPr>
          <w:rFonts w:ascii="宋体" w:hAnsi="宋体" w:hint="eastAsia"/>
          <w:sz w:val="32"/>
          <w:szCs w:val="32"/>
        </w:rPr>
        <w:t>味剂、吸收促进剂、缓释基质和着色剂等。</w:t>
      </w:r>
    </w:p>
    <w:p w14:paraId="6FB758BE" w14:textId="123F86FE"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在本指导原则中，“辅料”也包括在药品和生物制品中使用的大分子物质，如白蛋白，或者氨基酸和糖类等物质，但不包括工艺或者产品相关的杂质（例如降解产物、浸出液、残留溶剂）或者外来污染物。</w:t>
      </w:r>
    </w:p>
    <w:p w14:paraId="67D47618"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在药物中使用辅料由来已久，伴随药品的产生而产生。历史</w:t>
      </w:r>
      <w:r w:rsidRPr="00C37EFE">
        <w:rPr>
          <w:rFonts w:ascii="宋体" w:hAnsi="宋体" w:hint="eastAsia"/>
          <w:sz w:val="32"/>
          <w:szCs w:val="32"/>
        </w:rPr>
        <w:lastRenderedPageBreak/>
        <w:t>使用经验表明，不是所有的辅料都是惰性物质，一些辅料具有潜在的毒性，一些已经用于已上市产品中的辅料也可能会对患者造成严重的毒性反应。</w:t>
      </w:r>
      <w:bookmarkStart w:id="1" w:name="_Toc277602068"/>
    </w:p>
    <w:p w14:paraId="5CC36756" w14:textId="77777777" w:rsidR="000F65C3" w:rsidRPr="00C37EFE" w:rsidRDefault="000F65C3" w:rsidP="000F65C3">
      <w:pPr>
        <w:spacing w:line="560" w:lineRule="exact"/>
        <w:ind w:leftChars="257" w:left="953" w:hangingChars="129" w:hanging="413"/>
        <w:outlineLvl w:val="0"/>
        <w:rPr>
          <w:rFonts w:ascii="宋体" w:hAnsi="宋体"/>
          <w:sz w:val="32"/>
          <w:szCs w:val="32"/>
        </w:rPr>
      </w:pPr>
      <w:r w:rsidRPr="00C37EFE">
        <w:rPr>
          <w:rFonts w:ascii="宋体" w:hAnsi="宋体" w:hint="eastAsia"/>
          <w:sz w:val="32"/>
          <w:szCs w:val="32"/>
        </w:rPr>
        <w:t>二、需要提供安全性数据的范围</w:t>
      </w:r>
      <w:bookmarkEnd w:id="1"/>
    </w:p>
    <w:p w14:paraId="67689DCB"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对拟用于药物中的新辅料进行风险-获益评估，建立这些物质可容许的安全限度非常重要，这个过程需要评价整个安全性数据库，应高效、合理地进行辅料的安全性评价设计和考虑。</w:t>
      </w:r>
    </w:p>
    <w:p w14:paraId="788706BE"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1）申办人可以在评估新药或生物制品安全性的同时开展新辅料开发，可在安全性试验中增加辅料给药组，以提高辅料的开发效率。</w:t>
      </w:r>
    </w:p>
    <w:p w14:paraId="6DCA5F97"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2）一些辅料现有的人体安全性数据可以替代某些非临床安全性数据，而对于以往已经有与拟定用途的暴露环境相关人用资料的辅料，也可不需要进行完整组合的毒理学评价，如将会考虑曾用于以前获得批准产品的情况，或者作为食品添加剂使用的情况（GRAS，Generally recognized as safe）。</w:t>
      </w:r>
    </w:p>
    <w:p w14:paraId="3A398FE0"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3）在某些情况下（例如相似的给药途径、暴露水平、患者群体和暴露持续时间），以往的使用经验可以充分提示一种辅料的合理性。然而，有必要将与该辅料相关的安全性数据更新完善至符合当前的标准（例如提交附加的遗传毒性数据）。</w:t>
      </w:r>
    </w:p>
    <w:p w14:paraId="4367AEDF"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4）需要注意的是，一种辅料收录于药典等相关文件中，并不意味着这种物质可以安全地使用。</w:t>
      </w:r>
    </w:p>
    <w:p w14:paraId="2292F323"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5）如果确定现有的数据不能完全支持预期的使用，则应提</w:t>
      </w:r>
      <w:r w:rsidRPr="00C37EFE">
        <w:rPr>
          <w:rFonts w:ascii="宋体" w:hAnsi="宋体" w:hint="eastAsia"/>
          <w:sz w:val="32"/>
          <w:szCs w:val="32"/>
        </w:rPr>
        <w:lastRenderedPageBreak/>
        <w:t>供附加的安全性数据。</w:t>
      </w:r>
    </w:p>
    <w:p w14:paraId="0D607B0A"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6）对于被大量吸收或者生物转化的辅料，可能需要提供药代动力学研究数据。</w:t>
      </w:r>
    </w:p>
    <w:p w14:paraId="0E8B791E" w14:textId="77777777" w:rsid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7）有些情况下，也可能需要进行药物-辅料相互作用研究。</w:t>
      </w:r>
    </w:p>
    <w:p w14:paraId="4F60284E" w14:textId="495CF763"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8）新辅料的预期使用（如用于儿科患者）可能会影响对毒理学数据的要求，也要引起注意。</w:t>
      </w:r>
    </w:p>
    <w:p w14:paraId="36F71EEA"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每一种辅料都有其独特性，对于辅料的特定组合和拟定用途，一些</w:t>
      </w:r>
      <w:r w:rsidRPr="00C37EFE">
        <w:rPr>
          <w:rFonts w:ascii="宋体" w:hAnsi="宋体" w:hint="eastAsia"/>
          <w:spacing w:val="-4"/>
          <w:sz w:val="32"/>
          <w:szCs w:val="32"/>
        </w:rPr>
        <w:t>科学合理的理由可以支持免除本指导原则中列出的某些非临床研究项目。比如，对于用于挽救生命药物的辅料的安全性评价可以简化（相对于用于低死亡率适应症药物中辅料的评价），或者在获得批准后再完成。再如，对于一种新的大分子聚合物辅料，与先前评价过的辅料的差异仅在于分子量（链长度），二者在物理状态、药代动力学和未反应的单体水平以及其他杂质方面具有充分的相似性，则可以用简化的方式提供较少的安全性评价数据。对于这样的辅料，按个案具体问题具体分析的原则进行。</w:t>
      </w:r>
    </w:p>
    <w:p w14:paraId="4169C409" w14:textId="77777777" w:rsidR="000F65C3" w:rsidRPr="00C37EFE" w:rsidRDefault="000F65C3" w:rsidP="000F65C3">
      <w:pPr>
        <w:spacing w:line="560" w:lineRule="exact"/>
        <w:ind w:leftChars="257" w:left="953" w:hangingChars="129" w:hanging="413"/>
        <w:outlineLvl w:val="0"/>
        <w:rPr>
          <w:rFonts w:ascii="宋体" w:hAnsi="宋体"/>
          <w:sz w:val="32"/>
          <w:szCs w:val="32"/>
        </w:rPr>
      </w:pPr>
      <w:bookmarkStart w:id="2" w:name="_Toc277602069"/>
      <w:r w:rsidRPr="00C37EFE">
        <w:rPr>
          <w:rFonts w:ascii="宋体" w:hAnsi="宋体" w:hint="eastAsia"/>
          <w:sz w:val="32"/>
          <w:szCs w:val="32"/>
        </w:rPr>
        <w:t>三、支持新药用辅料上市所需的安全性研究策略</w:t>
      </w:r>
      <w:bookmarkEnd w:id="2"/>
    </w:p>
    <w:p w14:paraId="11925C9F"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对于新药用辅料进行非临床安全性评价，与药物的非临床安全性评价的考虑点相似，如药物的拟用疗程、人体安全担忧因素等，且非临床安全性评价的试验周期、检测指标等也类似；但是，鉴于通常药用辅料的用量相对药物活性成分本身大，并且用药途径广泛等原因，对非临床安全性评价的要求可能会比药物更为严格，如：遗传毒性、安全药理学试验、局部用药安全性等。因此，</w:t>
      </w:r>
      <w:r w:rsidRPr="00C37EFE">
        <w:rPr>
          <w:rFonts w:ascii="宋体" w:hAnsi="宋体" w:hint="eastAsia"/>
          <w:sz w:val="32"/>
          <w:szCs w:val="32"/>
        </w:rPr>
        <w:lastRenderedPageBreak/>
        <w:t>本策略中对于非临床安全性评价说明方式不同于以往的药物非临床安全性研究技术指导原则，在说明上采取了具体问题具体分析的策略，以利于本指导原则的使用。以下是针对未获得人体充分暴露资料的辅料进行安全性评价时的研究策略，建议所有的关键性安全性试验按照现行技术要求和GLP来进行。</w:t>
      </w:r>
    </w:p>
    <w:p w14:paraId="36F800F3" w14:textId="77777777" w:rsidR="000F65C3" w:rsidRPr="00C37EFE" w:rsidRDefault="000F65C3" w:rsidP="000F65C3">
      <w:pPr>
        <w:spacing w:line="560" w:lineRule="exact"/>
        <w:ind w:firstLineChars="192" w:firstLine="617"/>
        <w:outlineLvl w:val="1"/>
        <w:rPr>
          <w:rFonts w:ascii="宋体" w:hAnsi="宋体"/>
          <w:b/>
          <w:sz w:val="32"/>
          <w:szCs w:val="32"/>
        </w:rPr>
      </w:pPr>
      <w:bookmarkStart w:id="3" w:name="_Toc277602070"/>
      <w:r w:rsidRPr="00C37EFE">
        <w:rPr>
          <w:rFonts w:ascii="宋体" w:hAnsi="宋体" w:hint="eastAsia"/>
          <w:b/>
          <w:sz w:val="32"/>
          <w:szCs w:val="32"/>
        </w:rPr>
        <w:t>（一） 安全药理学</w:t>
      </w:r>
      <w:bookmarkEnd w:id="3"/>
    </w:p>
    <w:p w14:paraId="6349452A"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建议所有的新药用辅料采用标准试验组合（参见SFDA《化学药物一般药理学研究技术指导原则》）评估药理学作用。这些试验可以结合毒理学研究完成，或作为独立的安全药理学试验来进行。应在辅料安全性评价的早期获得这些数据，因为如果发现辅料具有药理学活性，则该信息会影响随后的开发。</w:t>
      </w:r>
    </w:p>
    <w:p w14:paraId="0CEF42C3" w14:textId="77777777" w:rsidR="000F65C3" w:rsidRPr="00C37EFE" w:rsidRDefault="000F65C3" w:rsidP="000F65C3">
      <w:pPr>
        <w:spacing w:line="560" w:lineRule="exact"/>
        <w:ind w:firstLineChars="192" w:firstLine="617"/>
        <w:outlineLvl w:val="1"/>
        <w:rPr>
          <w:rFonts w:ascii="宋体" w:hAnsi="宋体"/>
          <w:b/>
          <w:sz w:val="32"/>
          <w:szCs w:val="32"/>
        </w:rPr>
      </w:pPr>
      <w:bookmarkStart w:id="4" w:name="_Toc277602071"/>
      <w:r w:rsidRPr="00C37EFE">
        <w:rPr>
          <w:rFonts w:ascii="宋体" w:hAnsi="宋体" w:hint="eastAsia"/>
          <w:b/>
          <w:sz w:val="32"/>
          <w:szCs w:val="32"/>
        </w:rPr>
        <w:t>（二） 拟短期使用的辅料</w:t>
      </w:r>
      <w:bookmarkEnd w:id="4"/>
    </w:p>
    <w:p w14:paraId="51E0F8E6"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对用于拟定每个治疗阶段的临床使用天数限定为少于或等于14天且用药频率较低的药物中的新辅料，建议至少进行以下的非临床安全性评价：</w:t>
      </w:r>
    </w:p>
    <w:p w14:paraId="3EB96306" w14:textId="77777777" w:rsidR="000F65C3" w:rsidRPr="00C37EFE" w:rsidRDefault="000F65C3" w:rsidP="000F65C3">
      <w:pPr>
        <w:numPr>
          <w:ilvl w:val="1"/>
          <w:numId w:val="1"/>
        </w:numPr>
        <w:spacing w:line="560" w:lineRule="exact"/>
        <w:ind w:hanging="300"/>
        <w:rPr>
          <w:rFonts w:ascii="宋体" w:hAnsi="宋体"/>
          <w:sz w:val="32"/>
          <w:szCs w:val="32"/>
        </w:rPr>
      </w:pPr>
      <w:r w:rsidRPr="00C37EFE">
        <w:rPr>
          <w:rFonts w:ascii="宋体" w:hAnsi="宋体" w:hint="eastAsia"/>
          <w:sz w:val="32"/>
          <w:szCs w:val="32"/>
        </w:rPr>
        <w:t>在一种啮齿类和一种非啮齿类动物中、以临床拟用途径进行急性毒性试验（参见SFDA《化学药物急性毒性试验技术指导原则》），但不一定需要测定辅料的LD</w:t>
      </w:r>
      <w:r w:rsidRPr="00C37EFE">
        <w:rPr>
          <w:rFonts w:ascii="宋体" w:hAnsi="宋体" w:hint="eastAsia"/>
          <w:sz w:val="32"/>
          <w:szCs w:val="32"/>
          <w:vertAlign w:val="subscript"/>
        </w:rPr>
        <w:t>50</w:t>
      </w:r>
      <w:r w:rsidRPr="00C37EFE">
        <w:rPr>
          <w:rFonts w:ascii="宋体" w:hAnsi="宋体" w:hint="eastAsia"/>
          <w:sz w:val="32"/>
          <w:szCs w:val="32"/>
        </w:rPr>
        <w:t>。在某些情况下，可以从新辅料的安全性评价中省略急性毒性试验。比如，如果进行了重复给药毒性试验，其中高剂量是限定剂量（即</w:t>
      </w:r>
      <w:smartTag w:uri="urn:schemas-microsoft-com:office:smarttags" w:element="chmetcnv">
        <w:smartTagPr>
          <w:attr w:name="UnitName" w:val="g"/>
          <w:attr w:name="SourceValue" w:val="2"/>
          <w:attr w:name="HasSpace" w:val="False"/>
          <w:attr w:name="Negative" w:val="False"/>
          <w:attr w:name="NumberType" w:val="1"/>
          <w:attr w:name="TCSC" w:val="0"/>
        </w:smartTagPr>
        <w:r w:rsidRPr="00C37EFE">
          <w:rPr>
            <w:rFonts w:ascii="宋体" w:hAnsi="宋体" w:hint="eastAsia"/>
            <w:sz w:val="32"/>
            <w:szCs w:val="32"/>
          </w:rPr>
          <w:t>2g</w:t>
        </w:r>
      </w:smartTag>
      <w:r w:rsidRPr="00C37EFE">
        <w:rPr>
          <w:rFonts w:ascii="宋体" w:hAnsi="宋体" w:hint="eastAsia"/>
          <w:sz w:val="32"/>
          <w:szCs w:val="32"/>
        </w:rPr>
        <w:t xml:space="preserve">/kg或者饮食的2%），并且在该剂量下毒性很小或未观察到毒性，则可以认为已经充分评估了其急性毒性。 </w:t>
      </w:r>
    </w:p>
    <w:p w14:paraId="6918C45B" w14:textId="77777777" w:rsidR="000F65C3" w:rsidRPr="00C37EFE" w:rsidRDefault="000F65C3" w:rsidP="000F65C3">
      <w:pPr>
        <w:numPr>
          <w:ilvl w:val="1"/>
          <w:numId w:val="1"/>
        </w:numPr>
        <w:spacing w:line="560" w:lineRule="exact"/>
        <w:ind w:hanging="300"/>
        <w:rPr>
          <w:rFonts w:ascii="宋体" w:hAnsi="宋体"/>
          <w:sz w:val="32"/>
          <w:szCs w:val="32"/>
        </w:rPr>
      </w:pPr>
      <w:r w:rsidRPr="00C37EFE">
        <w:rPr>
          <w:rFonts w:ascii="宋体" w:hAnsi="宋体" w:hint="eastAsia"/>
          <w:sz w:val="32"/>
          <w:szCs w:val="32"/>
        </w:rPr>
        <w:lastRenderedPageBreak/>
        <w:t>按照临床相关的给药途径，以与非临床安全性评价中相同的动物种属来研究辅料的吸收、分布、代谢和排泄（参见SFDA《化学药物非临床药代动力学研究技术指导原则》）。</w:t>
      </w:r>
    </w:p>
    <w:p w14:paraId="7631B577" w14:textId="77777777" w:rsidR="000F65C3" w:rsidRPr="00C37EFE" w:rsidRDefault="000F65C3" w:rsidP="000F65C3">
      <w:pPr>
        <w:numPr>
          <w:ilvl w:val="1"/>
          <w:numId w:val="1"/>
        </w:numPr>
        <w:spacing w:line="560" w:lineRule="exact"/>
        <w:ind w:hanging="300"/>
        <w:rPr>
          <w:rFonts w:ascii="宋体" w:hAnsi="宋体"/>
          <w:sz w:val="32"/>
          <w:szCs w:val="32"/>
        </w:rPr>
      </w:pPr>
      <w:r w:rsidRPr="00C37EFE">
        <w:rPr>
          <w:rFonts w:ascii="宋体" w:hAnsi="宋体" w:hint="eastAsia"/>
          <w:sz w:val="32"/>
          <w:szCs w:val="32"/>
        </w:rPr>
        <w:t>按照SFDA《药物遗传毒性研究技术指导原则》中所讨论的标准试验组合来评价辅料的遗传毒性。</w:t>
      </w:r>
    </w:p>
    <w:p w14:paraId="6C0B9156" w14:textId="77777777" w:rsidR="000F65C3" w:rsidRPr="00C37EFE" w:rsidRDefault="000F65C3" w:rsidP="000F65C3">
      <w:pPr>
        <w:numPr>
          <w:ilvl w:val="1"/>
          <w:numId w:val="1"/>
        </w:numPr>
        <w:spacing w:line="560" w:lineRule="exact"/>
        <w:ind w:hanging="300"/>
        <w:rPr>
          <w:rFonts w:ascii="宋体" w:hAnsi="宋体"/>
          <w:sz w:val="32"/>
          <w:szCs w:val="32"/>
        </w:rPr>
      </w:pPr>
      <w:r w:rsidRPr="00C37EFE">
        <w:rPr>
          <w:rFonts w:ascii="宋体" w:hAnsi="宋体" w:hint="eastAsia"/>
          <w:sz w:val="32"/>
          <w:szCs w:val="32"/>
        </w:rPr>
        <w:t>按照临床拟用途径，以一种啮齿类和一种非啮齿类动物，进行1个月的重复给药毒性试验（参见SFDA《化药药物长期毒性研究技术指导原则》）。试验中应包括全面的临床病理学、组织病理学和毒代动力学分析。</w:t>
      </w:r>
    </w:p>
    <w:p w14:paraId="12D37ADE" w14:textId="77777777" w:rsidR="000F65C3" w:rsidRPr="00C37EFE" w:rsidRDefault="000F65C3" w:rsidP="000F65C3">
      <w:pPr>
        <w:numPr>
          <w:ilvl w:val="1"/>
          <w:numId w:val="1"/>
        </w:numPr>
        <w:spacing w:line="560" w:lineRule="exact"/>
        <w:ind w:hanging="300"/>
        <w:rPr>
          <w:rFonts w:ascii="宋体" w:hAnsi="宋体"/>
          <w:sz w:val="32"/>
          <w:szCs w:val="32"/>
        </w:rPr>
      </w:pPr>
      <w:r w:rsidRPr="00C37EFE">
        <w:rPr>
          <w:rFonts w:ascii="宋体" w:hAnsi="宋体" w:hint="eastAsia"/>
          <w:sz w:val="32"/>
          <w:szCs w:val="32"/>
        </w:rPr>
        <w:t>按照SFDA《药物生殖毒性研究技术指导原则》中所讨论的方法来评价辅料的生殖毒性，包括：</w:t>
      </w:r>
    </w:p>
    <w:p w14:paraId="561D5C68" w14:textId="77777777" w:rsidR="000F65C3" w:rsidRPr="00C37EFE" w:rsidRDefault="000F65C3" w:rsidP="000F65C3">
      <w:pPr>
        <w:spacing w:line="560" w:lineRule="exact"/>
        <w:ind w:left="1440"/>
        <w:rPr>
          <w:rFonts w:ascii="宋体" w:hAnsi="宋体"/>
          <w:sz w:val="32"/>
          <w:szCs w:val="32"/>
        </w:rPr>
      </w:pPr>
      <w:r w:rsidRPr="00C37EFE">
        <w:rPr>
          <w:rFonts w:ascii="宋体" w:hAnsi="宋体" w:hint="eastAsia"/>
          <w:sz w:val="32"/>
          <w:szCs w:val="32"/>
        </w:rPr>
        <w:t>1.评价对生育力或至着床的早期胚胎发育的潜在影响；</w:t>
      </w:r>
    </w:p>
    <w:p w14:paraId="3F6EDFBE" w14:textId="77777777" w:rsidR="000F65C3" w:rsidRPr="00C37EFE" w:rsidRDefault="000F65C3" w:rsidP="000F65C3">
      <w:pPr>
        <w:spacing w:line="560" w:lineRule="exact"/>
        <w:ind w:left="1440"/>
        <w:rPr>
          <w:rFonts w:ascii="宋体" w:hAnsi="宋体"/>
          <w:sz w:val="32"/>
          <w:szCs w:val="32"/>
        </w:rPr>
      </w:pPr>
      <w:r w:rsidRPr="00C37EFE">
        <w:rPr>
          <w:rFonts w:ascii="宋体" w:hAnsi="宋体" w:hint="eastAsia"/>
          <w:sz w:val="32"/>
          <w:szCs w:val="32"/>
        </w:rPr>
        <w:t>2.评估对一种啮齿类和一种非啮齿类动物的致畸性；</w:t>
      </w:r>
    </w:p>
    <w:p w14:paraId="1B8A4D53" w14:textId="77777777" w:rsidR="000F65C3" w:rsidRPr="00C37EFE" w:rsidRDefault="000F65C3" w:rsidP="000F65C3">
      <w:pPr>
        <w:spacing w:line="560" w:lineRule="exact"/>
        <w:ind w:left="1440"/>
        <w:rPr>
          <w:rFonts w:ascii="宋体" w:hAnsi="宋体"/>
          <w:sz w:val="32"/>
          <w:szCs w:val="32"/>
        </w:rPr>
      </w:pPr>
      <w:r w:rsidRPr="00C37EFE">
        <w:rPr>
          <w:rFonts w:ascii="宋体" w:hAnsi="宋体" w:hint="eastAsia"/>
          <w:sz w:val="32"/>
          <w:szCs w:val="32"/>
        </w:rPr>
        <w:t>3.评估对围产期的影响，包括母体功能。</w:t>
      </w:r>
    </w:p>
    <w:p w14:paraId="23C51FB4" w14:textId="77777777" w:rsidR="000F65C3" w:rsidRPr="00C37EFE" w:rsidRDefault="000F65C3" w:rsidP="000F65C3">
      <w:pPr>
        <w:spacing w:line="560" w:lineRule="exact"/>
        <w:ind w:leftChars="257" w:left="958" w:hangingChars="130" w:hanging="418"/>
        <w:outlineLvl w:val="1"/>
        <w:rPr>
          <w:rFonts w:ascii="宋体" w:hAnsi="宋体"/>
          <w:b/>
          <w:sz w:val="32"/>
          <w:szCs w:val="32"/>
        </w:rPr>
      </w:pPr>
      <w:bookmarkStart w:id="5" w:name="_Toc277602072"/>
      <w:r w:rsidRPr="00C37EFE">
        <w:rPr>
          <w:rFonts w:ascii="宋体" w:hAnsi="宋体" w:hint="eastAsia"/>
          <w:b/>
          <w:sz w:val="32"/>
          <w:szCs w:val="32"/>
        </w:rPr>
        <w:t>（三） 拟中期使用的辅料</w:t>
      </w:r>
      <w:bookmarkEnd w:id="5"/>
    </w:p>
    <w:p w14:paraId="5C5DF8DB"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对于拟定每个治疗阶段的临床使用时间超过2周但是少于或者等于3个月的药物的新辅料，建议至少进行以下非临床安全性评价：</w:t>
      </w:r>
    </w:p>
    <w:p w14:paraId="1C20D9CE" w14:textId="77777777" w:rsidR="000F65C3" w:rsidRPr="00C37EFE" w:rsidRDefault="000F65C3" w:rsidP="000F65C3">
      <w:pPr>
        <w:numPr>
          <w:ilvl w:val="1"/>
          <w:numId w:val="2"/>
        </w:numPr>
        <w:tabs>
          <w:tab w:val="num" w:pos="900"/>
        </w:tabs>
        <w:spacing w:line="560" w:lineRule="exact"/>
        <w:ind w:left="900" w:hanging="360"/>
        <w:rPr>
          <w:rFonts w:ascii="宋体" w:hAnsi="宋体"/>
          <w:sz w:val="32"/>
          <w:szCs w:val="32"/>
        </w:rPr>
      </w:pPr>
      <w:r w:rsidRPr="00C37EFE">
        <w:rPr>
          <w:rFonts w:ascii="宋体" w:hAnsi="宋体" w:hint="eastAsia"/>
          <w:sz w:val="32"/>
          <w:szCs w:val="32"/>
        </w:rPr>
        <w:t>本指导原则三部分（一）和（二）中除1个月毒性试验以外的所有试验。注意：如果在短期研究中观察到毒性或者明显的生物学活性，则1个月毒性试验对确定3个月试验的剂量是有用的。</w:t>
      </w:r>
    </w:p>
    <w:p w14:paraId="33506B0F" w14:textId="77777777" w:rsidR="000F65C3" w:rsidRPr="00C37EFE" w:rsidRDefault="000F65C3" w:rsidP="000F65C3">
      <w:pPr>
        <w:numPr>
          <w:ilvl w:val="1"/>
          <w:numId w:val="2"/>
        </w:numPr>
        <w:tabs>
          <w:tab w:val="num" w:pos="900"/>
        </w:tabs>
        <w:spacing w:line="560" w:lineRule="exact"/>
        <w:ind w:left="900" w:hanging="360"/>
        <w:rPr>
          <w:rFonts w:ascii="宋体" w:hAnsi="宋体"/>
          <w:sz w:val="32"/>
          <w:szCs w:val="32"/>
        </w:rPr>
      </w:pPr>
      <w:r w:rsidRPr="00C37EFE">
        <w:rPr>
          <w:rFonts w:ascii="宋体" w:hAnsi="宋体" w:hint="eastAsia"/>
          <w:sz w:val="32"/>
          <w:szCs w:val="32"/>
        </w:rPr>
        <w:lastRenderedPageBreak/>
        <w:t>在一种啮齿类和一种非啮齿类动物中、以适当的给药途径进行3个月的重复给药毒性试验。试验中应包括全面的临床病理学、组织病理学和毒代动力学分析。</w:t>
      </w:r>
    </w:p>
    <w:p w14:paraId="2F27F345" w14:textId="77777777" w:rsidR="000F65C3" w:rsidRPr="00C37EFE" w:rsidRDefault="000F65C3" w:rsidP="000F65C3">
      <w:pPr>
        <w:numPr>
          <w:ilvl w:val="1"/>
          <w:numId w:val="2"/>
        </w:numPr>
        <w:tabs>
          <w:tab w:val="num" w:pos="900"/>
        </w:tabs>
        <w:spacing w:line="560" w:lineRule="exact"/>
        <w:ind w:left="900" w:hanging="360"/>
        <w:rPr>
          <w:rFonts w:ascii="宋体" w:hAnsi="宋体"/>
          <w:sz w:val="32"/>
          <w:szCs w:val="32"/>
        </w:rPr>
      </w:pPr>
      <w:r w:rsidRPr="00C37EFE">
        <w:rPr>
          <w:rFonts w:ascii="宋体" w:hAnsi="宋体" w:hint="eastAsia"/>
          <w:sz w:val="32"/>
          <w:szCs w:val="32"/>
        </w:rPr>
        <w:t>根据已经完成的试验中发现的问题，可能需要进行附加研究（如涉及肠胃外给药的试验）。</w:t>
      </w:r>
    </w:p>
    <w:p w14:paraId="2AAC6939" w14:textId="77777777" w:rsidR="000F65C3" w:rsidRPr="00C37EFE" w:rsidRDefault="000F65C3" w:rsidP="000F65C3">
      <w:pPr>
        <w:spacing w:line="560" w:lineRule="exact"/>
        <w:ind w:leftChars="257" w:left="958" w:hangingChars="130" w:hanging="418"/>
        <w:outlineLvl w:val="1"/>
        <w:rPr>
          <w:rFonts w:ascii="宋体" w:hAnsi="宋体"/>
          <w:b/>
          <w:sz w:val="32"/>
          <w:szCs w:val="32"/>
        </w:rPr>
      </w:pPr>
      <w:bookmarkStart w:id="6" w:name="_Toc277602073"/>
      <w:r w:rsidRPr="00C37EFE">
        <w:rPr>
          <w:rFonts w:ascii="宋体" w:hAnsi="宋体" w:hint="eastAsia"/>
          <w:b/>
          <w:sz w:val="32"/>
          <w:szCs w:val="32"/>
        </w:rPr>
        <w:t>（四） 拟长期使用的辅料</w:t>
      </w:r>
      <w:bookmarkEnd w:id="6"/>
    </w:p>
    <w:p w14:paraId="334D6A4D" w14:textId="77777777" w:rsidR="000F65C3" w:rsidRPr="00C37EFE" w:rsidRDefault="000F65C3" w:rsidP="000F65C3">
      <w:pPr>
        <w:spacing w:line="560" w:lineRule="exact"/>
        <w:ind w:firstLineChars="192" w:firstLine="614"/>
        <w:rPr>
          <w:rFonts w:ascii="宋体" w:hAnsi="宋体"/>
          <w:sz w:val="32"/>
          <w:szCs w:val="32"/>
        </w:rPr>
      </w:pPr>
      <w:r w:rsidRPr="00C37EFE">
        <w:rPr>
          <w:rFonts w:ascii="宋体" w:hAnsi="宋体" w:hint="eastAsia"/>
          <w:sz w:val="32"/>
          <w:szCs w:val="32"/>
        </w:rPr>
        <w:t>对于拟定临床使用时间超过3个月（为单一治疗阶段，或者治疗慢性或复发性疾病的多疗程治疗）的药物中新辅料，建议至少进行以下非临床安全性评价：</w:t>
      </w:r>
    </w:p>
    <w:p w14:paraId="3BF3E776" w14:textId="77777777" w:rsidR="000F65C3" w:rsidRPr="00C37EFE" w:rsidRDefault="000F65C3" w:rsidP="000F65C3">
      <w:pPr>
        <w:numPr>
          <w:ilvl w:val="1"/>
          <w:numId w:val="3"/>
        </w:numPr>
        <w:tabs>
          <w:tab w:val="num" w:pos="900"/>
        </w:tabs>
        <w:spacing w:line="560" w:lineRule="exact"/>
        <w:ind w:left="900" w:hanging="360"/>
        <w:rPr>
          <w:rFonts w:ascii="宋体" w:hAnsi="宋体"/>
          <w:sz w:val="32"/>
          <w:szCs w:val="32"/>
        </w:rPr>
      </w:pPr>
      <w:r w:rsidRPr="00C37EFE">
        <w:rPr>
          <w:rFonts w:ascii="宋体" w:hAnsi="宋体" w:hint="eastAsia"/>
          <w:sz w:val="32"/>
          <w:szCs w:val="32"/>
        </w:rPr>
        <w:t>本指导原则第三部分（一）、（二）和（三）的所有研究。注意，1个月和3个月毒性试验不是必需的，但是可以提供有用的剂量选择数据。</w:t>
      </w:r>
    </w:p>
    <w:p w14:paraId="17036B64" w14:textId="77777777" w:rsidR="000F65C3" w:rsidRPr="00C37EFE" w:rsidRDefault="000F65C3" w:rsidP="000F65C3">
      <w:pPr>
        <w:numPr>
          <w:ilvl w:val="1"/>
          <w:numId w:val="3"/>
        </w:numPr>
        <w:tabs>
          <w:tab w:val="num" w:pos="900"/>
        </w:tabs>
        <w:spacing w:line="560" w:lineRule="exact"/>
        <w:ind w:left="900" w:hanging="360"/>
        <w:rPr>
          <w:rFonts w:ascii="宋体" w:hAnsi="宋体"/>
          <w:sz w:val="32"/>
          <w:szCs w:val="32"/>
        </w:rPr>
      </w:pPr>
      <w:r w:rsidRPr="00C37EFE">
        <w:rPr>
          <w:rFonts w:ascii="宋体" w:hAnsi="宋体" w:hint="eastAsia"/>
          <w:sz w:val="32"/>
          <w:szCs w:val="32"/>
        </w:rPr>
        <w:t>在一种啮齿类动物中，以合适的给药途径进行6个月重复给药毒</w:t>
      </w:r>
      <w:r w:rsidRPr="00C37EFE">
        <w:rPr>
          <w:rFonts w:ascii="宋体" w:hAnsi="宋体" w:hint="eastAsia"/>
          <w:spacing w:val="4"/>
          <w:sz w:val="32"/>
          <w:szCs w:val="32"/>
        </w:rPr>
        <w:t>性试验。重要的是，试验中包括全面的临床病理学、组织病理学和毒代动力学分析。建议对于低毒性辅料的试验采用限定剂量作为最大剂量。</w:t>
      </w:r>
    </w:p>
    <w:p w14:paraId="793BA6C7" w14:textId="77777777" w:rsidR="000F65C3" w:rsidRPr="00C37EFE" w:rsidRDefault="000F65C3" w:rsidP="000F65C3">
      <w:pPr>
        <w:numPr>
          <w:ilvl w:val="1"/>
          <w:numId w:val="3"/>
        </w:numPr>
        <w:tabs>
          <w:tab w:val="num" w:pos="900"/>
        </w:tabs>
        <w:spacing w:line="560" w:lineRule="exact"/>
        <w:ind w:left="900" w:hanging="360"/>
        <w:rPr>
          <w:rFonts w:ascii="宋体" w:hAnsi="宋体"/>
          <w:sz w:val="32"/>
          <w:szCs w:val="32"/>
        </w:rPr>
      </w:pPr>
      <w:r w:rsidRPr="00C37EFE">
        <w:rPr>
          <w:rFonts w:ascii="宋体" w:hAnsi="宋体" w:hint="eastAsia"/>
          <w:sz w:val="32"/>
          <w:szCs w:val="32"/>
        </w:rPr>
        <w:t>在非啮齿类哺乳动物中，以合适的途径进行长期毒性试验非常重要。如果在亚慢性试验中未观察到毒性和药理作用，则需要进行6个月试验。如果在更短时间的试验中或者在啮齿类动物中检测到毒性，则在非啮齿动物中进行9-12个月的长期试验。</w:t>
      </w:r>
    </w:p>
    <w:p w14:paraId="007A1D21" w14:textId="77777777" w:rsidR="000F65C3" w:rsidRPr="00C37EFE" w:rsidRDefault="000F65C3" w:rsidP="000F65C3">
      <w:pPr>
        <w:numPr>
          <w:ilvl w:val="1"/>
          <w:numId w:val="3"/>
        </w:numPr>
        <w:tabs>
          <w:tab w:val="num" w:pos="900"/>
        </w:tabs>
        <w:spacing w:line="560" w:lineRule="exact"/>
        <w:ind w:left="900" w:hanging="360"/>
        <w:rPr>
          <w:rFonts w:ascii="宋体" w:hAnsi="宋体"/>
          <w:sz w:val="32"/>
          <w:szCs w:val="32"/>
        </w:rPr>
      </w:pPr>
      <w:r w:rsidRPr="00C37EFE">
        <w:rPr>
          <w:rFonts w:ascii="宋体" w:hAnsi="宋体" w:hint="eastAsia"/>
          <w:sz w:val="32"/>
          <w:szCs w:val="32"/>
        </w:rPr>
        <w:t>可以采用下面的一种方法来评价潜在的致癌 [见人用药</w:t>
      </w:r>
      <w:r w:rsidRPr="00C37EFE">
        <w:rPr>
          <w:rFonts w:ascii="宋体" w:hAnsi="宋体" w:hint="eastAsia"/>
          <w:sz w:val="32"/>
          <w:szCs w:val="32"/>
        </w:rPr>
        <w:lastRenderedPageBreak/>
        <w:t>物注册技术要求国际协调会（以下简称ICH）《S1A药物致癌试验必要性的指导原则》， SFDA药物致癌试验必要性的技术指导原则]：</w:t>
      </w:r>
    </w:p>
    <w:p w14:paraId="67BC1FC7"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1.在两种合适的动物种属中以相关的给药途径进行2年的致癌性试验。</w:t>
      </w:r>
    </w:p>
    <w:p w14:paraId="371BF641"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2.在一种啮齿类动物中进行一项2年致癌性试验，加上在另外一种啮齿类中进行一项替代试验。</w:t>
      </w:r>
    </w:p>
    <w:p w14:paraId="46C2DC34"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3.在交不需要致癌性试验数据合理性的文件。比如，基于阴性的遗传毒性数据（参见SFDA《药物遗传毒性研究技术指导原则》推荐的试验）、有限的全身暴露、非临床的和临床的药代动力学数据证明无累积、最大可行剂量（MFD）下进行的长期毒性试验获得阴性的组织病理学数据（不存在癌前病变和其他毒理作用）以及对相同类型其他辅料的认识等，认为不进行致癌性试验是合理的。关于本方法适用性的确定，将采用证据权重法，在具体问题具体分析的基础上做出。在其他情况下，有效的细胞转化试验，或大鼠2年致癌性试验或一种转基因动物试验结果都是阴性的，则可以充分的支持证据权重评价，来说明辅料潜在的致癌性。</w:t>
      </w:r>
      <w:bookmarkStart w:id="7" w:name="_Toc277602074"/>
    </w:p>
    <w:p w14:paraId="3C868065" w14:textId="77777777" w:rsidR="000F65C3" w:rsidRPr="00C37EFE" w:rsidRDefault="000F65C3" w:rsidP="000F65C3">
      <w:pPr>
        <w:spacing w:line="560" w:lineRule="exact"/>
        <w:ind w:firstLineChars="200" w:firstLine="643"/>
        <w:outlineLvl w:val="1"/>
        <w:rPr>
          <w:rFonts w:ascii="宋体" w:hAnsi="宋体"/>
          <w:b/>
          <w:sz w:val="32"/>
          <w:szCs w:val="32"/>
        </w:rPr>
      </w:pPr>
      <w:r w:rsidRPr="00C37EFE">
        <w:rPr>
          <w:rFonts w:ascii="宋体" w:hAnsi="宋体" w:hint="eastAsia"/>
          <w:b/>
          <w:sz w:val="32"/>
          <w:szCs w:val="32"/>
        </w:rPr>
        <w:t>（五） 用于肺部、注射或局部用药的辅料</w:t>
      </w:r>
      <w:bookmarkEnd w:id="7"/>
    </w:p>
    <w:p w14:paraId="0EF883CD"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对拟用于注射、局部（经皮、鼻腔、口腔给药，眼科、直肠或阴道用药）或肺部给药的药物中的新辅料，建议安全性评价至少包括以下方面（参见SFDA《化学药物刺激性、过敏性和溶血</w:t>
      </w:r>
      <w:r w:rsidRPr="00C37EFE">
        <w:rPr>
          <w:rFonts w:ascii="宋体" w:hAnsi="宋体" w:hint="eastAsia"/>
          <w:sz w:val="32"/>
          <w:szCs w:val="32"/>
        </w:rPr>
        <w:lastRenderedPageBreak/>
        <w:t>性研究技术指导原则》）：</w:t>
      </w:r>
    </w:p>
    <w:p w14:paraId="6EE51288" w14:textId="77777777" w:rsidR="000F65C3" w:rsidRPr="00C37EFE" w:rsidRDefault="000F65C3" w:rsidP="000F65C3">
      <w:pPr>
        <w:numPr>
          <w:ilvl w:val="1"/>
          <w:numId w:val="4"/>
        </w:numPr>
        <w:spacing w:line="560" w:lineRule="exact"/>
        <w:rPr>
          <w:rFonts w:ascii="宋体" w:hAnsi="宋体"/>
          <w:sz w:val="32"/>
          <w:szCs w:val="32"/>
        </w:rPr>
      </w:pPr>
      <w:r w:rsidRPr="00C37EFE">
        <w:rPr>
          <w:rFonts w:ascii="宋体" w:hAnsi="宋体" w:hint="eastAsia"/>
          <w:sz w:val="32"/>
          <w:szCs w:val="32"/>
        </w:rPr>
        <w:t>可通过适当的给药途径进行第三部分（一）、（二）、（三）和（四）所述的所有研究。如果在辅料评价时可以获得拟上市药物处方的信息，最好使用拟上市药品进行评价。</w:t>
      </w:r>
    </w:p>
    <w:p w14:paraId="6504DB0C" w14:textId="77777777" w:rsidR="000F65C3" w:rsidRPr="00C37EFE" w:rsidRDefault="000F65C3" w:rsidP="000F65C3">
      <w:pPr>
        <w:numPr>
          <w:ilvl w:val="1"/>
          <w:numId w:val="4"/>
        </w:numPr>
        <w:spacing w:line="560" w:lineRule="exact"/>
        <w:rPr>
          <w:rFonts w:ascii="宋体" w:hAnsi="宋体"/>
          <w:sz w:val="32"/>
          <w:szCs w:val="32"/>
        </w:rPr>
      </w:pPr>
      <w:r w:rsidRPr="00C37EFE">
        <w:rPr>
          <w:rFonts w:ascii="宋体" w:hAnsi="宋体" w:hint="eastAsia"/>
          <w:sz w:val="32"/>
          <w:szCs w:val="32"/>
        </w:rPr>
        <w:t>致敏试验（如豚鼠最大化试验或者鼠局部淋巴结试验）。更多的信息可参考ICH指导原则S8人用药物免疫毒性研究或FDA CDER行业指南新药的免疫毒性评价。</w:t>
      </w:r>
    </w:p>
    <w:p w14:paraId="06544E14" w14:textId="77777777" w:rsidR="000F65C3" w:rsidRPr="00C37EFE" w:rsidRDefault="000F65C3" w:rsidP="000F65C3">
      <w:pPr>
        <w:numPr>
          <w:ilvl w:val="1"/>
          <w:numId w:val="4"/>
        </w:numPr>
        <w:spacing w:line="560" w:lineRule="exact"/>
        <w:rPr>
          <w:rFonts w:ascii="宋体" w:hAnsi="宋体"/>
          <w:sz w:val="32"/>
          <w:szCs w:val="32"/>
        </w:rPr>
      </w:pPr>
      <w:r w:rsidRPr="00C37EFE">
        <w:rPr>
          <w:rFonts w:ascii="宋体" w:hAnsi="宋体" w:hint="eastAsia"/>
          <w:sz w:val="32"/>
          <w:szCs w:val="32"/>
        </w:rPr>
        <w:t>对于拟注射使用的辅料，应进行以下考虑：</w:t>
      </w:r>
    </w:p>
    <w:p w14:paraId="6B440C43"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1.在静脉给药（推注和/或静注）拟用浓度下进行体外溶血试验，以确定其溶血性。</w:t>
      </w:r>
    </w:p>
    <w:p w14:paraId="2C974C9E"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2.在辅料肌肉注射或皮下注射给药的拟定浓度下测定得到的肌酐激酶的血浆浓度，可以提供潜在肌肉损伤的信息。</w:t>
      </w:r>
    </w:p>
    <w:p w14:paraId="436320FD"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3.在行与局部耐受性相关的蛋白质结合性评价。</w:t>
      </w:r>
    </w:p>
    <w:p w14:paraId="4CF570B6"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拟局部使用的辅料，如果在最大暴露量下进行的临床药代动力学试验提示，患者将会有辅料或其代谢产物的全身暴露，尤其是如果在通过临床用药途径进行的非临床研究中观察到有限的全身暴露，可能需要来自临床拟用途径以及口服或者肠胃外途径给药的毒理学研究的支持。</w:t>
      </w:r>
    </w:p>
    <w:p w14:paraId="7EF1D80C" w14:textId="77777777" w:rsidR="000F65C3" w:rsidRPr="00C37EFE" w:rsidRDefault="000F65C3" w:rsidP="000F65C3">
      <w:pPr>
        <w:numPr>
          <w:ilvl w:val="1"/>
          <w:numId w:val="5"/>
        </w:numPr>
        <w:spacing w:line="560" w:lineRule="exact"/>
        <w:rPr>
          <w:rFonts w:ascii="宋体" w:hAnsi="宋体"/>
          <w:sz w:val="32"/>
          <w:szCs w:val="32"/>
        </w:rPr>
      </w:pPr>
      <w:r w:rsidRPr="00C37EFE">
        <w:rPr>
          <w:rFonts w:ascii="宋体" w:hAnsi="宋体" w:hint="eastAsia"/>
          <w:sz w:val="32"/>
          <w:szCs w:val="32"/>
        </w:rPr>
        <w:t>对于局部经皮给药和眼科用药物，应进行眼刺激性试验。</w:t>
      </w:r>
      <w:bookmarkStart w:id="8" w:name="_Toc277602075"/>
    </w:p>
    <w:p w14:paraId="1EFA2DB6" w14:textId="77777777" w:rsidR="000F65C3" w:rsidRPr="00C37EFE" w:rsidRDefault="000F65C3" w:rsidP="000F65C3">
      <w:pPr>
        <w:spacing w:line="560" w:lineRule="exact"/>
        <w:ind w:leftChars="257" w:left="958" w:hangingChars="130" w:hanging="418"/>
        <w:outlineLvl w:val="1"/>
        <w:rPr>
          <w:rFonts w:ascii="宋体" w:hAnsi="宋体"/>
          <w:b/>
          <w:sz w:val="32"/>
          <w:szCs w:val="32"/>
        </w:rPr>
      </w:pPr>
      <w:r w:rsidRPr="00C37EFE">
        <w:rPr>
          <w:rFonts w:ascii="宋体" w:hAnsi="宋体" w:hint="eastAsia"/>
          <w:b/>
          <w:sz w:val="32"/>
          <w:szCs w:val="32"/>
        </w:rPr>
        <w:t>（六） 光毒性研究</w:t>
      </w:r>
      <w:bookmarkEnd w:id="8"/>
    </w:p>
    <w:p w14:paraId="7EB86193"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可参考FDA CDER行业指南光安全性试验的描述，来评价需要进行光毒性试验的辅料，应对辅料或终产品进行测试。</w:t>
      </w:r>
    </w:p>
    <w:p w14:paraId="02844908" w14:textId="77777777" w:rsidR="000F65C3" w:rsidRPr="00C37EFE" w:rsidRDefault="000F65C3" w:rsidP="000F65C3">
      <w:pPr>
        <w:spacing w:line="560" w:lineRule="exact"/>
        <w:ind w:firstLineChars="200" w:firstLine="640"/>
        <w:rPr>
          <w:rFonts w:ascii="宋体" w:hAnsi="宋体"/>
          <w:sz w:val="32"/>
          <w:szCs w:val="32"/>
        </w:rPr>
      </w:pPr>
    </w:p>
    <w:p w14:paraId="27F25880" w14:textId="77777777" w:rsidR="000F65C3" w:rsidRPr="00C37EFE" w:rsidRDefault="000F65C3" w:rsidP="000F65C3">
      <w:pPr>
        <w:spacing w:line="560" w:lineRule="exact"/>
        <w:ind w:firstLineChars="200" w:firstLine="640"/>
        <w:jc w:val="center"/>
        <w:rPr>
          <w:rFonts w:ascii="宋体" w:hAnsi="宋体"/>
          <w:sz w:val="32"/>
          <w:szCs w:val="32"/>
        </w:rPr>
      </w:pPr>
    </w:p>
    <w:p w14:paraId="173A00DE" w14:textId="77777777" w:rsidR="000F65C3" w:rsidRPr="00C37EFE" w:rsidRDefault="000F65C3" w:rsidP="000F65C3">
      <w:pPr>
        <w:spacing w:line="560" w:lineRule="exact"/>
        <w:ind w:firstLineChars="200" w:firstLine="640"/>
        <w:jc w:val="center"/>
        <w:rPr>
          <w:rFonts w:ascii="宋体" w:hAnsi="宋体"/>
          <w:sz w:val="32"/>
          <w:szCs w:val="32"/>
        </w:rPr>
      </w:pPr>
    </w:p>
    <w:p w14:paraId="27401160" w14:textId="77777777" w:rsidR="000F65C3" w:rsidRPr="00C37EFE" w:rsidRDefault="000F65C3" w:rsidP="000F65C3">
      <w:pPr>
        <w:spacing w:line="560" w:lineRule="exact"/>
        <w:ind w:firstLineChars="200" w:firstLine="640"/>
        <w:jc w:val="center"/>
        <w:rPr>
          <w:rFonts w:ascii="宋体" w:hAnsi="宋体"/>
          <w:sz w:val="32"/>
          <w:szCs w:val="32"/>
        </w:rPr>
      </w:pPr>
    </w:p>
    <w:p w14:paraId="5FE769B6" w14:textId="77777777" w:rsidR="000F65C3" w:rsidRPr="00C37EFE" w:rsidRDefault="000F65C3" w:rsidP="000F65C3">
      <w:pPr>
        <w:spacing w:line="560" w:lineRule="exact"/>
        <w:ind w:firstLineChars="200" w:firstLine="640"/>
        <w:jc w:val="center"/>
        <w:rPr>
          <w:rFonts w:ascii="宋体" w:hAnsi="宋体"/>
          <w:sz w:val="32"/>
          <w:szCs w:val="32"/>
        </w:rPr>
      </w:pPr>
    </w:p>
    <w:p w14:paraId="4BCF6327" w14:textId="77777777" w:rsidR="000F65C3" w:rsidRPr="00C37EFE" w:rsidRDefault="000F65C3" w:rsidP="000F65C3">
      <w:pPr>
        <w:spacing w:line="560" w:lineRule="exact"/>
        <w:ind w:firstLineChars="200" w:firstLine="800"/>
        <w:jc w:val="center"/>
        <w:rPr>
          <w:rFonts w:ascii="宋体" w:hAnsi="宋体"/>
          <w:sz w:val="40"/>
          <w:szCs w:val="40"/>
        </w:rPr>
      </w:pPr>
      <w:r w:rsidRPr="00C37EFE">
        <w:rPr>
          <w:rFonts w:ascii="宋体" w:hAnsi="宋体" w:hint="eastAsia"/>
          <w:sz w:val="40"/>
          <w:szCs w:val="40"/>
        </w:rPr>
        <w:t>参考文献</w:t>
      </w:r>
    </w:p>
    <w:p w14:paraId="6E1BA88E" w14:textId="77777777" w:rsidR="000F65C3" w:rsidRPr="00C37EFE" w:rsidRDefault="000F65C3" w:rsidP="000F65C3">
      <w:pPr>
        <w:spacing w:line="560" w:lineRule="exact"/>
        <w:ind w:firstLineChars="200" w:firstLine="643"/>
        <w:jc w:val="center"/>
        <w:rPr>
          <w:rFonts w:ascii="宋体" w:hAnsi="宋体"/>
          <w:b/>
          <w:sz w:val="32"/>
          <w:szCs w:val="32"/>
        </w:rPr>
      </w:pPr>
    </w:p>
    <w:p w14:paraId="361E442D"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sz w:val="32"/>
          <w:szCs w:val="32"/>
        </w:rPr>
        <w:t>FDA. Guidance for industry: Nonclinical studies for the safety evaluation of pharmaceutical excipients. 2005</w:t>
      </w:r>
    </w:p>
    <w:p w14:paraId="422A3E1A" w14:textId="77777777" w:rsidR="000F65C3" w:rsidRPr="00C37EFE" w:rsidRDefault="000F65C3" w:rsidP="000F65C3">
      <w:pPr>
        <w:spacing w:line="560" w:lineRule="exact"/>
        <w:ind w:firstLineChars="200" w:firstLine="643"/>
        <w:jc w:val="center"/>
        <w:rPr>
          <w:rFonts w:ascii="宋体" w:hAnsi="宋体"/>
          <w:sz w:val="40"/>
          <w:szCs w:val="40"/>
        </w:rPr>
      </w:pPr>
      <w:r w:rsidRPr="00C37EFE">
        <w:rPr>
          <w:rFonts w:ascii="宋体" w:hAnsi="宋体"/>
          <w:b/>
          <w:sz w:val="32"/>
          <w:szCs w:val="32"/>
        </w:rPr>
        <w:br w:type="page"/>
      </w:r>
      <w:r w:rsidRPr="00C37EFE">
        <w:rPr>
          <w:rFonts w:ascii="宋体" w:hAnsi="宋体" w:hint="eastAsia"/>
          <w:sz w:val="40"/>
          <w:szCs w:val="40"/>
        </w:rPr>
        <w:lastRenderedPageBreak/>
        <w:t>起草说明</w:t>
      </w:r>
    </w:p>
    <w:p w14:paraId="699D376C" w14:textId="77777777" w:rsidR="000F65C3" w:rsidRPr="00C37EFE" w:rsidRDefault="000F65C3" w:rsidP="000F65C3">
      <w:pPr>
        <w:spacing w:line="560" w:lineRule="exact"/>
        <w:ind w:firstLineChars="200" w:firstLine="643"/>
        <w:jc w:val="center"/>
        <w:rPr>
          <w:rFonts w:ascii="宋体" w:hAnsi="宋体"/>
          <w:b/>
          <w:sz w:val="32"/>
          <w:szCs w:val="32"/>
        </w:rPr>
      </w:pPr>
    </w:p>
    <w:p w14:paraId="4F640B1E"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1.参考指导原则为US FDA的指导原则，为了适应中国实际，将该指导原则中仅针对美国法规的相关内容部分删除。</w:t>
      </w:r>
    </w:p>
    <w:p w14:paraId="4C0B526B"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2.某项安全性研究需要参考的相关指导原则，如果SFDA已经发布，则将US FDA指导原则原文中的ICH或FDA相关指导原则修改为SFDA已经发布的指导原则。</w:t>
      </w:r>
    </w:p>
    <w:p w14:paraId="6965A883"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3.由于US FDA的OTC的监管与我国差别较大，因此将US FDA指导原则原文中有关OTC药物的相关表述删除。</w:t>
      </w:r>
    </w:p>
    <w:p w14:paraId="7BFE9B07"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4.在“</w:t>
      </w:r>
      <w:r w:rsidRPr="00C37EFE">
        <w:rPr>
          <w:rFonts w:ascii="宋体" w:hAnsi="宋体" w:hint="eastAsia"/>
          <w:b/>
          <w:sz w:val="32"/>
          <w:szCs w:val="32"/>
        </w:rPr>
        <w:t>支持新药用辅料上市所需的安全性评价策略”</w:t>
      </w:r>
      <w:r w:rsidRPr="00C37EFE">
        <w:rPr>
          <w:rFonts w:ascii="宋体" w:hAnsi="宋体" w:hint="eastAsia"/>
          <w:sz w:val="32"/>
          <w:szCs w:val="32"/>
        </w:rPr>
        <w:t>中，增加了一些通用考虑，以利于指导原则的理解和使用。</w:t>
      </w:r>
    </w:p>
    <w:p w14:paraId="718E5BE4"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5.在</w:t>
      </w:r>
      <w:smartTag w:uri="urn:schemas-microsoft-com:office:smarttags" w:element="chsdate">
        <w:smartTagPr>
          <w:attr w:name="Year" w:val="1899"/>
          <w:attr w:name="Month" w:val="12"/>
          <w:attr w:name="Day" w:val="30"/>
          <w:attr w:name="IsLunarDate" w:val="False"/>
          <w:attr w:name="IsROCDate" w:val="False"/>
        </w:smartTagPr>
        <w:r w:rsidRPr="00C37EFE">
          <w:rPr>
            <w:rFonts w:ascii="宋体" w:hAnsi="宋体" w:hint="eastAsia"/>
            <w:sz w:val="32"/>
            <w:szCs w:val="32"/>
          </w:rPr>
          <w:t>3.5.3</w:t>
        </w:r>
      </w:smartTag>
      <w:r w:rsidRPr="00C37EFE">
        <w:rPr>
          <w:rFonts w:ascii="宋体" w:hAnsi="宋体" w:hint="eastAsia"/>
          <w:sz w:val="32"/>
          <w:szCs w:val="32"/>
        </w:rPr>
        <w:t>之(3)中说明可进行与局部耐受性相关的蛋白质结合性评价，但经过与FDA相关人员沟通后，目前仍不了解该项研究的具体意义和实施方案。为慎重起见，该项目予以保留，有待进一步探讨。</w:t>
      </w:r>
    </w:p>
    <w:p w14:paraId="7D683FDF" w14:textId="77777777" w:rsidR="000F65C3" w:rsidRPr="00C37EFE" w:rsidRDefault="000F65C3" w:rsidP="000F65C3">
      <w:pPr>
        <w:spacing w:line="560" w:lineRule="exact"/>
        <w:ind w:firstLineChars="200" w:firstLine="640"/>
        <w:rPr>
          <w:rFonts w:ascii="宋体" w:hAnsi="宋体"/>
          <w:sz w:val="32"/>
          <w:szCs w:val="32"/>
        </w:rPr>
      </w:pPr>
      <w:r w:rsidRPr="00C37EFE">
        <w:rPr>
          <w:rFonts w:ascii="宋体" w:hAnsi="宋体" w:hint="eastAsia"/>
          <w:sz w:val="32"/>
          <w:szCs w:val="32"/>
        </w:rPr>
        <w:t>6.研究者应根据拟用辅料的创新程度、现有人用经验、给药途径的改变等，判断是否应对新辅料提供安全性研究资料。SFDA有关辅料的分类管理规定尚未出台，本指导原则中未对辅料分类进行叙述，比如创新性辅料、改变给药途径的辅料、国外已上市辅料、有食品添加剂使用经验的辅料等。</w:t>
      </w:r>
    </w:p>
    <w:p w14:paraId="23674C91" w14:textId="77777777" w:rsidR="00493167" w:rsidRPr="00C37EFE" w:rsidRDefault="00493167">
      <w:pPr>
        <w:rPr>
          <w:rFonts w:ascii="宋体" w:hAnsi="宋体"/>
          <w:sz w:val="22"/>
          <w:szCs w:val="28"/>
        </w:rPr>
      </w:pPr>
    </w:p>
    <w:sectPr w:rsidR="00493167" w:rsidRPr="00C37EFE" w:rsidSect="00C37EFE">
      <w:footerReference w:type="default" r:id="rId8"/>
      <w:pgSz w:w="12240" w:h="15840" w:code="1"/>
      <w:pgMar w:top="1701" w:right="1701" w:bottom="1701" w:left="1701"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78441" w14:textId="77777777" w:rsidR="00880EB1" w:rsidRDefault="00880EB1" w:rsidP="000F65C3">
      <w:r>
        <w:separator/>
      </w:r>
    </w:p>
  </w:endnote>
  <w:endnote w:type="continuationSeparator" w:id="0">
    <w:p w14:paraId="3DF595CA" w14:textId="77777777" w:rsidR="00880EB1" w:rsidRDefault="00880EB1" w:rsidP="000F6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3626"/>
      <w:docPartObj>
        <w:docPartGallery w:val="Page Numbers (Bottom of Page)"/>
        <w:docPartUnique/>
      </w:docPartObj>
    </w:sdtPr>
    <w:sdtEndPr/>
    <w:sdtContent>
      <w:p w14:paraId="7FE50389" w14:textId="77777777" w:rsidR="000F65C3" w:rsidRDefault="00F10B23">
        <w:pPr>
          <w:pStyle w:val="a5"/>
          <w:jc w:val="center"/>
        </w:pPr>
        <w:r>
          <w:fldChar w:fldCharType="begin"/>
        </w:r>
        <w:r>
          <w:instrText xml:space="preserve"> PAGE   \* MERGEFORMAT </w:instrText>
        </w:r>
        <w:r>
          <w:fldChar w:fldCharType="separate"/>
        </w:r>
        <w:r w:rsidR="00B76A89" w:rsidRPr="00B76A89">
          <w:rPr>
            <w:noProof/>
            <w:lang w:val="zh-CN"/>
          </w:rPr>
          <w:t>8</w:t>
        </w:r>
        <w:r>
          <w:rPr>
            <w:noProof/>
            <w:lang w:val="zh-CN"/>
          </w:rPr>
          <w:fldChar w:fldCharType="end"/>
        </w:r>
      </w:p>
    </w:sdtContent>
  </w:sdt>
  <w:p w14:paraId="0FC5A0C6" w14:textId="77777777" w:rsidR="000F65C3" w:rsidRDefault="000F65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D19FC" w14:textId="77777777" w:rsidR="00880EB1" w:rsidRDefault="00880EB1" w:rsidP="000F65C3">
      <w:r>
        <w:separator/>
      </w:r>
    </w:p>
  </w:footnote>
  <w:footnote w:type="continuationSeparator" w:id="0">
    <w:p w14:paraId="7E4958E0" w14:textId="77777777" w:rsidR="00880EB1" w:rsidRDefault="00880EB1" w:rsidP="000F65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F5E94"/>
    <w:multiLevelType w:val="hybridMultilevel"/>
    <w:tmpl w:val="4E64C23E"/>
    <w:lvl w:ilvl="0" w:tplc="04090001">
      <w:start w:val="1"/>
      <w:numFmt w:val="bullet"/>
      <w:lvlText w:val=""/>
      <w:lvlJc w:val="left"/>
      <w:pPr>
        <w:tabs>
          <w:tab w:val="num" w:pos="781"/>
        </w:tabs>
        <w:ind w:left="781" w:hanging="420"/>
      </w:pPr>
      <w:rPr>
        <w:rFonts w:ascii="Wingdings" w:hAnsi="Wingdings" w:hint="default"/>
      </w:rPr>
    </w:lvl>
    <w:lvl w:ilvl="1" w:tplc="04090001">
      <w:start w:val="1"/>
      <w:numFmt w:val="bullet"/>
      <w:lvlText w:val=""/>
      <w:lvlJc w:val="left"/>
      <w:pPr>
        <w:tabs>
          <w:tab w:val="num" w:pos="1201"/>
        </w:tabs>
        <w:ind w:left="1201"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3F7631F"/>
    <w:multiLevelType w:val="hybridMultilevel"/>
    <w:tmpl w:val="C5A0180C"/>
    <w:lvl w:ilvl="0" w:tplc="04090001">
      <w:start w:val="1"/>
      <w:numFmt w:val="bullet"/>
      <w:lvlText w:val=""/>
      <w:lvlJc w:val="left"/>
      <w:pPr>
        <w:tabs>
          <w:tab w:val="num" w:pos="779"/>
        </w:tabs>
        <w:ind w:left="779" w:hanging="420"/>
      </w:pPr>
      <w:rPr>
        <w:rFonts w:ascii="Wingdings" w:hAnsi="Wingdings" w:hint="default"/>
      </w:rPr>
    </w:lvl>
    <w:lvl w:ilvl="1" w:tplc="04090001">
      <w:start w:val="1"/>
      <w:numFmt w:val="bullet"/>
      <w:lvlText w:val=""/>
      <w:lvlJc w:val="left"/>
      <w:pPr>
        <w:tabs>
          <w:tab w:val="num" w:pos="1201"/>
        </w:tabs>
        <w:ind w:left="1201"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610C5C61"/>
    <w:multiLevelType w:val="hybridMultilevel"/>
    <w:tmpl w:val="7A268974"/>
    <w:lvl w:ilvl="0" w:tplc="04090001">
      <w:start w:val="1"/>
      <w:numFmt w:val="bullet"/>
      <w:lvlText w:val=""/>
      <w:lvlJc w:val="left"/>
      <w:pPr>
        <w:tabs>
          <w:tab w:val="num" w:pos="779"/>
        </w:tabs>
        <w:ind w:left="779" w:hanging="420"/>
      </w:pPr>
      <w:rPr>
        <w:rFonts w:ascii="Wingdings" w:hAnsi="Wingdings" w:hint="default"/>
      </w:rPr>
    </w:lvl>
    <w:lvl w:ilvl="1" w:tplc="04090001">
      <w:start w:val="1"/>
      <w:numFmt w:val="bullet"/>
      <w:lvlText w:val=""/>
      <w:lvlJc w:val="left"/>
      <w:pPr>
        <w:tabs>
          <w:tab w:val="num" w:pos="1201"/>
        </w:tabs>
        <w:ind w:left="1201"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6ED6635D"/>
    <w:multiLevelType w:val="hybridMultilevel"/>
    <w:tmpl w:val="4E604D56"/>
    <w:lvl w:ilvl="0" w:tplc="04090001">
      <w:start w:val="1"/>
      <w:numFmt w:val="bullet"/>
      <w:lvlText w:val=""/>
      <w:lvlJc w:val="left"/>
      <w:pPr>
        <w:tabs>
          <w:tab w:val="num" w:pos="781"/>
        </w:tabs>
        <w:ind w:left="781" w:hanging="420"/>
      </w:pPr>
      <w:rPr>
        <w:rFonts w:ascii="Wingdings" w:hAnsi="Wingdings" w:hint="default"/>
      </w:rPr>
    </w:lvl>
    <w:lvl w:ilvl="1" w:tplc="04090001">
      <w:start w:val="1"/>
      <w:numFmt w:val="bullet"/>
      <w:lvlText w:val=""/>
      <w:lvlJc w:val="left"/>
      <w:pPr>
        <w:tabs>
          <w:tab w:val="num" w:pos="1201"/>
        </w:tabs>
        <w:ind w:left="1201"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73BF459C"/>
    <w:multiLevelType w:val="multilevel"/>
    <w:tmpl w:val="76F0403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F65C3"/>
    <w:rsid w:val="000F65C3"/>
    <w:rsid w:val="00161EE0"/>
    <w:rsid w:val="002A465D"/>
    <w:rsid w:val="00353E06"/>
    <w:rsid w:val="00493167"/>
    <w:rsid w:val="00753820"/>
    <w:rsid w:val="00880EB1"/>
    <w:rsid w:val="00886518"/>
    <w:rsid w:val="008D0525"/>
    <w:rsid w:val="009D6471"/>
    <w:rsid w:val="00B76A89"/>
    <w:rsid w:val="00C37EFE"/>
    <w:rsid w:val="00CE192D"/>
    <w:rsid w:val="00EE5053"/>
    <w:rsid w:val="00F025A0"/>
    <w:rsid w:val="00F10B23"/>
    <w:rsid w:val="00F21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59A1C81E"/>
  <w15:docId w15:val="{9D0419F4-4FA2-4507-9532-5ED09C40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5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F65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F65C3"/>
    <w:rPr>
      <w:rFonts w:ascii="Times New Roman" w:eastAsia="宋体" w:hAnsi="Times New Roman" w:cs="Times New Roman"/>
      <w:sz w:val="18"/>
      <w:szCs w:val="18"/>
    </w:rPr>
  </w:style>
  <w:style w:type="paragraph" w:styleId="a5">
    <w:name w:val="footer"/>
    <w:basedOn w:val="a"/>
    <w:link w:val="a6"/>
    <w:uiPriority w:val="99"/>
    <w:unhideWhenUsed/>
    <w:rsid w:val="000F65C3"/>
    <w:pPr>
      <w:tabs>
        <w:tab w:val="center" w:pos="4153"/>
        <w:tab w:val="right" w:pos="8306"/>
      </w:tabs>
      <w:snapToGrid w:val="0"/>
      <w:jc w:val="left"/>
    </w:pPr>
    <w:rPr>
      <w:sz w:val="18"/>
      <w:szCs w:val="18"/>
    </w:rPr>
  </w:style>
  <w:style w:type="character" w:customStyle="1" w:styleId="a6">
    <w:name w:val="页脚 字符"/>
    <w:basedOn w:val="a0"/>
    <w:link w:val="a5"/>
    <w:uiPriority w:val="99"/>
    <w:rsid w:val="000F65C3"/>
    <w:rPr>
      <w:rFonts w:ascii="Times New Roman" w:eastAsia="宋体" w:hAnsi="Times New Roman" w:cs="Times New Roman"/>
      <w:sz w:val="18"/>
      <w:szCs w:val="18"/>
    </w:rPr>
  </w:style>
  <w:style w:type="paragraph" w:styleId="a7">
    <w:name w:val="Title"/>
    <w:basedOn w:val="a"/>
    <w:next w:val="a"/>
    <w:link w:val="a8"/>
    <w:uiPriority w:val="10"/>
    <w:qFormat/>
    <w:rsid w:val="008D052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D05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7A2E6-6D33-45C9-A4B6-43BD0D31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704</Words>
  <Characters>4018</Characters>
  <Application>Microsoft Office Word</Application>
  <DocSecurity>0</DocSecurity>
  <Lines>33</Lines>
  <Paragraphs>9</Paragraphs>
  <ScaleCrop>false</ScaleCrop>
  <Company>Lenovo (Beijing) Limited</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hryz</cp:lastModifiedBy>
  <cp:revision>8</cp:revision>
  <dcterms:created xsi:type="dcterms:W3CDTF">2012-08-14T02:48:00Z</dcterms:created>
  <dcterms:modified xsi:type="dcterms:W3CDTF">2021-02-02T02:26:00Z</dcterms:modified>
</cp:coreProperties>
</file>