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617791" w14:textId="77777777" w:rsidR="005A6899" w:rsidRDefault="005A6899">
      <w:pPr>
        <w:rPr>
          <w:b/>
          <w:bCs/>
          <w:sz w:val="32"/>
          <w:szCs w:val="32"/>
        </w:rPr>
      </w:pPr>
    </w:p>
    <w:p w14:paraId="7F6A735D" w14:textId="31D8B558" w:rsidR="00F04FA1" w:rsidRPr="00F04FA1" w:rsidRDefault="00F04FA1">
      <w:pPr>
        <w:rPr>
          <w:rFonts w:ascii="Helvetica" w:hAnsi="Helvetica"/>
          <w:sz w:val="20"/>
          <w:szCs w:val="20"/>
        </w:rPr>
      </w:pPr>
      <w:r w:rsidRPr="00F04FA1">
        <w:rPr>
          <w:rFonts w:ascii="Helvetica" w:hAnsi="Helvetica"/>
          <w:b/>
          <w:bCs/>
          <w:sz w:val="20"/>
          <w:szCs w:val="20"/>
        </w:rPr>
        <w:t>Death Dances</w:t>
      </w:r>
    </w:p>
    <w:p w14:paraId="1C34C7F3" w14:textId="30821A77" w:rsidR="005A6899" w:rsidRPr="00F04FA1" w:rsidRDefault="005A6899">
      <w:pPr>
        <w:rPr>
          <w:rFonts w:ascii="Helvetica" w:hAnsi="Helvetica"/>
          <w:sz w:val="20"/>
          <w:szCs w:val="20"/>
        </w:rPr>
      </w:pPr>
      <w:r w:rsidRPr="00F04FA1">
        <w:rPr>
          <w:rFonts w:ascii="Helvetica" w:hAnsi="Helvetica"/>
          <w:sz w:val="20"/>
          <w:szCs w:val="20"/>
        </w:rPr>
        <w:t>Inspired by Hans Holbein’s Dance of Death and other versions from the past and present, this interpretation takes some slightly different slants on the enduring idea that Death is waiting for us all – but we don’t know when our time will be up.</w:t>
      </w:r>
    </w:p>
    <w:p w14:paraId="45FABC89" w14:textId="03055A6B" w:rsidR="005A6899" w:rsidRPr="00F04FA1" w:rsidRDefault="005A6899">
      <w:pPr>
        <w:rPr>
          <w:rFonts w:ascii="Helvetica" w:hAnsi="Helvetica"/>
          <w:sz w:val="20"/>
          <w:szCs w:val="20"/>
        </w:rPr>
      </w:pPr>
      <w:r w:rsidRPr="00F04FA1">
        <w:rPr>
          <w:rFonts w:ascii="Helvetica" w:hAnsi="Helvetica"/>
          <w:sz w:val="20"/>
          <w:szCs w:val="20"/>
        </w:rPr>
        <w:t>Rather than using occupations which have been the usual starting point, this series, which will be presented in small volumes, takes behaviours</w:t>
      </w:r>
      <w:r w:rsidR="00F04FA1" w:rsidRPr="00F04FA1">
        <w:rPr>
          <w:rFonts w:ascii="Helvetica" w:hAnsi="Helvetica"/>
          <w:sz w:val="20"/>
          <w:szCs w:val="20"/>
        </w:rPr>
        <w:t xml:space="preserve">, </w:t>
      </w:r>
      <w:r w:rsidRPr="00F04FA1">
        <w:rPr>
          <w:rFonts w:ascii="Helvetica" w:hAnsi="Helvetica"/>
          <w:sz w:val="20"/>
          <w:szCs w:val="20"/>
        </w:rPr>
        <w:t xml:space="preserve">personality traits or characteristics. The person </w:t>
      </w:r>
      <w:r w:rsidR="00F04FA1" w:rsidRPr="00F04FA1">
        <w:rPr>
          <w:rFonts w:ascii="Helvetica" w:hAnsi="Helvetica"/>
          <w:sz w:val="20"/>
          <w:szCs w:val="20"/>
        </w:rPr>
        <w:t xml:space="preserve">propounds </w:t>
      </w:r>
      <w:r w:rsidRPr="00F04FA1">
        <w:rPr>
          <w:rFonts w:ascii="Helvetica" w:hAnsi="Helvetica"/>
          <w:sz w:val="20"/>
          <w:szCs w:val="20"/>
        </w:rPr>
        <w:t xml:space="preserve">their points of view on themselves and their world. Death answers and puts them firmly in their place. The two face each other across the double page spread. The dancing skeleton delights in countering the swagger of the individual who thinks they are above death and reveals their ‘come </w:t>
      </w:r>
      <w:proofErr w:type="spellStart"/>
      <w:r w:rsidRPr="00F04FA1">
        <w:rPr>
          <w:rFonts w:ascii="Helvetica" w:hAnsi="Helvetica"/>
          <w:sz w:val="20"/>
          <w:szCs w:val="20"/>
        </w:rPr>
        <w:t>uppance</w:t>
      </w:r>
      <w:proofErr w:type="spellEnd"/>
      <w:r w:rsidRPr="00F04FA1">
        <w:rPr>
          <w:rFonts w:ascii="Helvetica" w:hAnsi="Helvetica"/>
          <w:sz w:val="20"/>
          <w:szCs w:val="20"/>
        </w:rPr>
        <w:t>’.</w:t>
      </w:r>
    </w:p>
    <w:p w14:paraId="66FAA273" w14:textId="793D6138" w:rsidR="005A6899" w:rsidRPr="00F04FA1" w:rsidRDefault="005A6899">
      <w:pPr>
        <w:rPr>
          <w:rFonts w:ascii="Helvetica" w:hAnsi="Helvetica"/>
          <w:sz w:val="20"/>
          <w:szCs w:val="20"/>
        </w:rPr>
      </w:pPr>
      <w:r w:rsidRPr="00F04FA1">
        <w:rPr>
          <w:rFonts w:ascii="Helvetica" w:hAnsi="Helvetica"/>
          <w:sz w:val="20"/>
          <w:szCs w:val="20"/>
        </w:rPr>
        <w:t xml:space="preserve">For </w:t>
      </w:r>
      <w:r w:rsidR="00F04FA1">
        <w:rPr>
          <w:rFonts w:ascii="Helvetica" w:hAnsi="Helvetica"/>
          <w:sz w:val="20"/>
          <w:szCs w:val="20"/>
        </w:rPr>
        <w:t xml:space="preserve">all </w:t>
      </w:r>
      <w:r w:rsidRPr="00F04FA1">
        <w:rPr>
          <w:rFonts w:ascii="Helvetica" w:hAnsi="Helvetica"/>
          <w:sz w:val="20"/>
          <w:szCs w:val="20"/>
        </w:rPr>
        <w:t>mortals the pendulum swings, the clock is ticking: tick tock, tock tick…</w:t>
      </w:r>
    </w:p>
    <w:sectPr w:rsidR="005A6899" w:rsidRPr="00F04F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02FF" w:usb1="5000785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A65"/>
    <w:rsid w:val="000E74D8"/>
    <w:rsid w:val="005A6899"/>
    <w:rsid w:val="0070793A"/>
    <w:rsid w:val="00714B5C"/>
    <w:rsid w:val="00B05A65"/>
    <w:rsid w:val="00F04FA1"/>
    <w:rsid w:val="00FA3D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17C32"/>
  <w15:chartTrackingRefBased/>
  <w15:docId w15:val="{5D7133AB-DBB0-427A-AC9E-181CAA533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125</Words>
  <Characters>718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The Cam Academy Trust</Company>
  <LinksUpToDate>false</LinksUpToDate>
  <CharactersWithSpaces>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Feijoo</dc:creator>
  <cp:keywords/>
  <dc:description/>
  <cp:lastModifiedBy>Fernando Feijoo</cp:lastModifiedBy>
  <cp:revision>2</cp:revision>
  <dcterms:created xsi:type="dcterms:W3CDTF">2025-01-15T11:59:00Z</dcterms:created>
  <dcterms:modified xsi:type="dcterms:W3CDTF">2025-01-15T11:59:00Z</dcterms:modified>
</cp:coreProperties>
</file>