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7202A"/>
          <w:sz w:val="54"/>
        </w:rPr>
        <w:t>MODELO FINANCIERO Y OPERATIVO</w:t>
      </w:r>
    </w:p>
    <w:p>
      <w:pPr>
        <w:jc w:val="center"/>
      </w:pPr>
      <w:r>
        <w:rPr>
          <w:rFonts w:ascii="Aptos Display" w:hAnsi="Aptos Display"/>
          <w:color w:val="7A1C24"/>
          <w:sz w:val="36"/>
        </w:rPr>
        <w:t>Plataforma de Generación con Inteligencia Artificial</w:t>
      </w:r>
    </w:p>
    <w:p>
      <w:pPr>
        <w:spacing w:before="360"/>
        <w:jc w:val="center"/>
      </w:pPr>
      <w:r>
        <w:rPr>
          <w:color w:val="4E555E"/>
          <w:sz w:val="23"/>
        </w:rPr>
        <w:t>Arquitectura económica, contable y operativa para tokens, proveedores, descuentos, promociones, vencimientos y control de rentabilidad</w:t>
      </w:r>
    </w:p>
    <w:p>
      <w:pPr>
        <w:spacing w:before="700"/>
        <w:jc w:val="center"/>
      </w:pPr>
      <w:r>
        <w:rPr>
          <w:b/>
          <w:sz w:val="22"/>
        </w:rPr>
        <w:t>Versión V4 · Agosto 2026</w:t>
      </w:r>
    </w:p>
    <w:tbl>
      <w:tblPr>
        <w:tblW w:type="auto" w:w="0"/>
        <w:jc w:val="center"/>
        <w:tblLook w:firstColumn="1" w:firstRow="1" w:lastColumn="0" w:lastRow="0" w:noHBand="0" w:noVBand="1" w:val="04A0"/>
      </w:tblPr>
      <w:tblGrid>
        <w:gridCol w:w="10166"/>
      </w:tblGrid>
      <w:tr>
        <w:trPr>
          <w:cantSplit/>
        </w:trPr>
        <w:tc>
          <w:tcPr>
            <w:tcW w:type="dxa" w:w="10166"/>
            <w:shd w:fill="F3E6E8"/>
            <w:tcMar>
              <w:top w:w="100" w:type="dxa"/>
              <w:start w:w="120" w:type="dxa"/>
              <w:bottom w:w="100" w:type="dxa"/>
              <w:end w:w="120" w:type="dxa"/>
            </w:tcMar>
          </w:tcPr>
          <w:p>
            <w:r>
              <w:rPr>
                <w:b/>
                <w:color w:val="7A1C24"/>
              </w:rPr>
              <w:t xml:space="preserve">Principio rector: </w:t>
            </w:r>
            <w:r>
              <w:rPr>
                <w:sz w:val="19"/>
              </w:rPr>
              <w:t>primero se protege el costo de producir; después se separan gastos operativos, utilidad y beneficios comerciales. Ningún descuento puede comerse el dinero necesario para infraestructura.</w:t>
            </w:r>
          </w:p>
        </w:tc>
      </w:tr>
    </w:tbl>
    <w:p/>
    <w:p>
      <w:r>
        <w:br w:type="page"/>
      </w:r>
    </w:p>
    <w:p>
      <w:pPr>
        <w:pStyle w:val="Heading1"/>
      </w:pPr>
      <w:r>
        <w:t>1. Resumen ejecutivo</w:t>
      </w:r>
    </w:p>
    <w:p>
      <w:r>
        <w:t>La plataforma comercializa servicios de generación con inteligencia artificial mediante tokens. Cada token no es solo una unidad de consumo: representa una composición económica trazable que puede incluir respaldo para infraestructura, utilidad de la empresa y un recargo operativo. Cada compra, plan, cupón, suscripción o acreditación se registra como una bolsa independiente con su propio snapshot financiero, de forma que el pasado nunca se recalcula con reglas del presente.</w:t>
      </w:r>
    </w:p>
    <w:p>
      <w:r>
        <w:t>El sistema está diseñado para operar con proveedores de cómputo como Modal, RunPod y Beam, con costos variables por GPU y tiempo. La cantidad de tokens de una generación se determina por el costo real de infraestructura y la capacidad de infraestructura por token. Las bolsas nunca deciden cuántos tokens cuesta una generación: solo determinan de dónde salen esos tokens y qué economía histórica corresponde a cada uno.</w:t>
      </w:r>
    </w:p>
    <w:p>
      <w:r>
        <w:t>La arquitectura actual añade cuatro capas financieras especializadas: utilidad disponible, caja de infraestructura, créditos promocionales y caja de gastos operativos. También controla cobros pendientes por generaciones bloqueadas, auto-desbloqueo posterior a compras pagadas, vencimientos, fondos enviados a proveedores y trazabilidad por bolsa.</w:t>
      </w:r>
    </w:p>
    <w:p>
      <w:pPr>
        <w:pStyle w:val="Heading2"/>
      </w:pPr>
      <w:r>
        <w:t>1.1 Objetivo empresarial</w:t>
      </w:r>
    </w:p>
    <w:p>
      <w:pPr>
        <w:pStyle w:val="ListBullet"/>
        <w:spacing w:after="30"/>
        <w:ind w:left="360"/>
      </w:pPr>
      <w:r>
        <w:t>Saber cuánto dinero es utilidad real y cuánto debe permanecer protegido.</w:t>
      </w:r>
    </w:p>
    <w:p>
      <w:pPr>
        <w:pStyle w:val="ListBullet"/>
        <w:spacing w:after="30"/>
        <w:ind w:left="360"/>
      </w:pPr>
      <w:r>
        <w:t>Poder ofrecer cupones, planes y promociones sin poner en riesgo el pago de infraestructura.</w:t>
      </w:r>
    </w:p>
    <w:p>
      <w:pPr>
        <w:pStyle w:val="ListBullet"/>
        <w:spacing w:after="30"/>
        <w:ind w:left="360"/>
      </w:pPr>
      <w:r>
        <w:t>Mantener trazabilidad por compra, bolsa, generación, proveedor y movimiento financiero.</w:t>
      </w:r>
    </w:p>
    <w:p>
      <w:pPr>
        <w:pStyle w:val="ListBullet"/>
        <w:spacing w:after="30"/>
        <w:ind w:left="360"/>
      </w:pPr>
      <w:r>
        <w:t>Evitar que dinero ya transferido a Modal/RunPod/Beam aparezca falsamente como efectivo retirable.</w:t>
      </w:r>
    </w:p>
    <w:p>
      <w:pPr>
        <w:pStyle w:val="ListBullet"/>
        <w:spacing w:after="30"/>
        <w:ind w:left="360"/>
      </w:pPr>
      <w:r>
        <w:t>Permitir crecimiento multiproveedor sin perder control de márgenes.</w:t>
      </w:r>
    </w:p>
    <w:p>
      <w:pPr>
        <w:pStyle w:val="ListBullet"/>
        <w:spacing w:after="30"/>
        <w:ind w:left="360"/>
      </w:pPr>
      <w:r>
        <w:t>Conservar snapshots históricos para auditoría y reconstrucción financiera.</w:t>
      </w:r>
    </w:p>
    <w:p>
      <w:pPr>
        <w:pStyle w:val="ListBullet"/>
        <w:spacing w:after="30"/>
        <w:ind w:left="360"/>
      </w:pPr>
      <w:r>
        <w:t>Automatizar la recuperación de cobros pendientes sin crear dobles cargos.</w:t>
      </w:r>
    </w:p>
    <w:p>
      <w:pPr>
        <w:pStyle w:val="Heading2"/>
      </w:pPr>
      <w:r>
        <w:t>1.2 Qué debe entender un empresario en una frase</w:t>
      </w:r>
    </w:p>
    <w:tbl>
      <w:tblPr>
        <w:tblW w:type="auto" w:w="0"/>
        <w:jc w:val="center"/>
        <w:tblLook w:firstColumn="1" w:firstRow="1" w:lastColumn="0" w:lastRow="0" w:noHBand="0" w:noVBand="1" w:val="04A0"/>
      </w:tblPr>
      <w:tblGrid>
        <w:gridCol w:w="10166"/>
      </w:tblGrid>
      <w:tr>
        <w:trPr>
          <w:cantSplit/>
        </w:trPr>
        <w:tc>
          <w:tcPr>
            <w:tcW w:type="dxa" w:w="10166"/>
            <w:shd w:fill="F7F1F2"/>
            <w:tcMar>
              <w:top w:w="100" w:type="dxa"/>
              <w:start w:w="120" w:type="dxa"/>
              <w:bottom w:w="100" w:type="dxa"/>
              <w:end w:w="120" w:type="dxa"/>
            </w:tcMar>
          </w:tcPr>
          <w:p>
            <w:r>
              <w:rPr>
                <w:b/>
                <w:color w:val="7A1C24"/>
              </w:rPr>
              <w:t xml:space="preserve">Modelo de negocio: </w:t>
            </w:r>
            <w:r>
              <w:rPr>
                <w:sz w:val="19"/>
              </w:rPr>
              <w:t>cada token vendido separa desde su origen el dinero para IA, el dinero para gastos del negocio y la utilidad. Los descuentos salen de la utilidad; nunca de la infraestructura ni del gasto operativo protegido.</w:t>
            </w:r>
          </w:p>
        </w:tc>
      </w:tr>
    </w:tbl>
    <w:p/>
    <w:p>
      <w:pPr>
        <w:pStyle w:val="Heading1"/>
      </w:pPr>
      <w:r>
        <w:t>2. Mapa del modelo</w:t>
      </w:r>
    </w:p>
    <w:p>
      <w:pPr>
        <w:pStyle w:val="ListBullet"/>
        <w:spacing w:after="30"/>
        <w:ind w:left="360"/>
      </w:pPr>
      <w:r>
        <w:t>3. Componentes económicos de un token</w:t>
      </w:r>
    </w:p>
    <w:p>
      <w:pPr>
        <w:pStyle w:val="ListBullet"/>
        <w:spacing w:after="30"/>
        <w:ind w:left="360"/>
      </w:pPr>
      <w:r>
        <w:t>4. Regla de precios y descuentos</w:t>
      </w:r>
    </w:p>
    <w:p>
      <w:pPr>
        <w:pStyle w:val="ListBullet"/>
        <w:spacing w:after="30"/>
        <w:ind w:left="360"/>
      </w:pPr>
      <w:r>
        <w:t>5. Bolsas de tokens y snapshots V3</w:t>
      </w:r>
    </w:p>
    <w:p>
      <w:pPr>
        <w:pStyle w:val="ListBullet"/>
        <w:spacing w:after="30"/>
        <w:ind w:left="360"/>
      </w:pPr>
      <w:r>
        <w:t>6. FIFO y trazabilidad del consumo</w:t>
      </w:r>
    </w:p>
    <w:p>
      <w:pPr>
        <w:pStyle w:val="ListBullet"/>
        <w:spacing w:after="30"/>
        <w:ind w:left="360"/>
      </w:pPr>
      <w:r>
        <w:t>7. Cálculo de una generación</w:t>
      </w:r>
    </w:p>
    <w:p>
      <w:pPr>
        <w:pStyle w:val="ListBullet"/>
        <w:spacing w:after="30"/>
        <w:ind w:left="360"/>
      </w:pPr>
      <w:r>
        <w:t>8. Conciliación final y ajustes</w:t>
      </w:r>
    </w:p>
    <w:p>
      <w:pPr>
        <w:pStyle w:val="ListBullet"/>
        <w:spacing w:after="30"/>
        <w:ind w:left="360"/>
      </w:pPr>
      <w:r>
        <w:t>9. Resultados bloqueados y cobros pendientes</w:t>
      </w:r>
    </w:p>
    <w:p>
      <w:pPr>
        <w:pStyle w:val="ListBullet"/>
        <w:spacing w:after="30"/>
        <w:ind w:left="360"/>
      </w:pPr>
      <w:r>
        <w:t>10. Auto-desbloqueo después de una compra</w:t>
      </w:r>
    </w:p>
    <w:p>
      <w:pPr>
        <w:pStyle w:val="ListBullet"/>
        <w:spacing w:after="30"/>
        <w:ind w:left="360"/>
      </w:pPr>
      <w:r>
        <w:t>11. Caja de utilidad</w:t>
      </w:r>
    </w:p>
    <w:p>
      <w:pPr>
        <w:pStyle w:val="ListBullet"/>
        <w:spacing w:after="30"/>
        <w:ind w:left="360"/>
      </w:pPr>
      <w:r>
        <w:t>12. Caja de infraestructura y transferencias a proveedores</w:t>
      </w:r>
    </w:p>
    <w:p>
      <w:pPr>
        <w:pStyle w:val="ListBullet"/>
        <w:spacing w:after="30"/>
        <w:ind w:left="360"/>
      </w:pPr>
      <w:r>
        <w:t>13. Vencimiento de bolsas y dinero ya enviado</w:t>
      </w:r>
    </w:p>
    <w:p>
      <w:pPr>
        <w:pStyle w:val="ListBullet"/>
        <w:spacing w:after="30"/>
        <w:ind w:left="360"/>
      </w:pPr>
      <w:r>
        <w:t>14. Créditos promocionales y tokens gratis</w:t>
      </w:r>
    </w:p>
    <w:p>
      <w:pPr>
        <w:pStyle w:val="ListBullet"/>
        <w:spacing w:after="30"/>
        <w:ind w:left="360"/>
      </w:pPr>
      <w:r>
        <w:t>15. Caja de gastos operativos</w:t>
      </w:r>
    </w:p>
    <w:p>
      <w:pPr>
        <w:pStyle w:val="ListBullet"/>
        <w:spacing w:after="30"/>
        <w:ind w:left="360"/>
      </w:pPr>
      <w:r>
        <w:t>16. Reembolsos y protección de fondos</w:t>
      </w:r>
    </w:p>
    <w:p>
      <w:pPr>
        <w:pStyle w:val="ListBullet"/>
        <w:spacing w:after="30"/>
        <w:ind w:left="360"/>
      </w:pPr>
      <w:r>
        <w:t>17. Finanzas por generación</w:t>
      </w:r>
    </w:p>
    <w:p>
      <w:pPr>
        <w:pStyle w:val="ListBullet"/>
        <w:spacing w:after="30"/>
        <w:ind w:left="360"/>
      </w:pPr>
      <w:r>
        <w:t>18. Compatibilidad histórica y snapshots</w:t>
      </w:r>
    </w:p>
    <w:p>
      <w:pPr>
        <w:pStyle w:val="ListBullet"/>
        <w:spacing w:after="30"/>
        <w:ind w:left="360"/>
      </w:pPr>
      <w:r>
        <w:t>19. Seguridad, idempotencia y controles</w:t>
      </w:r>
    </w:p>
    <w:p>
      <w:pPr>
        <w:pStyle w:val="ListBullet"/>
        <w:spacing w:after="30"/>
        <w:ind w:left="360"/>
      </w:pPr>
      <w:r>
        <w:t>20. Casos límite</w:t>
      </w:r>
    </w:p>
    <w:p>
      <w:pPr>
        <w:pStyle w:val="ListBullet"/>
        <w:spacing w:after="30"/>
        <w:ind w:left="360"/>
      </w:pPr>
      <w:r>
        <w:t>21. Pruebas de regresión obligatorias</w:t>
      </w:r>
    </w:p>
    <w:p>
      <w:pPr>
        <w:pStyle w:val="ListBullet"/>
        <w:spacing w:after="30"/>
        <w:ind w:left="360"/>
      </w:pPr>
      <w:r>
        <w:t>22. Ejemplo integral</w:t>
      </w:r>
    </w:p>
    <w:p>
      <w:pPr>
        <w:pStyle w:val="ListBullet"/>
        <w:spacing w:after="30"/>
        <w:ind w:left="360"/>
      </w:pPr>
      <w:r>
        <w:t>23. Modelo de indicadores para dirección</w:t>
      </w:r>
    </w:p>
    <w:p>
      <w:pPr>
        <w:pStyle w:val="ListBullet"/>
        <w:spacing w:after="30"/>
        <w:ind w:left="360"/>
      </w:pPr>
      <w:r>
        <w:t>24. Lectura empresarial e inversionista</w:t>
      </w:r>
    </w:p>
    <w:p>
      <w:pPr>
        <w:pStyle w:val="ListBullet"/>
        <w:spacing w:after="30"/>
        <w:ind w:left="360"/>
      </w:pPr>
      <w:r>
        <w:t>25. Glosario</w:t>
      </w:r>
    </w:p>
    <w:p>
      <w:pPr>
        <w:pStyle w:val="ListBullet"/>
      </w:pPr>
      <w:r>
        <w:t>26. Principios que nunca deben romperse</w:t>
      </w:r>
    </w:p>
    <w:p>
      <w:pPr>
        <w:pStyle w:val="Heading1"/>
      </w:pPr>
      <w:r>
        <w:t>3. Componentes económicos de un token</w:t>
      </w:r>
    </w:p>
    <w:p>
      <w:pPr/>
      <w:r>
        <w:t>Los importes siguientes son ejemplos configurables. El sistema no debe tratarlos como constantes hardcodeadas. La configuración actual de referencia utiliza una base económica de USD 0.110 por token, compuesta por USD 0.007 de infraestructura y USD 0.103 de ganancia objetivo.</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E7E9EC"/>
            <w:tcMar>
              <w:top w:w="60" w:type="dxa"/>
              <w:start w:w="80" w:type="dxa"/>
              <w:bottom w:w="60" w:type="dxa"/>
              <w:end w:w="80" w:type="dxa"/>
            </w:tcMar>
            <w:vAlign w:val="center"/>
          </w:tcPr>
          <w:p>
            <w:r>
              <w:rPr>
                <w:b/>
                <w:sz w:val="17"/>
              </w:rPr>
              <w:t>Componente</w:t>
            </w:r>
          </w:p>
        </w:tc>
        <w:tc>
          <w:tcPr>
            <w:tcW w:type="dxa" w:w="2541"/>
            <w:shd w:fill="E7E9EC"/>
            <w:tcMar>
              <w:top w:w="60" w:type="dxa"/>
              <w:start w:w="80" w:type="dxa"/>
              <w:bottom w:w="60" w:type="dxa"/>
              <w:end w:w="80" w:type="dxa"/>
            </w:tcMar>
            <w:vAlign w:val="center"/>
          </w:tcPr>
          <w:p>
            <w:r>
              <w:rPr>
                <w:b/>
                <w:sz w:val="17"/>
              </w:rPr>
              <w:t>Ejemplo</w:t>
            </w:r>
          </w:p>
        </w:tc>
        <w:tc>
          <w:tcPr>
            <w:tcW w:type="dxa" w:w="2541"/>
            <w:shd w:fill="E7E9EC"/>
            <w:tcMar>
              <w:top w:w="60" w:type="dxa"/>
              <w:start w:w="80" w:type="dxa"/>
              <w:bottom w:w="60" w:type="dxa"/>
              <w:end w:w="80" w:type="dxa"/>
            </w:tcMar>
            <w:vAlign w:val="center"/>
          </w:tcPr>
          <w:p>
            <w:r>
              <w:rPr>
                <w:b/>
                <w:sz w:val="17"/>
              </w:rPr>
              <w:t>Función</w:t>
            </w:r>
          </w:p>
        </w:tc>
        <w:tc>
          <w:tcPr>
            <w:tcW w:type="dxa" w:w="2541"/>
            <w:shd w:fill="E7E9EC"/>
            <w:tcMar>
              <w:top w:w="60" w:type="dxa"/>
              <w:start w:w="80" w:type="dxa"/>
              <w:bottom w:w="60" w:type="dxa"/>
              <w:end w:w="80" w:type="dxa"/>
            </w:tcMar>
            <w:vAlign w:val="center"/>
          </w:tcPr>
          <w:p>
            <w:r>
              <w:rPr>
                <w:b/>
                <w:sz w:val="17"/>
              </w:rPr>
              <w:t>¿Puede afectarlo un descuento?</w:t>
            </w:r>
          </w:p>
        </w:tc>
      </w:tr>
      <w:tr>
        <w:trPr>
          <w:cantSplit/>
        </w:trPr>
        <w:tc>
          <w:tcPr>
            <w:tcW w:type="dxa" w:w="2541"/>
            <w:tcMar>
              <w:top w:w="60" w:type="dxa"/>
              <w:start w:w="80" w:type="dxa"/>
              <w:bottom w:w="60" w:type="dxa"/>
              <w:end w:w="80" w:type="dxa"/>
            </w:tcMar>
            <w:vAlign w:val="center"/>
          </w:tcPr>
          <w:p>
            <w:r>
              <w:rPr>
                <w:sz w:val="16"/>
              </w:rPr>
              <w:t>Infraestructura IA</w:t>
            </w:r>
          </w:p>
        </w:tc>
        <w:tc>
          <w:tcPr>
            <w:tcW w:type="dxa" w:w="2541"/>
            <w:tcMar>
              <w:top w:w="60" w:type="dxa"/>
              <w:start w:w="80" w:type="dxa"/>
              <w:bottom w:w="60" w:type="dxa"/>
              <w:end w:w="80" w:type="dxa"/>
            </w:tcMar>
            <w:vAlign w:val="center"/>
          </w:tcPr>
          <w:p>
            <w:r>
              <w:rPr>
                <w:sz w:val="16"/>
              </w:rPr>
              <w:t>USD 0.007</w:t>
            </w:r>
          </w:p>
        </w:tc>
        <w:tc>
          <w:tcPr>
            <w:tcW w:type="dxa" w:w="2541"/>
            <w:tcMar>
              <w:top w:w="60" w:type="dxa"/>
              <w:start w:w="80" w:type="dxa"/>
              <w:bottom w:w="60" w:type="dxa"/>
              <w:end w:w="80" w:type="dxa"/>
            </w:tcMar>
            <w:vAlign w:val="center"/>
          </w:tcPr>
          <w:p>
            <w:r>
              <w:rPr>
                <w:sz w:val="16"/>
              </w:rPr>
              <w:t>Respalda el costo de GPU/proveedor</w:t>
            </w:r>
          </w:p>
        </w:tc>
        <w:tc>
          <w:tcPr>
            <w:tcW w:type="dxa" w:w="2541"/>
            <w:tcMar>
              <w:top w:w="60" w:type="dxa"/>
              <w:start w:w="80" w:type="dxa"/>
              <w:bottom w:w="60" w:type="dxa"/>
              <w:end w:w="80" w:type="dxa"/>
            </w:tcMar>
            <w:vAlign w:val="center"/>
          </w:tcPr>
          <w:p>
            <w:r>
              <w:rPr>
                <w:sz w:val="16"/>
              </w:rPr>
              <w:t>No</w:t>
            </w:r>
          </w:p>
        </w:tc>
      </w:tr>
      <w:tr>
        <w:trPr>
          <w:cantSplit/>
        </w:trPr>
        <w:tc>
          <w:tcPr>
            <w:tcW w:type="dxa" w:w="2541"/>
            <w:tcMar>
              <w:top w:w="60" w:type="dxa"/>
              <w:start w:w="80" w:type="dxa"/>
              <w:bottom w:w="60" w:type="dxa"/>
              <w:end w:w="80" w:type="dxa"/>
            </w:tcMar>
            <w:vAlign w:val="center"/>
          </w:tcPr>
          <w:p>
            <w:r>
              <w:rPr>
                <w:sz w:val="16"/>
              </w:rPr>
              <w:t>Ganancia normal</w:t>
            </w:r>
          </w:p>
        </w:tc>
        <w:tc>
          <w:tcPr>
            <w:tcW w:type="dxa" w:w="2541"/>
            <w:tcMar>
              <w:top w:w="60" w:type="dxa"/>
              <w:start w:w="80" w:type="dxa"/>
              <w:bottom w:w="60" w:type="dxa"/>
              <w:end w:w="80" w:type="dxa"/>
            </w:tcMar>
            <w:vAlign w:val="center"/>
          </w:tcPr>
          <w:p>
            <w:r>
              <w:rPr>
                <w:sz w:val="16"/>
              </w:rPr>
              <w:t>USD 0.103</w:t>
            </w:r>
          </w:p>
        </w:tc>
        <w:tc>
          <w:tcPr>
            <w:tcW w:type="dxa" w:w="2541"/>
            <w:tcMar>
              <w:top w:w="60" w:type="dxa"/>
              <w:start w:w="80" w:type="dxa"/>
              <w:bottom w:w="60" w:type="dxa"/>
              <w:end w:w="80" w:type="dxa"/>
            </w:tcMar>
            <w:vAlign w:val="center"/>
          </w:tcPr>
          <w:p>
            <w:r>
              <w:rPr>
                <w:sz w:val="16"/>
              </w:rPr>
              <w:t>Utilidad objetivo de la empresa</w:t>
            </w:r>
          </w:p>
        </w:tc>
        <w:tc>
          <w:tcPr>
            <w:tcW w:type="dxa" w:w="2541"/>
            <w:tcMar>
              <w:top w:w="60" w:type="dxa"/>
              <w:start w:w="80" w:type="dxa"/>
              <w:bottom w:w="60" w:type="dxa"/>
              <w:end w:w="80" w:type="dxa"/>
            </w:tcMar>
            <w:vAlign w:val="center"/>
          </w:tcPr>
          <w:p>
            <w:r>
              <w:rPr>
                <w:sz w:val="16"/>
              </w:rPr>
              <w:t>Sí</w:t>
            </w:r>
          </w:p>
        </w:tc>
      </w:tr>
      <w:tr>
        <w:trPr>
          <w:cantSplit/>
        </w:trPr>
        <w:tc>
          <w:tcPr>
            <w:tcW w:type="dxa" w:w="2541"/>
            <w:tcMar>
              <w:top w:w="60" w:type="dxa"/>
              <w:start w:w="80" w:type="dxa"/>
              <w:bottom w:w="60" w:type="dxa"/>
              <w:end w:w="80" w:type="dxa"/>
            </w:tcMar>
            <w:vAlign w:val="center"/>
          </w:tcPr>
          <w:p>
            <w:r>
              <w:rPr>
                <w:sz w:val="16"/>
              </w:rPr>
              <w:t>Gasto operativo</w:t>
            </w:r>
          </w:p>
        </w:tc>
        <w:tc>
          <w:tcPr>
            <w:tcW w:type="dxa" w:w="2541"/>
            <w:tcMar>
              <w:top w:w="60" w:type="dxa"/>
              <w:start w:w="80" w:type="dxa"/>
              <w:bottom w:w="60" w:type="dxa"/>
              <w:end w:w="80" w:type="dxa"/>
            </w:tcMar>
            <w:vAlign w:val="center"/>
          </w:tcPr>
          <w:p>
            <w:r>
              <w:rPr>
                <w:sz w:val="16"/>
              </w:rPr>
              <w:t>Configurable; p. ej. USD 0.002</w:t>
            </w:r>
          </w:p>
        </w:tc>
        <w:tc>
          <w:tcPr>
            <w:tcW w:type="dxa" w:w="2541"/>
            <w:tcMar>
              <w:top w:w="60" w:type="dxa"/>
              <w:start w:w="80" w:type="dxa"/>
              <w:bottom w:w="60" w:type="dxa"/>
              <w:end w:w="80" w:type="dxa"/>
            </w:tcMar>
            <w:vAlign w:val="center"/>
          </w:tcPr>
          <w:p>
            <w:r>
              <w:rPr>
                <w:sz w:val="16"/>
              </w:rPr>
              <w:t>Hosting, correo, dominios, storage, software</w:t>
            </w:r>
          </w:p>
        </w:tc>
        <w:tc>
          <w:tcPr>
            <w:tcW w:type="dxa" w:w="2541"/>
            <w:tcMar>
              <w:top w:w="60" w:type="dxa"/>
              <w:start w:w="80" w:type="dxa"/>
              <w:bottom w:w="60" w:type="dxa"/>
              <w:end w:w="80" w:type="dxa"/>
            </w:tcMar>
            <w:vAlign w:val="center"/>
          </w:tcPr>
          <w:p>
            <w:r>
              <w:rPr>
                <w:sz w:val="16"/>
              </w:rPr>
              <w:t>No</w:t>
            </w:r>
          </w:p>
        </w:tc>
      </w:tr>
      <w:tr>
        <w:trPr>
          <w:cantSplit/>
        </w:trPr>
        <w:tc>
          <w:tcPr>
            <w:tcW w:type="dxa" w:w="2541"/>
            <w:tcMar>
              <w:top w:w="60" w:type="dxa"/>
              <w:start w:w="80" w:type="dxa"/>
              <w:bottom w:w="60" w:type="dxa"/>
              <w:end w:w="80" w:type="dxa"/>
            </w:tcMar>
            <w:vAlign w:val="center"/>
          </w:tcPr>
          <w:p>
            <w:r>
              <w:rPr>
                <w:sz w:val="16"/>
              </w:rPr>
              <w:t>Precio comercial nominal</w:t>
            </w:r>
          </w:p>
        </w:tc>
        <w:tc>
          <w:tcPr>
            <w:tcW w:type="dxa" w:w="2541"/>
            <w:tcMar>
              <w:top w:w="60" w:type="dxa"/>
              <w:start w:w="80" w:type="dxa"/>
              <w:bottom w:w="60" w:type="dxa"/>
              <w:end w:w="80" w:type="dxa"/>
            </w:tcMar>
            <w:vAlign w:val="center"/>
          </w:tcPr>
          <w:p>
            <w:r>
              <w:rPr>
                <w:sz w:val="16"/>
              </w:rPr>
              <w:t>USD 0.112 con operación 0.002</w:t>
            </w:r>
          </w:p>
        </w:tc>
        <w:tc>
          <w:tcPr>
            <w:tcW w:type="dxa" w:w="2541"/>
            <w:tcMar>
              <w:top w:w="60" w:type="dxa"/>
              <w:start w:w="80" w:type="dxa"/>
              <w:bottom w:w="60" w:type="dxa"/>
              <w:end w:w="80" w:type="dxa"/>
            </w:tcMar>
            <w:vAlign w:val="center"/>
          </w:tcPr>
          <w:p>
            <w:r>
              <w:rPr>
                <w:sz w:val="16"/>
              </w:rPr>
              <w:t>Precio antes de beneficios</w:t>
            </w:r>
          </w:p>
        </w:tc>
        <w:tc>
          <w:tcPr>
            <w:tcW w:type="dxa" w:w="2541"/>
            <w:tcMar>
              <w:top w:w="60" w:type="dxa"/>
              <w:start w:w="80" w:type="dxa"/>
              <w:bottom w:w="60" w:type="dxa"/>
              <w:end w:w="80" w:type="dxa"/>
            </w:tcMar>
            <w:vAlign w:val="center"/>
          </w:tcPr>
          <w:p>
            <w:r>
              <w:rPr>
                <w:sz w:val="16"/>
              </w:rPr>
              <w:t>Resultado</w:t>
            </w:r>
          </w:p>
        </w:tc>
      </w:tr>
    </w:tbl>
    <w:p/>
    <w:p>
      <w:pPr>
        <w:pStyle w:val="Heading2"/>
      </w:pPr>
      <w:r>
        <w:t>3.1 Base económica y precio comercial</w:t>
      </w:r>
    </w:p>
    <w:p>
      <w:pPr>
        <w:pStyle w:val="CodeLite"/>
      </w:pPr>
      <w:r>
        <w:t>Base económica del token = infraestructura + ganancia normal</w:t>
      </w:r>
    </w:p>
    <w:p>
      <w:pPr>
        <w:pStyle w:val="CodeLite"/>
      </w:pPr>
      <w:r>
        <w:t>USD 0.110 = USD 0.007 + USD 0.103</w:t>
      </w:r>
    </w:p>
    <w:p>
      <w:pPr>
        <w:pStyle w:val="CodeLite"/>
      </w:pPr>
      <w:r/>
    </w:p>
    <w:p>
      <w:pPr>
        <w:pStyle w:val="CodeLite"/>
      </w:pPr>
      <w:r>
        <w:t>Precio comercial nominal = base económica + gasto operativo</w:t>
      </w:r>
    </w:p>
    <w:p>
      <w:pPr>
        <w:pStyle w:val="CodeLite"/>
      </w:pPr>
      <w:r>
        <w:t>USD 0.112 = USD 0.110 + USD 0.002</w:t>
      </w:r>
    </w:p>
    <w:p>
      <w:pPr/>
      <w:r>
        <w:t>La distinción entre base económica y precio comercial es crítica. El motor de generación utiliza la capacidad de infraestructura de la base económica; el recargo operativo no aumenta la capacidad de GPU de un token y, por lo tanto, no puede reducir artificialmente la cantidad de tokens de una generación.</w:t>
      </w:r>
    </w:p>
    <w:p>
      <w:pPr>
        <w:pStyle w:val="Heading2"/>
      </w:pPr>
      <w:r>
        <w:t>3.2 Regla inviolable</w:t>
      </w:r>
    </w:p>
    <w:tbl>
      <w:tblPr>
        <w:tblW w:type="auto" w:w="0"/>
        <w:jc w:val="center"/>
        <w:tblLook w:firstColumn="1" w:firstRow="1" w:lastColumn="0" w:lastRow="0" w:noHBand="0" w:noVBand="1" w:val="04A0"/>
      </w:tblPr>
      <w:tblGrid>
        <w:gridCol w:w="10166"/>
      </w:tblGrid>
      <w:tr>
        <w:trPr>
          <w:cantSplit/>
        </w:trPr>
        <w:tc>
          <w:tcPr>
            <w:tcW w:type="dxa" w:w="10166"/>
            <w:shd w:fill="F7F1F2"/>
            <w:tcMar>
              <w:top w:w="100" w:type="dxa"/>
              <w:start w:w="120" w:type="dxa"/>
              <w:bottom w:w="100" w:type="dxa"/>
              <w:end w:w="120" w:type="dxa"/>
            </w:tcMar>
          </w:tcPr>
          <w:p>
            <w:r>
              <w:rPr>
                <w:b/>
                <w:color w:val="7A1C24"/>
              </w:rPr>
              <w:t xml:space="preserve">Nunca hacer: </w:t>
            </w:r>
            <w:r>
              <w:rPr>
                <w:sz w:val="19"/>
              </w:rPr>
              <w:t>deducir la infraestructura como «precio pagado - ganancia» en cada módulo del sistema. Los componentes nuevos deben quedar explícitos en el snapshot; la inferencia solo puede existir como compatibilidad controlada para registros históricos antiguos.</w:t>
            </w:r>
          </w:p>
        </w:tc>
      </w:tr>
    </w:tbl>
    <w:p/>
    <w:p>
      <w:pPr>
        <w:pStyle w:val="Heading1"/>
      </w:pPr>
      <w:r>
        <w:t>4. Regla de precios, planes y descuentos</w:t>
      </w:r>
    </w:p>
    <w:p>
      <w:pPr/>
      <w:r>
        <w:t>Los descuentos se financian exclusivamente cediendo una parte de la ganancia. La infraestructura y el gasto operativo protegido permanecen intactos.</w:t>
      </w:r>
    </w:p>
    <w:p>
      <w:pPr>
        <w:pStyle w:val="Heading2"/>
      </w:pPr>
      <w:r>
        <w:t>4.1 Ejemplo con 25 % de descuento sobre ganancia</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E7E9EC"/>
            <w:tcMar>
              <w:top w:w="60" w:type="dxa"/>
              <w:start w:w="80" w:type="dxa"/>
              <w:bottom w:w="60" w:type="dxa"/>
              <w:end w:w="80" w:type="dxa"/>
            </w:tcMar>
            <w:vAlign w:val="center"/>
          </w:tcPr>
          <w:p>
            <w:r>
              <w:rPr>
                <w:b/>
                <w:sz w:val="17"/>
              </w:rPr>
              <w:t>Concepto</w:t>
            </w:r>
          </w:p>
        </w:tc>
        <w:tc>
          <w:tcPr>
            <w:tcW w:type="dxa" w:w="3389"/>
            <w:shd w:fill="E7E9EC"/>
            <w:tcMar>
              <w:top w:w="60" w:type="dxa"/>
              <w:start w:w="80" w:type="dxa"/>
              <w:bottom w:w="60" w:type="dxa"/>
              <w:end w:w="80" w:type="dxa"/>
            </w:tcMar>
            <w:vAlign w:val="center"/>
          </w:tcPr>
          <w:p>
            <w:r>
              <w:rPr>
                <w:b/>
                <w:sz w:val="17"/>
              </w:rPr>
              <w:t>Sin descuento</w:t>
            </w:r>
          </w:p>
        </w:tc>
        <w:tc>
          <w:tcPr>
            <w:tcW w:type="dxa" w:w="3389"/>
            <w:shd w:fill="E7E9EC"/>
            <w:tcMar>
              <w:top w:w="60" w:type="dxa"/>
              <w:start w:w="80" w:type="dxa"/>
              <w:bottom w:w="60" w:type="dxa"/>
              <w:end w:w="80" w:type="dxa"/>
            </w:tcMar>
            <w:vAlign w:val="center"/>
          </w:tcPr>
          <w:p>
            <w:r>
              <w:rPr>
                <w:b/>
                <w:sz w:val="17"/>
              </w:rPr>
              <w:t>Con 25 % de descuento</w:t>
            </w:r>
          </w:p>
        </w:tc>
      </w:tr>
      <w:tr>
        <w:trPr>
          <w:cantSplit/>
        </w:trPr>
        <w:tc>
          <w:tcPr>
            <w:tcW w:type="dxa" w:w="3389"/>
            <w:tcMar>
              <w:top w:w="60" w:type="dxa"/>
              <w:start w:w="80" w:type="dxa"/>
              <w:bottom w:w="60" w:type="dxa"/>
              <w:end w:w="80" w:type="dxa"/>
            </w:tcMar>
            <w:vAlign w:val="center"/>
          </w:tcPr>
          <w:p>
            <w:r>
              <w:rPr>
                <w:sz w:val="16"/>
              </w:rPr>
              <w:t>Infraestructura IA</w:t>
            </w:r>
          </w:p>
        </w:tc>
        <w:tc>
          <w:tcPr>
            <w:tcW w:type="dxa" w:w="3389"/>
            <w:tcMar>
              <w:top w:w="60" w:type="dxa"/>
              <w:start w:w="80" w:type="dxa"/>
              <w:bottom w:w="60" w:type="dxa"/>
              <w:end w:w="80" w:type="dxa"/>
            </w:tcMar>
            <w:vAlign w:val="center"/>
          </w:tcPr>
          <w:p>
            <w:r>
              <w:rPr>
                <w:sz w:val="16"/>
              </w:rPr>
              <w:t>USD 0.00700</w:t>
            </w:r>
          </w:p>
        </w:tc>
        <w:tc>
          <w:tcPr>
            <w:tcW w:type="dxa" w:w="3389"/>
            <w:tcMar>
              <w:top w:w="60" w:type="dxa"/>
              <w:start w:w="80" w:type="dxa"/>
              <w:bottom w:w="60" w:type="dxa"/>
              <w:end w:w="80" w:type="dxa"/>
            </w:tcMar>
            <w:vAlign w:val="center"/>
          </w:tcPr>
          <w:p>
            <w:r>
              <w:rPr>
                <w:sz w:val="16"/>
              </w:rPr>
              <w:t>USD 0.00700</w:t>
            </w:r>
          </w:p>
        </w:tc>
      </w:tr>
      <w:tr>
        <w:trPr>
          <w:cantSplit/>
        </w:trPr>
        <w:tc>
          <w:tcPr>
            <w:tcW w:type="dxa" w:w="3389"/>
            <w:tcMar>
              <w:top w:w="60" w:type="dxa"/>
              <w:start w:w="80" w:type="dxa"/>
              <w:bottom w:w="60" w:type="dxa"/>
              <w:end w:w="80" w:type="dxa"/>
            </w:tcMar>
            <w:vAlign w:val="center"/>
          </w:tcPr>
          <w:p>
            <w:r>
              <w:rPr>
                <w:sz w:val="16"/>
              </w:rPr>
              <w:t>Gasto operativo</w:t>
            </w:r>
          </w:p>
        </w:tc>
        <w:tc>
          <w:tcPr>
            <w:tcW w:type="dxa" w:w="3389"/>
            <w:tcMar>
              <w:top w:w="60" w:type="dxa"/>
              <w:start w:w="80" w:type="dxa"/>
              <w:bottom w:w="60" w:type="dxa"/>
              <w:end w:w="80" w:type="dxa"/>
            </w:tcMar>
            <w:vAlign w:val="center"/>
          </w:tcPr>
          <w:p>
            <w:r>
              <w:rPr>
                <w:sz w:val="16"/>
              </w:rPr>
              <w:t>USD 0.00200</w:t>
            </w:r>
          </w:p>
        </w:tc>
        <w:tc>
          <w:tcPr>
            <w:tcW w:type="dxa" w:w="3389"/>
            <w:tcMar>
              <w:top w:w="60" w:type="dxa"/>
              <w:start w:w="80" w:type="dxa"/>
              <w:bottom w:w="60" w:type="dxa"/>
              <w:end w:w="80" w:type="dxa"/>
            </w:tcMar>
            <w:vAlign w:val="center"/>
          </w:tcPr>
          <w:p>
            <w:r>
              <w:rPr>
                <w:sz w:val="16"/>
              </w:rPr>
              <w:t>USD 0.00200</w:t>
            </w:r>
          </w:p>
        </w:tc>
      </w:tr>
      <w:tr>
        <w:trPr>
          <w:cantSplit/>
        </w:trPr>
        <w:tc>
          <w:tcPr>
            <w:tcW w:type="dxa" w:w="3389"/>
            <w:tcMar>
              <w:top w:w="60" w:type="dxa"/>
              <w:start w:w="80" w:type="dxa"/>
              <w:bottom w:w="60" w:type="dxa"/>
              <w:end w:w="80" w:type="dxa"/>
            </w:tcMar>
            <w:vAlign w:val="center"/>
          </w:tcPr>
          <w:p>
            <w:r>
              <w:rPr>
                <w:sz w:val="16"/>
              </w:rPr>
              <w:t>Ganancia</w:t>
            </w:r>
          </w:p>
        </w:tc>
        <w:tc>
          <w:tcPr>
            <w:tcW w:type="dxa" w:w="3389"/>
            <w:tcMar>
              <w:top w:w="60" w:type="dxa"/>
              <w:start w:w="80" w:type="dxa"/>
              <w:bottom w:w="60" w:type="dxa"/>
              <w:end w:w="80" w:type="dxa"/>
            </w:tcMar>
            <w:vAlign w:val="center"/>
          </w:tcPr>
          <w:p>
            <w:r>
              <w:rPr>
                <w:sz w:val="16"/>
              </w:rPr>
              <w:t>USD 0.10300</w:t>
            </w:r>
          </w:p>
        </w:tc>
        <w:tc>
          <w:tcPr>
            <w:tcW w:type="dxa" w:w="3389"/>
            <w:tcMar>
              <w:top w:w="60" w:type="dxa"/>
              <w:start w:w="80" w:type="dxa"/>
              <w:bottom w:w="60" w:type="dxa"/>
              <w:end w:w="80" w:type="dxa"/>
            </w:tcMar>
            <w:vAlign w:val="center"/>
          </w:tcPr>
          <w:p>
            <w:r>
              <w:rPr>
                <w:sz w:val="16"/>
              </w:rPr>
              <w:t>USD 0.07725</w:t>
            </w:r>
          </w:p>
        </w:tc>
      </w:tr>
      <w:tr>
        <w:trPr>
          <w:cantSplit/>
        </w:trPr>
        <w:tc>
          <w:tcPr>
            <w:tcW w:type="dxa" w:w="3389"/>
            <w:tcMar>
              <w:top w:w="60" w:type="dxa"/>
              <w:start w:w="80" w:type="dxa"/>
              <w:bottom w:w="60" w:type="dxa"/>
              <w:end w:w="80" w:type="dxa"/>
            </w:tcMar>
            <w:vAlign w:val="center"/>
          </w:tcPr>
          <w:p>
            <w:r>
              <w:rPr>
                <w:sz w:val="16"/>
              </w:rPr>
              <w:t>Precio final</w:t>
            </w:r>
          </w:p>
        </w:tc>
        <w:tc>
          <w:tcPr>
            <w:tcW w:type="dxa" w:w="3389"/>
            <w:tcMar>
              <w:top w:w="60" w:type="dxa"/>
              <w:start w:w="80" w:type="dxa"/>
              <w:bottom w:w="60" w:type="dxa"/>
              <w:end w:w="80" w:type="dxa"/>
            </w:tcMar>
            <w:vAlign w:val="center"/>
          </w:tcPr>
          <w:p>
            <w:r>
              <w:rPr>
                <w:sz w:val="16"/>
              </w:rPr>
              <w:t>USD 0.11200</w:t>
            </w:r>
          </w:p>
        </w:tc>
        <w:tc>
          <w:tcPr>
            <w:tcW w:type="dxa" w:w="3389"/>
            <w:tcMar>
              <w:top w:w="60" w:type="dxa"/>
              <w:start w:w="80" w:type="dxa"/>
              <w:bottom w:w="60" w:type="dxa"/>
              <w:end w:w="80" w:type="dxa"/>
            </w:tcMar>
            <w:vAlign w:val="center"/>
          </w:tcPr>
          <w:p>
            <w:r>
              <w:rPr>
                <w:sz w:val="16"/>
              </w:rPr>
              <w:t>USD 0.08625</w:t>
            </w:r>
          </w:p>
        </w:tc>
      </w:tr>
    </w:tbl>
    <w:p/>
    <w:p>
      <w:pPr>
        <w:pStyle w:val="CodeLite"/>
      </w:pPr>
      <w:r>
        <w:t>Ganancia efectiva = 0.103 × (1 - 0.25) = 0.07725</w:t>
      </w:r>
    </w:p>
    <w:p>
      <w:pPr>
        <w:pStyle w:val="CodeLite"/>
      </w:pPr>
      <w:r>
        <w:t>Precio final = 0.007 + 0.002 + 0.07725 = USD 0.08625</w:t>
      </w:r>
    </w:p>
    <w:p>
      <w:pPr/>
      <w:r>
        <w:t>Esta regla se aplica a cupones, beneficios de planes, paquetes, suscripciones y cualquier descuento comercial. Un descuento nunca debe convertir dinero de infraestructura u operación en descuento al cliente.</w:t>
      </w:r>
    </w:p>
    <w:p>
      <w:pPr>
        <w:pStyle w:val="Heading1"/>
      </w:pPr>
      <w:r>
        <w:t>5. Bolsas de tokens y snapshots financieros V3</w:t>
      </w:r>
    </w:p>
    <w:p>
      <w:pPr/>
      <w:r>
        <w:t>Cada adquisición económicamente distinta crea una bolsa independiente. El usuario puede ver un saldo agregado, pero internamente cada token conserva su procedencia y condiciones.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cantSplit/>
        </w:trPr>
        <w:tc>
          <w:tcPr>
            <w:tcW w:type="dxa" w:w="1694"/>
            <w:shd w:fill="E7E9EC"/>
            <w:tcMar>
              <w:top w:w="60" w:type="dxa"/>
              <w:start w:w="80" w:type="dxa"/>
              <w:bottom w:w="60" w:type="dxa"/>
              <w:end w:w="80" w:type="dxa"/>
            </w:tcMar>
            <w:vAlign w:val="center"/>
          </w:tcPr>
          <w:p>
            <w:r>
              <w:rPr>
                <w:b/>
                <w:sz w:val="17"/>
              </w:rPr>
              <w:t>Origen típico</w:t>
            </w:r>
          </w:p>
        </w:tc>
        <w:tc>
          <w:tcPr>
            <w:tcW w:type="dxa" w:w="1694"/>
            <w:shd w:fill="E7E9EC"/>
            <w:tcMar>
              <w:top w:w="60" w:type="dxa"/>
              <w:start w:w="80" w:type="dxa"/>
              <w:bottom w:w="60" w:type="dxa"/>
              <w:end w:w="80" w:type="dxa"/>
            </w:tcMar>
            <w:vAlign w:val="center"/>
          </w:tcPr>
          <w:p>
            <w:r>
              <w:rPr>
                <w:b/>
                <w:sz w:val="17"/>
              </w:rPr>
              <w:t>¿Crea bolsa?</w:t>
            </w:r>
          </w:p>
        </w:tc>
        <w:tc>
          <w:tcPr>
            <w:tcW w:type="dxa" w:w="1694"/>
            <w:shd w:fill="E7E9EC"/>
            <w:tcMar>
              <w:top w:w="60" w:type="dxa"/>
              <w:start w:w="80" w:type="dxa"/>
              <w:bottom w:w="60" w:type="dxa"/>
              <w:end w:w="80" w:type="dxa"/>
            </w:tcMar>
            <w:vAlign w:val="center"/>
          </w:tcPr>
          <w:p>
            <w:r>
              <w:rPr>
                <w:b/>
                <w:sz w:val="17"/>
              </w:rPr>
              <w:t>Pagó cliente</w:t>
            </w:r>
          </w:p>
        </w:tc>
        <w:tc>
          <w:tcPr>
            <w:tcW w:type="dxa" w:w="1694"/>
            <w:shd w:fill="E7E9EC"/>
            <w:tcMar>
              <w:top w:w="60" w:type="dxa"/>
              <w:start w:w="80" w:type="dxa"/>
              <w:bottom w:w="60" w:type="dxa"/>
              <w:end w:w="80" w:type="dxa"/>
            </w:tcMar>
            <w:vAlign w:val="center"/>
          </w:tcPr>
          <w:p>
            <w:r>
              <w:rPr>
                <w:b/>
                <w:sz w:val="17"/>
              </w:rPr>
              <w:t>Ganancia</w:t>
            </w:r>
          </w:p>
        </w:tc>
        <w:tc>
          <w:tcPr>
            <w:tcW w:type="dxa" w:w="1694"/>
            <w:shd w:fill="E7E9EC"/>
            <w:tcMar>
              <w:top w:w="60" w:type="dxa"/>
              <w:start w:w="80" w:type="dxa"/>
              <w:bottom w:w="60" w:type="dxa"/>
              <w:end w:w="80" w:type="dxa"/>
            </w:tcMar>
            <w:vAlign w:val="center"/>
          </w:tcPr>
          <w:p>
            <w:r>
              <w:rPr>
                <w:b/>
                <w:sz w:val="17"/>
              </w:rPr>
              <w:t>Operación</w:t>
            </w:r>
          </w:p>
        </w:tc>
        <w:tc>
          <w:tcPr>
            <w:tcW w:type="dxa" w:w="1694"/>
            <w:shd w:fill="E7E9EC"/>
            <w:tcMar>
              <w:top w:w="60" w:type="dxa"/>
              <w:start w:w="80" w:type="dxa"/>
              <w:bottom w:w="60" w:type="dxa"/>
              <w:end w:w="80" w:type="dxa"/>
            </w:tcMar>
            <w:vAlign w:val="center"/>
          </w:tcPr>
          <w:p>
            <w:r>
              <w:rPr>
                <w:b/>
                <w:sz w:val="17"/>
              </w:rPr>
              <w:t>Respaldo IA</w:t>
            </w:r>
          </w:p>
        </w:tc>
      </w:tr>
      <w:tr>
        <w:trPr>
          <w:cantSplit/>
        </w:trPr>
        <w:tc>
          <w:tcPr>
            <w:tcW w:type="dxa" w:w="1694"/>
            <w:tcMar>
              <w:top w:w="60" w:type="dxa"/>
              <w:start w:w="80" w:type="dxa"/>
              <w:bottom w:w="60" w:type="dxa"/>
              <w:end w:w="80" w:type="dxa"/>
            </w:tcMar>
            <w:vAlign w:val="center"/>
          </w:tcPr>
          <w:p>
            <w:r>
              <w:rPr>
                <w:sz w:val="16"/>
              </w:rPr>
              <w:t>Compra Stripe</w:t>
            </w:r>
          </w:p>
        </w:tc>
        <w:tc>
          <w:tcPr>
            <w:tcW w:type="dxa" w:w="1694"/>
            <w:tcMar>
              <w:top w:w="60" w:type="dxa"/>
              <w:start w:w="80" w:type="dxa"/>
              <w:bottom w:w="60" w:type="dxa"/>
              <w:end w:w="80" w:type="dxa"/>
            </w:tcMar>
            <w:vAlign w:val="center"/>
          </w:tcPr>
          <w:p>
            <w:r>
              <w:rPr>
                <w:sz w:val="16"/>
              </w:rPr>
              <w:t>Sí</w:t>
            </w:r>
          </w:p>
        </w:tc>
        <w:tc>
          <w:tcPr>
            <w:tcW w:type="dxa" w:w="1694"/>
            <w:tcMar>
              <w:top w:w="60" w:type="dxa"/>
              <w:start w:w="80" w:type="dxa"/>
              <w:bottom w:w="60" w:type="dxa"/>
              <w:end w:w="80" w:type="dxa"/>
            </w:tcMar>
            <w:vAlign w:val="center"/>
          </w:tcPr>
          <w:p>
            <w:r>
              <w:rPr>
                <w:sz w:val="16"/>
              </w:rPr>
              <w:t>Sí</w:t>
            </w:r>
          </w:p>
        </w:tc>
        <w:tc>
          <w:tcPr>
            <w:tcW w:type="dxa" w:w="1694"/>
            <w:tcMar>
              <w:top w:w="60" w:type="dxa"/>
              <w:start w:w="80" w:type="dxa"/>
              <w:bottom w:w="60" w:type="dxa"/>
              <w:end w:w="80" w:type="dxa"/>
            </w:tcMar>
            <w:vAlign w:val="center"/>
          </w:tcPr>
          <w:p>
            <w:r>
              <w:rPr>
                <w:sz w:val="16"/>
              </w:rPr>
              <w:t>Según snapshot</w:t>
            </w:r>
          </w:p>
        </w:tc>
        <w:tc>
          <w:tcPr>
            <w:tcW w:type="dxa" w:w="1694"/>
            <w:tcMar>
              <w:top w:w="60" w:type="dxa"/>
              <w:start w:w="80" w:type="dxa"/>
              <w:bottom w:w="60" w:type="dxa"/>
              <w:end w:w="80" w:type="dxa"/>
            </w:tcMar>
            <w:vAlign w:val="center"/>
          </w:tcPr>
          <w:p>
            <w:r>
              <w:rPr>
                <w:sz w:val="16"/>
              </w:rPr>
              <w:t>Según snapshot</w:t>
            </w:r>
          </w:p>
        </w:tc>
        <w:tc>
          <w:tcPr>
            <w:tcW w:type="dxa" w:w="1694"/>
            <w:tcMar>
              <w:top w:w="60" w:type="dxa"/>
              <w:start w:w="80" w:type="dxa"/>
              <w:bottom w:w="60" w:type="dxa"/>
              <w:end w:w="80" w:type="dxa"/>
            </w:tcMar>
            <w:vAlign w:val="center"/>
          </w:tcPr>
          <w:p>
            <w:r>
              <w:rPr>
                <w:sz w:val="16"/>
              </w:rPr>
              <w:t>Comercial</w:t>
            </w:r>
          </w:p>
        </w:tc>
      </w:tr>
      <w:tr>
        <w:trPr>
          <w:cantSplit/>
        </w:trPr>
        <w:tc>
          <w:tcPr>
            <w:tcW w:type="dxa" w:w="1694"/>
            <w:tcMar>
              <w:top w:w="60" w:type="dxa"/>
              <w:start w:w="80" w:type="dxa"/>
              <w:bottom w:w="60" w:type="dxa"/>
              <w:end w:w="80" w:type="dxa"/>
            </w:tcMar>
            <w:vAlign w:val="center"/>
          </w:tcPr>
          <w:p>
            <w:r>
              <w:rPr>
                <w:sz w:val="16"/>
              </w:rPr>
              <w:t>Suscripción/plan</w:t>
            </w:r>
          </w:p>
        </w:tc>
        <w:tc>
          <w:tcPr>
            <w:tcW w:type="dxa" w:w="1694"/>
            <w:tcMar>
              <w:top w:w="60" w:type="dxa"/>
              <w:start w:w="80" w:type="dxa"/>
              <w:bottom w:w="60" w:type="dxa"/>
              <w:end w:w="80" w:type="dxa"/>
            </w:tcMar>
            <w:vAlign w:val="center"/>
          </w:tcPr>
          <w:p>
            <w:r>
              <w:rPr>
                <w:sz w:val="16"/>
              </w:rPr>
              <w:t>Sí</w:t>
            </w:r>
          </w:p>
        </w:tc>
        <w:tc>
          <w:tcPr>
            <w:tcW w:type="dxa" w:w="1694"/>
            <w:tcMar>
              <w:top w:w="60" w:type="dxa"/>
              <w:start w:w="80" w:type="dxa"/>
              <w:bottom w:w="60" w:type="dxa"/>
              <w:end w:w="80" w:type="dxa"/>
            </w:tcMar>
            <w:vAlign w:val="center"/>
          </w:tcPr>
          <w:p>
            <w:r>
              <w:rPr>
                <w:sz w:val="16"/>
              </w:rPr>
              <w:t>Sí</w:t>
            </w:r>
          </w:p>
        </w:tc>
        <w:tc>
          <w:tcPr>
            <w:tcW w:type="dxa" w:w="1694"/>
            <w:tcMar>
              <w:top w:w="60" w:type="dxa"/>
              <w:start w:w="80" w:type="dxa"/>
              <w:bottom w:w="60" w:type="dxa"/>
              <w:end w:w="80" w:type="dxa"/>
            </w:tcMar>
            <w:vAlign w:val="center"/>
          </w:tcPr>
          <w:p>
            <w:r>
              <w:rPr>
                <w:sz w:val="16"/>
              </w:rPr>
              <w:t>Según beneficio</w:t>
            </w:r>
          </w:p>
        </w:tc>
        <w:tc>
          <w:tcPr>
            <w:tcW w:type="dxa" w:w="1694"/>
            <w:tcMar>
              <w:top w:w="60" w:type="dxa"/>
              <w:start w:w="80" w:type="dxa"/>
              <w:bottom w:w="60" w:type="dxa"/>
              <w:end w:w="80" w:type="dxa"/>
            </w:tcMar>
            <w:vAlign w:val="center"/>
          </w:tcPr>
          <w:p>
            <w:r>
              <w:rPr>
                <w:sz w:val="16"/>
              </w:rPr>
              <w:t>Según snapshot</w:t>
            </w:r>
          </w:p>
        </w:tc>
        <w:tc>
          <w:tcPr>
            <w:tcW w:type="dxa" w:w="1694"/>
            <w:tcMar>
              <w:top w:w="60" w:type="dxa"/>
              <w:start w:w="80" w:type="dxa"/>
              <w:bottom w:w="60" w:type="dxa"/>
              <w:end w:w="80" w:type="dxa"/>
            </w:tcMar>
            <w:vAlign w:val="center"/>
          </w:tcPr>
          <w:p>
            <w:r>
              <w:rPr>
                <w:sz w:val="16"/>
              </w:rPr>
              <w:t>Comercial</w:t>
            </w:r>
          </w:p>
        </w:tc>
      </w:tr>
      <w:tr>
        <w:trPr>
          <w:cantSplit/>
        </w:trPr>
        <w:tc>
          <w:tcPr>
            <w:tcW w:type="dxa" w:w="1694"/>
            <w:tcMar>
              <w:top w:w="60" w:type="dxa"/>
              <w:start w:w="80" w:type="dxa"/>
              <w:bottom w:w="60" w:type="dxa"/>
              <w:end w:w="80" w:type="dxa"/>
            </w:tcMar>
            <w:vAlign w:val="center"/>
          </w:tcPr>
          <w:p>
            <w:r>
              <w:rPr>
                <w:sz w:val="16"/>
              </w:rPr>
              <w:t>Compra con cupón</w:t>
            </w:r>
          </w:p>
        </w:tc>
        <w:tc>
          <w:tcPr>
            <w:tcW w:type="dxa" w:w="1694"/>
            <w:tcMar>
              <w:top w:w="60" w:type="dxa"/>
              <w:start w:w="80" w:type="dxa"/>
              <w:bottom w:w="60" w:type="dxa"/>
              <w:end w:w="80" w:type="dxa"/>
            </w:tcMar>
            <w:vAlign w:val="center"/>
          </w:tcPr>
          <w:p>
            <w:r>
              <w:rPr>
                <w:sz w:val="16"/>
              </w:rPr>
              <w:t>Sí</w:t>
            </w:r>
          </w:p>
        </w:tc>
        <w:tc>
          <w:tcPr>
            <w:tcW w:type="dxa" w:w="1694"/>
            <w:tcMar>
              <w:top w:w="60" w:type="dxa"/>
              <w:start w:w="80" w:type="dxa"/>
              <w:bottom w:w="60" w:type="dxa"/>
              <w:end w:w="80" w:type="dxa"/>
            </w:tcMar>
            <w:vAlign w:val="center"/>
          </w:tcPr>
          <w:p>
            <w:r>
              <w:rPr>
                <w:sz w:val="16"/>
              </w:rPr>
              <w:t>Sí</w:t>
            </w:r>
          </w:p>
        </w:tc>
        <w:tc>
          <w:tcPr>
            <w:tcW w:type="dxa" w:w="1694"/>
            <w:tcMar>
              <w:top w:w="60" w:type="dxa"/>
              <w:start w:w="80" w:type="dxa"/>
              <w:bottom w:w="60" w:type="dxa"/>
              <w:end w:w="80" w:type="dxa"/>
            </w:tcMar>
            <w:vAlign w:val="center"/>
          </w:tcPr>
          <w:p>
            <w:r>
              <w:rPr>
                <w:sz w:val="16"/>
              </w:rPr>
              <w:t>Reducida</w:t>
            </w:r>
          </w:p>
        </w:tc>
        <w:tc>
          <w:tcPr>
            <w:tcW w:type="dxa" w:w="1694"/>
            <w:tcMar>
              <w:top w:w="60" w:type="dxa"/>
              <w:start w:w="80" w:type="dxa"/>
              <w:bottom w:w="60" w:type="dxa"/>
              <w:end w:w="80" w:type="dxa"/>
            </w:tcMar>
            <w:vAlign w:val="center"/>
          </w:tcPr>
          <w:p>
            <w:r>
              <w:rPr>
                <w:sz w:val="16"/>
              </w:rPr>
              <w:t>Protegida</w:t>
            </w:r>
          </w:p>
        </w:tc>
        <w:tc>
          <w:tcPr>
            <w:tcW w:type="dxa" w:w="1694"/>
            <w:tcMar>
              <w:top w:w="60" w:type="dxa"/>
              <w:start w:w="80" w:type="dxa"/>
              <w:bottom w:w="60" w:type="dxa"/>
              <w:end w:w="80" w:type="dxa"/>
            </w:tcMar>
            <w:vAlign w:val="center"/>
          </w:tcPr>
          <w:p>
            <w:r>
              <w:rPr>
                <w:sz w:val="16"/>
              </w:rPr>
              <w:t>Comercial</w:t>
            </w:r>
          </w:p>
        </w:tc>
      </w:tr>
      <w:tr>
        <w:trPr>
          <w:cantSplit/>
        </w:trPr>
        <w:tc>
          <w:tcPr>
            <w:tcW w:type="dxa" w:w="1694"/>
            <w:tcMar>
              <w:top w:w="60" w:type="dxa"/>
              <w:start w:w="80" w:type="dxa"/>
              <w:bottom w:w="60" w:type="dxa"/>
              <w:end w:w="80" w:type="dxa"/>
            </w:tcMar>
            <w:vAlign w:val="center"/>
          </w:tcPr>
          <w:p>
            <w:r>
              <w:rPr>
                <w:sz w:val="16"/>
              </w:rPr>
              <w:t>Tokens promocionales</w:t>
            </w:r>
          </w:p>
        </w:tc>
        <w:tc>
          <w:tcPr>
            <w:tcW w:type="dxa" w:w="1694"/>
            <w:tcMar>
              <w:top w:w="60" w:type="dxa"/>
              <w:start w:w="80" w:type="dxa"/>
              <w:bottom w:w="60" w:type="dxa"/>
              <w:end w:w="80" w:type="dxa"/>
            </w:tcMar>
            <w:vAlign w:val="center"/>
          </w:tcPr>
          <w:p>
            <w:r>
              <w:rPr>
                <w:sz w:val="16"/>
              </w:rPr>
              <w:t>Sí</w:t>
            </w:r>
          </w:p>
        </w:tc>
        <w:tc>
          <w:tcPr>
            <w:tcW w:type="dxa" w:w="1694"/>
            <w:tcMar>
              <w:top w:w="60" w:type="dxa"/>
              <w:start w:w="80" w:type="dxa"/>
              <w:bottom w:w="60" w:type="dxa"/>
              <w:end w:w="80" w:type="dxa"/>
            </w:tcMar>
            <w:vAlign w:val="center"/>
          </w:tcPr>
          <w:p>
            <w:r>
              <w:rPr>
                <w:sz w:val="16"/>
              </w:rPr>
              <w:t>No</w:t>
            </w:r>
          </w:p>
        </w:tc>
        <w:tc>
          <w:tcPr>
            <w:tcW w:type="dxa" w:w="1694"/>
            <w:tcMar>
              <w:top w:w="60" w:type="dxa"/>
              <w:start w:w="80" w:type="dxa"/>
              <w:bottom w:w="60" w:type="dxa"/>
              <w:end w:w="80" w:type="dxa"/>
            </w:tcMar>
            <w:vAlign w:val="center"/>
          </w:tcPr>
          <w:p>
            <w:r>
              <w:rPr>
                <w:sz w:val="16"/>
              </w:rPr>
              <w:t>USD 0</w:t>
            </w:r>
          </w:p>
        </w:tc>
        <w:tc>
          <w:tcPr>
            <w:tcW w:type="dxa" w:w="1694"/>
            <w:tcMar>
              <w:top w:w="60" w:type="dxa"/>
              <w:start w:w="80" w:type="dxa"/>
              <w:bottom w:w="60" w:type="dxa"/>
              <w:end w:w="80" w:type="dxa"/>
            </w:tcMar>
            <w:vAlign w:val="center"/>
          </w:tcPr>
          <w:p>
            <w:r>
              <w:rPr>
                <w:sz w:val="16"/>
              </w:rPr>
              <w:t>USD 0</w:t>
            </w:r>
          </w:p>
        </w:tc>
        <w:tc>
          <w:tcPr>
            <w:tcW w:type="dxa" w:w="1694"/>
            <w:tcMar>
              <w:top w:w="60" w:type="dxa"/>
              <w:start w:w="80" w:type="dxa"/>
              <w:bottom w:w="60" w:type="dxa"/>
              <w:end w:w="80" w:type="dxa"/>
            </w:tcMar>
            <w:vAlign w:val="center"/>
          </w:tcPr>
          <w:p>
            <w:r>
              <w:rPr>
                <w:sz w:val="16"/>
              </w:rPr>
              <w:t>Fondo promocional</w:t>
            </w:r>
          </w:p>
        </w:tc>
      </w:tr>
      <w:tr>
        <w:trPr>
          <w:cantSplit/>
        </w:trPr>
        <w:tc>
          <w:tcPr>
            <w:tcW w:type="dxa" w:w="1694"/>
            <w:tcMar>
              <w:top w:w="60" w:type="dxa"/>
              <w:start w:w="80" w:type="dxa"/>
              <w:bottom w:w="60" w:type="dxa"/>
              <w:end w:w="80" w:type="dxa"/>
            </w:tcMar>
            <w:vAlign w:val="center"/>
          </w:tcPr>
          <w:p>
            <w:r>
              <w:rPr>
                <w:sz w:val="16"/>
              </w:rPr>
              <w:t>Ajuste administrativo</w:t>
            </w:r>
          </w:p>
        </w:tc>
        <w:tc>
          <w:tcPr>
            <w:tcW w:type="dxa" w:w="1694"/>
            <w:tcMar>
              <w:top w:w="60" w:type="dxa"/>
              <w:start w:w="80" w:type="dxa"/>
              <w:bottom w:w="60" w:type="dxa"/>
              <w:end w:w="80" w:type="dxa"/>
            </w:tcMar>
            <w:vAlign w:val="center"/>
          </w:tcPr>
          <w:p>
            <w:r>
              <w:rPr>
                <w:sz w:val="16"/>
              </w:rPr>
              <w:t>Según política</w:t>
            </w:r>
          </w:p>
        </w:tc>
        <w:tc>
          <w:tcPr>
            <w:tcW w:type="dxa" w:w="1694"/>
            <w:tcMar>
              <w:top w:w="60" w:type="dxa"/>
              <w:start w:w="80" w:type="dxa"/>
              <w:bottom w:w="60" w:type="dxa"/>
              <w:end w:w="80" w:type="dxa"/>
            </w:tcMar>
            <w:vAlign w:val="center"/>
          </w:tcPr>
          <w:p>
            <w:r>
              <w:rPr>
                <w:sz w:val="16"/>
              </w:rPr>
              <w:t>No necesariamente</w:t>
            </w:r>
          </w:p>
        </w:tc>
        <w:tc>
          <w:tcPr>
            <w:tcW w:type="dxa" w:w="1694"/>
            <w:tcMar>
              <w:top w:w="60" w:type="dxa"/>
              <w:start w:w="80" w:type="dxa"/>
              <w:bottom w:w="60" w:type="dxa"/>
              <w:end w:w="80" w:type="dxa"/>
            </w:tcMar>
            <w:vAlign w:val="center"/>
          </w:tcPr>
          <w:p>
            <w:r>
              <w:rPr>
                <w:sz w:val="16"/>
              </w:rPr>
              <w:t>Según origen</w:t>
            </w:r>
          </w:p>
        </w:tc>
        <w:tc>
          <w:tcPr>
            <w:tcW w:type="dxa" w:w="1694"/>
            <w:tcMar>
              <w:top w:w="60" w:type="dxa"/>
              <w:start w:w="80" w:type="dxa"/>
              <w:bottom w:w="60" w:type="dxa"/>
              <w:end w:w="80" w:type="dxa"/>
            </w:tcMar>
            <w:vAlign w:val="center"/>
          </w:tcPr>
          <w:p>
            <w:r>
              <w:rPr>
                <w:sz w:val="16"/>
              </w:rPr>
              <w:t>Según origen</w:t>
            </w:r>
          </w:p>
        </w:tc>
        <w:tc>
          <w:tcPr>
            <w:tcW w:type="dxa" w:w="1694"/>
            <w:tcMar>
              <w:top w:w="60" w:type="dxa"/>
              <w:start w:w="80" w:type="dxa"/>
              <w:bottom w:w="60" w:type="dxa"/>
              <w:end w:w="80" w:type="dxa"/>
            </w:tcMar>
            <w:vAlign w:val="center"/>
          </w:tcPr>
          <w:p>
            <w:r>
              <w:rPr>
                <w:sz w:val="16"/>
              </w:rPr>
              <w:t>Según origen</w:t>
            </w:r>
          </w:p>
        </w:tc>
      </w:tr>
    </w:tbl>
    <w:p/>
    <w:p>
      <w:pPr>
        <w:pStyle w:val="Heading2"/>
      </w:pPr>
      <w:r>
        <w:t>5.1 Qué congela un snapshot V3</w:t>
      </w:r>
    </w:p>
    <w:p>
      <w:pPr>
        <w:pStyle w:val="ListBullet"/>
        <w:spacing w:after="30"/>
        <w:ind w:left="360"/>
      </w:pPr>
      <w:r>
        <w:t>Valor base del token.</w:t>
      </w:r>
    </w:p>
    <w:p>
      <w:pPr>
        <w:pStyle w:val="ListBullet"/>
        <w:spacing w:after="30"/>
        <w:ind w:left="360"/>
      </w:pPr>
      <w:r>
        <w:t>Capacidad de infraestructura por token.</w:t>
      </w:r>
    </w:p>
    <w:p>
      <w:pPr>
        <w:pStyle w:val="ListBullet"/>
        <w:spacing w:after="30"/>
        <w:ind w:left="360"/>
      </w:pPr>
      <w:r>
        <w:t>Reserva operativa por token.</w:t>
      </w:r>
    </w:p>
    <w:p>
      <w:pPr>
        <w:pStyle w:val="ListBullet"/>
        <w:spacing w:after="30"/>
        <w:ind w:left="360"/>
      </w:pPr>
      <w:r>
        <w:t>Ganancia normal por token.</w:t>
      </w:r>
    </w:p>
    <w:p>
      <w:pPr>
        <w:pStyle w:val="ListBullet"/>
        <w:spacing w:after="30"/>
        <w:ind w:left="360"/>
      </w:pPr>
      <w:r>
        <w:t>Ganancia efectiva por token.</w:t>
      </w:r>
    </w:p>
    <w:p>
      <w:pPr>
        <w:pStyle w:val="ListBullet"/>
        <w:spacing w:after="30"/>
        <w:ind w:left="360"/>
      </w:pPr>
      <w:r>
        <w:t>Porcentaje o beneficio aplicado.</w:t>
      </w:r>
    </w:p>
    <w:p>
      <w:pPr>
        <w:pStyle w:val="ListBullet"/>
        <w:spacing w:after="30"/>
        <w:ind w:left="360"/>
      </w:pPr>
      <w:r>
        <w:t>Precio realmente pagado.</w:t>
      </w:r>
    </w:p>
    <w:p>
      <w:pPr>
        <w:pStyle w:val="ListBullet"/>
        <w:spacing w:after="30"/>
        <w:ind w:left="360"/>
      </w:pPr>
      <w:r>
        <w:t>Plan, paquete, cupón o fuente.</w:t>
      </w:r>
    </w:p>
    <w:p>
      <w:pPr>
        <w:pStyle w:val="ListBullet"/>
        <w:spacing w:after="30"/>
        <w:ind w:left="360"/>
      </w:pPr>
      <w:r>
        <w:t>Proveedor o fondo promocional cuando corresponda.</w:t>
      </w:r>
    </w:p>
    <w:p>
      <w:pPr>
        <w:pStyle w:val="ListBullet"/>
        <w:spacing w:after="30"/>
        <w:ind w:left="360"/>
      </w:pPr>
      <w:r>
        <w:t>Versión del esquema financiero.</w:t>
      </w:r>
    </w:p>
    <w:p>
      <w:pPr>
        <w:pStyle w:val="CodeLite"/>
      </w:pPr>
      <w:r>
        <w:t>Ejemplo conceptual de snapshot V3</w:t>
      </w:r>
    </w:p>
    <w:p>
      <w:pPr>
        <w:pStyle w:val="CodeLite"/>
      </w:pPr>
      <w:r/>
    </w:p>
    <w:p>
      <w:pPr>
        <w:pStyle w:val="CodeLite"/>
      </w:pPr>
      <w:r>
        <w:t>financial_snapshot_version: 3</w:t>
      </w:r>
    </w:p>
    <w:p>
      <w:pPr>
        <w:pStyle w:val="CodeLite"/>
      </w:pPr>
      <w:r>
        <w:t>financial_economics_schema: explicit_components_v3</w:t>
      </w:r>
    </w:p>
    <w:p>
      <w:pPr>
        <w:pStyle w:val="CodeLite"/>
      </w:pPr>
      <w:r>
        <w:t>token_value_usd: 0.110</w:t>
      </w:r>
    </w:p>
    <w:p>
      <w:pPr>
        <w:pStyle w:val="CodeLite"/>
      </w:pPr>
      <w:r>
        <w:t>infrastructure_capacity_per_token_usd: 0.007</w:t>
      </w:r>
    </w:p>
    <w:p>
      <w:pPr>
        <w:pStyle w:val="CodeLite"/>
      </w:pPr>
      <w:r>
        <w:t>operational_reserve_per_token_usd: 0.002</w:t>
      </w:r>
    </w:p>
    <w:p>
      <w:pPr>
        <w:pStyle w:val="CodeLite"/>
      </w:pPr>
      <w:r>
        <w:t>normal_profit_per_token_usd: 0.103</w:t>
      </w:r>
    </w:p>
    <w:p>
      <w:pPr>
        <w:pStyle w:val="CodeLite"/>
      </w:pPr>
      <w:r>
        <w:t>effective_profit_per_token_usd: 0.07725</w:t>
      </w:r>
    </w:p>
    <w:p>
      <w:pPr>
        <w:pStyle w:val="CodeLite"/>
      </w:pPr>
      <w:r>
        <w:t>profit_discount_percent: 25</w:t>
      </w:r>
    </w:p>
    <w:tbl>
      <w:tblPr>
        <w:tblW w:type="auto" w:w="0"/>
        <w:jc w:val="center"/>
        <w:tblLook w:firstColumn="1" w:firstRow="1" w:lastColumn="0" w:lastRow="0" w:noHBand="0" w:noVBand="1" w:val="04A0"/>
      </w:tblPr>
      <w:tblGrid>
        <w:gridCol w:w="10166"/>
      </w:tblGrid>
      <w:tr>
        <w:trPr>
          <w:cantSplit/>
        </w:trPr>
        <w:tc>
          <w:tcPr>
            <w:tcW w:type="dxa" w:w="10166"/>
            <w:shd w:fill="F7F1F2"/>
            <w:tcMar>
              <w:top w:w="100" w:type="dxa"/>
              <w:start w:w="120" w:type="dxa"/>
              <w:bottom w:w="100" w:type="dxa"/>
              <w:end w:w="120" w:type="dxa"/>
            </w:tcMar>
          </w:tcPr>
          <w:p>
            <w:r>
              <w:rPr>
                <w:b/>
                <w:color w:val="7A1C24"/>
              </w:rPr>
              <w:t xml:space="preserve">Regla histórica: </w:t>
            </w:r>
            <w:r>
              <w:rPr>
                <w:sz w:val="19"/>
              </w:rPr>
              <w:t>si mañana cambian precios, margen o gasto operativo, las bolsas antiguas no se recalculan. Las nuevas reglas solo afectan nuevas bolsas.</w:t>
            </w:r>
          </w:p>
        </w:tc>
      </w:tr>
    </w:tbl>
    <w:p/>
    <w:p>
      <w:pPr>
        <w:pStyle w:val="Heading1"/>
      </w:pPr>
      <w:r>
        <w:t>6. FIFO y trazabilidad del consumo</w:t>
      </w:r>
    </w:p>
    <w:p>
      <w:pPr/>
      <w:r>
        <w:t>FIFO responde únicamente a la pregunta «¿de qué bolsa salen los tokens?». Nunca responde «¿cuántos tokens cuesta la generación?».</w:t>
      </w:r>
    </w:p>
    <w:p>
      <w:pPr>
        <w:pStyle w:val="Heading2"/>
      </w:pPr>
      <w:r>
        <w:t>6.1 Ejemplo</w:t>
      </w:r>
    </w:p>
    <w:p>
      <w:pPr>
        <w:pStyle w:val="CodeLite"/>
      </w:pPr>
      <w:r>
        <w:t>Generación final: 13 tokens</w:t>
      </w:r>
    </w:p>
    <w:p>
      <w:pPr>
        <w:pStyle w:val="CodeLite"/>
      </w:pPr>
      <w:r/>
    </w:p>
    <w:p>
      <w:pPr>
        <w:pStyle w:val="CodeLite"/>
      </w:pPr>
      <w:r>
        <w:t>Bolsa A: 9 tokens restantes</w:t>
      </w:r>
    </w:p>
    <w:p>
      <w:pPr>
        <w:pStyle w:val="CodeLite"/>
      </w:pPr>
      <w:r>
        <w:t>Bolsa B: 100 tokens restantes</w:t>
      </w:r>
    </w:p>
    <w:p>
      <w:pPr>
        <w:pStyle w:val="CodeLite"/>
      </w:pPr>
      <w:r/>
    </w:p>
    <w:p>
      <w:pPr>
        <w:pStyle w:val="CodeLite"/>
      </w:pPr>
      <w:r>
        <w:t>FIFO:</w:t>
      </w:r>
    </w:p>
    <w:p>
      <w:pPr>
        <w:pStyle w:val="CodeLite"/>
      </w:pPr>
      <w:r>
        <w:t>9 tokens -&gt; Bolsa A</w:t>
      </w:r>
    </w:p>
    <w:p>
      <w:pPr>
        <w:pStyle w:val="CodeLite"/>
      </w:pPr>
      <w:r>
        <w:t>4 tokens -&gt; Bolsa B</w:t>
      </w:r>
    </w:p>
    <w:p>
      <w:pPr>
        <w:pStyle w:val="CodeLite"/>
      </w:pPr>
      <w:r>
        <w:t>Total    -&gt; 13 tokens</w:t>
      </w:r>
    </w:p>
    <w:p>
      <w:pPr/>
      <w:r>
        <w:t>Cada asignación conserva el ID de la bolsa y permite reconstruir cuánto se pagó, qué descuento existía, qué ganancia correspondía, qué reserva operativa se originó y cuánto costo de infraestructura fue atribuido a esa bolsa.</w:t>
      </w:r>
    </w:p>
    <w:p>
      <w:pPr>
        <w:pStyle w:val="Heading1"/>
      </w:pPr>
      <w:r>
        <w:t>7. Cómo se calcula una generación</w:t>
      </w:r>
    </w:p>
    <w:p>
      <w:pPr/>
      <w:r>
        <w:t>La cantidad de tokens se calcula exclusivamente a partir del costo real de infraestructura y la capacidad fija de infraestructura por token definida por la regla de precios.</w:t>
      </w:r>
    </w:p>
    <w:p>
      <w:pPr>
        <w:pStyle w:val="CodeLite"/>
      </w:pPr>
      <w:r>
        <w:t>Tokens necesarios = ceil(costo real de infraestructura / capacidad IA por token)</w:t>
      </w:r>
    </w:p>
    <w:p>
      <w:pPr>
        <w:pStyle w:val="CodeLite"/>
      </w:pPr>
      <w:r/>
    </w:p>
    <w:p>
      <w:pPr>
        <w:pStyle w:val="CodeLite"/>
      </w:pPr>
      <w:r>
        <w:t>Ejemplo:</w:t>
      </w:r>
    </w:p>
    <w:p>
      <w:pPr>
        <w:pStyle w:val="CodeLite"/>
      </w:pPr>
      <w:r>
        <w:t>GPU Modal: USD 0.000542 por segundo</w:t>
      </w:r>
    </w:p>
    <w:p>
      <w:pPr>
        <w:pStyle w:val="CodeLite"/>
      </w:pPr>
      <w:r>
        <w:t>Tiempo facturable: 160 s</w:t>
      </w:r>
    </w:p>
    <w:p>
      <w:pPr>
        <w:pStyle w:val="CodeLite"/>
      </w:pPr>
      <w:r>
        <w:t>Costo real: 160 × 0.000542 = USD 0.08672</w:t>
      </w:r>
    </w:p>
    <w:p>
      <w:pPr>
        <w:pStyle w:val="CodeLite"/>
      </w:pPr>
      <w:r>
        <w:t>Capacidad IA/token: USD 0.007</w:t>
      </w:r>
    </w:p>
    <w:p>
      <w:pPr>
        <w:pStyle w:val="CodeLite"/>
      </w:pPr>
      <w:r/>
    </w:p>
    <w:p>
      <w:pPr>
        <w:pStyle w:val="CodeLite"/>
      </w:pPr>
      <w:r>
        <w:t>0.08672 / 0.007 = 12.3885</w:t>
      </w:r>
    </w:p>
    <w:p>
      <w:pPr>
        <w:pStyle w:val="CodeLite"/>
      </w:pPr>
      <w:r>
        <w:t>Resultado: 13 tokens</w:t>
      </w:r>
    </w:p>
    <w:p>
      <w:pPr/>
      <w:r>
        <w:t>El resultado debe ser el mismo aunque los 13 tokens salgan de una compra normal, una suscripción, un cupón, varias bolsas o una combinación comercial/promocional compatible.</w:t>
      </w:r>
    </w:p>
    <w:p>
      <w:pPr>
        <w:pStyle w:val="Heading2"/>
      </w:pPr>
      <w:r>
        <w:t>7.1 Qué NO participa en este cálculo</w:t>
      </w:r>
    </w:p>
    <w:p>
      <w:pPr>
        <w:pStyle w:val="ListBullet"/>
        <w:spacing w:after="30"/>
        <w:ind w:left="360"/>
      </w:pPr>
      <w:r>
        <w:t>Gasto operativo por token.</w:t>
      </w:r>
    </w:p>
    <w:p>
      <w:pPr>
        <w:pStyle w:val="ListBullet"/>
        <w:spacing w:after="30"/>
        <w:ind w:left="360"/>
      </w:pPr>
      <w:r>
        <w:t>Precio comercial total.</w:t>
      </w:r>
    </w:p>
    <w:p>
      <w:pPr>
        <w:pStyle w:val="ListBullet"/>
        <w:spacing w:after="30"/>
        <w:ind w:left="360"/>
      </w:pPr>
      <w:r>
        <w:t>Descuento de cupón.</w:t>
      </w:r>
    </w:p>
    <w:p>
      <w:pPr>
        <w:pStyle w:val="ListBullet"/>
        <w:spacing w:after="30"/>
        <w:ind w:left="360"/>
      </w:pPr>
      <w:r>
        <w:t>Ganancia efectiva de una bolsa.</w:t>
      </w:r>
    </w:p>
    <w:p>
      <w:pPr>
        <w:pStyle w:val="ListBullet"/>
        <w:spacing w:after="30"/>
        <w:ind w:left="360"/>
      </w:pPr>
      <w:r>
        <w:t>Precio histórico pagado por una bolsa.</w:t>
      </w:r>
    </w:p>
    <w:p>
      <w:pPr>
        <w:pStyle w:val="ListBullet"/>
        <w:spacing w:after="30"/>
        <w:ind w:left="360"/>
      </w:pPr>
      <w:r>
        <w:t>Saldo total de la caja de infraestructura.</w:t>
      </w:r>
    </w:p>
    <w:p>
      <w:pPr>
        <w:pStyle w:val="Heading1"/>
      </w:pPr>
      <w:r>
        <w:t>8. Estimación inicial y conciliación final</w:t>
      </w:r>
    </w:p>
    <w:p>
      <w:pPr/>
      <w:r>
        <w:t>Antes de ejecutar, la plataforma estima tokens usando historial, módulo, GPU, tiempos medios, scaledown y margen técnico. Al finalizar se conoce el costo real y se concilia.</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E7E9EC"/>
            <w:tcMar>
              <w:top w:w="60" w:type="dxa"/>
              <w:start w:w="80" w:type="dxa"/>
              <w:bottom w:w="60" w:type="dxa"/>
              <w:end w:w="80" w:type="dxa"/>
            </w:tcMar>
            <w:vAlign w:val="center"/>
          </w:tcPr>
          <w:p>
            <w:r>
              <w:rPr>
                <w:b/>
                <w:sz w:val="17"/>
              </w:rPr>
              <w:t>Caso</w:t>
            </w:r>
          </w:p>
        </w:tc>
        <w:tc>
          <w:tcPr>
            <w:tcW w:type="dxa" w:w="2541"/>
            <w:shd w:fill="E7E9EC"/>
            <w:tcMar>
              <w:top w:w="60" w:type="dxa"/>
              <w:start w:w="80" w:type="dxa"/>
              <w:bottom w:w="60" w:type="dxa"/>
              <w:end w:w="80" w:type="dxa"/>
            </w:tcMar>
            <w:vAlign w:val="center"/>
          </w:tcPr>
          <w:p>
            <w:r>
              <w:rPr>
                <w:b/>
                <w:sz w:val="17"/>
              </w:rPr>
              <w:t>Estimados</w:t>
            </w:r>
          </w:p>
        </w:tc>
        <w:tc>
          <w:tcPr>
            <w:tcW w:type="dxa" w:w="2541"/>
            <w:shd w:fill="E7E9EC"/>
            <w:tcMar>
              <w:top w:w="60" w:type="dxa"/>
              <w:start w:w="80" w:type="dxa"/>
              <w:bottom w:w="60" w:type="dxa"/>
              <w:end w:w="80" w:type="dxa"/>
            </w:tcMar>
            <w:vAlign w:val="center"/>
          </w:tcPr>
          <w:p>
            <w:r>
              <w:rPr>
                <w:b/>
                <w:sz w:val="17"/>
              </w:rPr>
              <w:t>Finales</w:t>
            </w:r>
          </w:p>
        </w:tc>
        <w:tc>
          <w:tcPr>
            <w:tcW w:type="dxa" w:w="2541"/>
            <w:shd w:fill="E7E9EC"/>
            <w:tcMar>
              <w:top w:w="60" w:type="dxa"/>
              <w:start w:w="80" w:type="dxa"/>
              <w:bottom w:w="60" w:type="dxa"/>
              <w:end w:w="80" w:type="dxa"/>
            </w:tcMar>
            <w:vAlign w:val="center"/>
          </w:tcPr>
          <w:p>
            <w:r>
              <w:rPr>
                <w:b/>
                <w:sz w:val="17"/>
              </w:rPr>
              <w:t>Acción</w:t>
            </w:r>
          </w:p>
        </w:tc>
      </w:tr>
      <w:tr>
        <w:trPr>
          <w:cantSplit/>
        </w:trPr>
        <w:tc>
          <w:tcPr>
            <w:tcW w:type="dxa" w:w="2541"/>
            <w:tcMar>
              <w:top w:w="60" w:type="dxa"/>
              <w:start w:w="80" w:type="dxa"/>
              <w:bottom w:w="60" w:type="dxa"/>
              <w:end w:w="80" w:type="dxa"/>
            </w:tcMar>
            <w:vAlign w:val="center"/>
          </w:tcPr>
          <w:p>
            <w:r>
              <w:rPr>
                <w:sz w:val="16"/>
              </w:rPr>
              <w:t>Exacto</w:t>
            </w:r>
          </w:p>
        </w:tc>
        <w:tc>
          <w:tcPr>
            <w:tcW w:type="dxa" w:w="2541"/>
            <w:tcMar>
              <w:top w:w="60" w:type="dxa"/>
              <w:start w:w="80" w:type="dxa"/>
              <w:bottom w:w="60" w:type="dxa"/>
              <w:end w:w="80" w:type="dxa"/>
            </w:tcMar>
            <w:vAlign w:val="center"/>
          </w:tcPr>
          <w:p>
            <w:r>
              <w:rPr>
                <w:sz w:val="16"/>
              </w:rPr>
              <w:t>10</w:t>
            </w:r>
          </w:p>
        </w:tc>
        <w:tc>
          <w:tcPr>
            <w:tcW w:type="dxa" w:w="2541"/>
            <w:tcMar>
              <w:top w:w="60" w:type="dxa"/>
              <w:start w:w="80" w:type="dxa"/>
              <w:bottom w:w="60" w:type="dxa"/>
              <w:end w:w="80" w:type="dxa"/>
            </w:tcMar>
            <w:vAlign w:val="center"/>
          </w:tcPr>
          <w:p>
            <w:r>
              <w:rPr>
                <w:sz w:val="16"/>
              </w:rPr>
              <w:t>10</w:t>
            </w:r>
          </w:p>
        </w:tc>
        <w:tc>
          <w:tcPr>
            <w:tcW w:type="dxa" w:w="2541"/>
            <w:tcMar>
              <w:top w:w="60" w:type="dxa"/>
              <w:start w:w="80" w:type="dxa"/>
              <w:bottom w:w="60" w:type="dxa"/>
              <w:end w:w="80" w:type="dxa"/>
            </w:tcMar>
            <w:vAlign w:val="center"/>
          </w:tcPr>
          <w:p>
            <w:r>
              <w:rPr>
                <w:sz w:val="16"/>
              </w:rPr>
              <w:t>No se ajusta</w:t>
            </w:r>
          </w:p>
        </w:tc>
      </w:tr>
      <w:tr>
        <w:trPr>
          <w:cantSplit/>
        </w:trPr>
        <w:tc>
          <w:tcPr>
            <w:tcW w:type="dxa" w:w="2541"/>
            <w:tcMar>
              <w:top w:w="60" w:type="dxa"/>
              <w:start w:w="80" w:type="dxa"/>
              <w:bottom w:w="60" w:type="dxa"/>
              <w:end w:w="80" w:type="dxa"/>
            </w:tcMar>
            <w:vAlign w:val="center"/>
          </w:tcPr>
          <w:p>
            <w:r>
              <w:rPr>
                <w:sz w:val="16"/>
              </w:rPr>
              <w:t>Costó menos</w:t>
            </w:r>
          </w:p>
        </w:tc>
        <w:tc>
          <w:tcPr>
            <w:tcW w:type="dxa" w:w="2541"/>
            <w:tcMar>
              <w:top w:w="60" w:type="dxa"/>
              <w:start w:w="80" w:type="dxa"/>
              <w:bottom w:w="60" w:type="dxa"/>
              <w:end w:w="80" w:type="dxa"/>
            </w:tcMar>
            <w:vAlign w:val="center"/>
          </w:tcPr>
          <w:p>
            <w:r>
              <w:rPr>
                <w:sz w:val="16"/>
              </w:rPr>
              <w:t>10</w:t>
            </w:r>
          </w:p>
        </w:tc>
        <w:tc>
          <w:tcPr>
            <w:tcW w:type="dxa" w:w="2541"/>
            <w:tcMar>
              <w:top w:w="60" w:type="dxa"/>
              <w:start w:w="80" w:type="dxa"/>
              <w:bottom w:w="60" w:type="dxa"/>
              <w:end w:w="80" w:type="dxa"/>
            </w:tcMar>
            <w:vAlign w:val="center"/>
          </w:tcPr>
          <w:p>
            <w:r>
              <w:rPr>
                <w:sz w:val="16"/>
              </w:rPr>
              <w:t>8</w:t>
            </w:r>
          </w:p>
        </w:tc>
        <w:tc>
          <w:tcPr>
            <w:tcW w:type="dxa" w:w="2541"/>
            <w:tcMar>
              <w:top w:w="60" w:type="dxa"/>
              <w:start w:w="80" w:type="dxa"/>
              <w:bottom w:w="60" w:type="dxa"/>
              <w:end w:w="80" w:type="dxa"/>
            </w:tcMar>
            <w:vAlign w:val="center"/>
          </w:tcPr>
          <w:p>
            <w:r>
              <w:rPr>
                <w:sz w:val="16"/>
              </w:rPr>
              <w:t>Se devuelven 2</w:t>
            </w:r>
          </w:p>
        </w:tc>
      </w:tr>
      <w:tr>
        <w:trPr>
          <w:cantSplit/>
        </w:trPr>
        <w:tc>
          <w:tcPr>
            <w:tcW w:type="dxa" w:w="2541"/>
            <w:tcMar>
              <w:top w:w="60" w:type="dxa"/>
              <w:start w:w="80" w:type="dxa"/>
              <w:bottom w:w="60" w:type="dxa"/>
              <w:end w:w="80" w:type="dxa"/>
            </w:tcMar>
            <w:vAlign w:val="center"/>
          </w:tcPr>
          <w:p>
            <w:r>
              <w:rPr>
                <w:sz w:val="16"/>
              </w:rPr>
              <w:t>Costó más y hay saldo</w:t>
            </w:r>
          </w:p>
        </w:tc>
        <w:tc>
          <w:tcPr>
            <w:tcW w:type="dxa" w:w="2541"/>
            <w:tcMar>
              <w:top w:w="60" w:type="dxa"/>
              <w:start w:w="80" w:type="dxa"/>
              <w:bottom w:w="60" w:type="dxa"/>
              <w:end w:w="80" w:type="dxa"/>
            </w:tcMar>
            <w:vAlign w:val="center"/>
          </w:tcPr>
          <w:p>
            <w:r>
              <w:rPr>
                <w:sz w:val="16"/>
              </w:rPr>
              <w:t>10</w:t>
            </w:r>
          </w:p>
        </w:tc>
        <w:tc>
          <w:tcPr>
            <w:tcW w:type="dxa" w:w="2541"/>
            <w:tcMar>
              <w:top w:w="60" w:type="dxa"/>
              <w:start w:w="80" w:type="dxa"/>
              <w:bottom w:w="60" w:type="dxa"/>
              <w:end w:w="80" w:type="dxa"/>
            </w:tcMar>
            <w:vAlign w:val="center"/>
          </w:tcPr>
          <w:p>
            <w:r>
              <w:rPr>
                <w:sz w:val="16"/>
              </w:rPr>
              <w:t>13</w:t>
            </w:r>
          </w:p>
        </w:tc>
        <w:tc>
          <w:tcPr>
            <w:tcW w:type="dxa" w:w="2541"/>
            <w:tcMar>
              <w:top w:w="60" w:type="dxa"/>
              <w:start w:w="80" w:type="dxa"/>
              <w:bottom w:w="60" w:type="dxa"/>
              <w:end w:w="80" w:type="dxa"/>
            </w:tcMar>
            <w:vAlign w:val="center"/>
          </w:tcPr>
          <w:p>
            <w:r>
              <w:rPr>
                <w:sz w:val="16"/>
              </w:rPr>
              <w:t>Se cobran 3 adicionales</w:t>
            </w:r>
          </w:p>
        </w:tc>
      </w:tr>
      <w:tr>
        <w:trPr>
          <w:cantSplit/>
        </w:trPr>
        <w:tc>
          <w:tcPr>
            <w:tcW w:type="dxa" w:w="2541"/>
            <w:tcMar>
              <w:top w:w="60" w:type="dxa"/>
              <w:start w:w="80" w:type="dxa"/>
              <w:bottom w:w="60" w:type="dxa"/>
              <w:end w:w="80" w:type="dxa"/>
            </w:tcMar>
            <w:vAlign w:val="center"/>
          </w:tcPr>
          <w:p>
            <w:r>
              <w:rPr>
                <w:sz w:val="16"/>
              </w:rPr>
              <w:t>Costó más y no hay saldo</w:t>
            </w:r>
          </w:p>
        </w:tc>
        <w:tc>
          <w:tcPr>
            <w:tcW w:type="dxa" w:w="2541"/>
            <w:tcMar>
              <w:top w:w="60" w:type="dxa"/>
              <w:start w:w="80" w:type="dxa"/>
              <w:bottom w:w="60" w:type="dxa"/>
              <w:end w:w="80" w:type="dxa"/>
            </w:tcMar>
            <w:vAlign w:val="center"/>
          </w:tcPr>
          <w:p>
            <w:r>
              <w:rPr>
                <w:sz w:val="16"/>
              </w:rPr>
              <w:t>10</w:t>
            </w:r>
          </w:p>
        </w:tc>
        <w:tc>
          <w:tcPr>
            <w:tcW w:type="dxa" w:w="2541"/>
            <w:tcMar>
              <w:top w:w="60" w:type="dxa"/>
              <w:start w:w="80" w:type="dxa"/>
              <w:bottom w:w="60" w:type="dxa"/>
              <w:end w:w="80" w:type="dxa"/>
            </w:tcMar>
            <w:vAlign w:val="center"/>
          </w:tcPr>
          <w:p>
            <w:r>
              <w:rPr>
                <w:sz w:val="16"/>
              </w:rPr>
              <w:t>13</w:t>
            </w:r>
          </w:p>
        </w:tc>
        <w:tc>
          <w:tcPr>
            <w:tcW w:type="dxa" w:w="2541"/>
            <w:tcMar>
              <w:top w:w="60" w:type="dxa"/>
              <w:start w:w="80" w:type="dxa"/>
              <w:bottom w:w="60" w:type="dxa"/>
              <w:end w:w="80" w:type="dxa"/>
            </w:tcMar>
            <w:vAlign w:val="center"/>
          </w:tcPr>
          <w:p>
            <w:r>
              <w:rPr>
                <w:sz w:val="16"/>
              </w:rPr>
              <w:t>Resultado bloqueado; quedan 3 pendientes</w:t>
            </w:r>
          </w:p>
        </w:tc>
      </w:tr>
    </w:tbl>
    <w:p/>
    <w:p>
      <w:pPr/>
      <w:r>
        <w:t>Las devoluciones y cobros adicionales deben conservar las mismas garantías de FIFO, snapshots, idempotencia y trazabilidad que el cobro inicial.</w:t>
      </w:r>
    </w:p>
    <w:p>
      <w:pPr>
        <w:pStyle w:val="Heading1"/>
      </w:pPr>
      <w:r>
        <w:t>9. Resultados bloqueados y cobros pendientes</w:t>
      </w:r>
    </w:p>
    <w:p>
      <w:pPr/>
      <w:r>
        <w:t>Si la generación terminó correctamente pero el costo final excede los tokens que el usuario puede cubrir, el resultado existe técnicamente pero su acceso queda bloqueado.</w:t>
      </w:r>
    </w:p>
    <w:p>
      <w:pPr>
        <w:pStyle w:val="ListBullet"/>
        <w:spacing w:after="30"/>
        <w:ind w:left="360"/>
      </w:pPr>
      <w:r>
        <w:t>La ejecución se mantiene como completada.</w:t>
      </w:r>
    </w:p>
    <w:p>
      <w:pPr>
        <w:pStyle w:val="ListBullet"/>
        <w:spacing w:after="30"/>
        <w:ind w:left="360"/>
      </w:pPr>
      <w:r>
        <w:t>El archivo se guarda.</w:t>
      </w:r>
    </w:p>
    <w:p>
      <w:pPr>
        <w:pStyle w:val="ListBullet"/>
        <w:spacing w:after="30"/>
        <w:ind w:left="360"/>
      </w:pPr>
      <w:r>
        <w:t>Se marca settlement_pending/result_locked.</w:t>
      </w:r>
    </w:p>
    <w:p>
      <w:pPr>
        <w:pStyle w:val="ListBullet"/>
        <w:spacing w:after="30"/>
        <w:ind w:left="360"/>
      </w:pPr>
      <w:r>
        <w:t>No se entregan URLs utilizables del resultado.</w:t>
      </w:r>
    </w:p>
    <w:p>
      <w:pPr>
        <w:pStyle w:val="ListBullet"/>
        <w:spacing w:after="30"/>
        <w:ind w:left="360"/>
      </w:pPr>
      <w:r>
        <w:t>Se muestran tokens cobrados y tokens pendientes.</w:t>
      </w:r>
    </w:p>
    <w:p>
      <w:pPr>
        <w:pStyle w:val="ListBullet"/>
        <w:spacing w:after="30"/>
        <w:ind w:left="360"/>
      </w:pPr>
      <w:r>
        <w:t>Se conserva el botón manual «Desbloquear resultado».</w:t>
      </w:r>
    </w:p>
    <w:p>
      <w:pPr>
        <w:pStyle w:val="ListBullet"/>
        <w:spacing w:after="30"/>
        <w:ind w:left="360"/>
      </w:pPr>
      <w:r>
        <w:t>El backend sigue siendo la autoridad de seguridad; ocultar la imagen en el frontend no es suficiente.</w:t>
      </w:r>
    </w:p>
    <w:p>
      <w:pPr>
        <w:pStyle w:val="Heading2"/>
      </w:pPr>
      <w:r>
        <w:t>9.1 Caja de cobros pendientes</w:t>
      </w:r>
    </w:p>
    <w:p>
      <w:pPr/>
      <w:r>
        <w:t>La vista de Cobros pendientes no crea una contabilidad paralela. Agrega las ejecuciones que ya tienen deuda. La infraestructura pendiente es exposición real ya incurrida; la ganancia pendiente es potencial porque todavía no se sabe qué futuras bolsas, descuentos o beneficios pagarán la deuda.</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7E9EC"/>
            <w:tcMar>
              <w:top w:w="60" w:type="dxa"/>
              <w:start w:w="80" w:type="dxa"/>
              <w:bottom w:w="60" w:type="dxa"/>
              <w:end w:w="80" w:type="dxa"/>
            </w:tcMar>
            <w:vAlign w:val="center"/>
          </w:tcPr>
          <w:p>
            <w:r>
              <w:rPr>
                <w:b/>
                <w:sz w:val="17"/>
              </w:rPr>
              <w:t>Dato</w:t>
            </w:r>
          </w:p>
        </w:tc>
        <w:tc>
          <w:tcPr>
            <w:tcW w:type="dxa" w:w="5083"/>
            <w:shd w:fill="E7E9EC"/>
            <w:tcMar>
              <w:top w:w="60" w:type="dxa"/>
              <w:start w:w="80" w:type="dxa"/>
              <w:bottom w:w="60" w:type="dxa"/>
              <w:end w:w="80" w:type="dxa"/>
            </w:tcMar>
            <w:vAlign w:val="center"/>
          </w:tcPr>
          <w:p>
            <w:r>
              <w:rPr>
                <w:b/>
                <w:sz w:val="17"/>
              </w:rPr>
              <w:t>Interpretación</w:t>
            </w:r>
          </w:p>
        </w:tc>
      </w:tr>
      <w:tr>
        <w:trPr>
          <w:cantSplit/>
        </w:trPr>
        <w:tc>
          <w:tcPr>
            <w:tcW w:type="dxa" w:w="5083"/>
            <w:tcMar>
              <w:top w:w="60" w:type="dxa"/>
              <w:start w:w="80" w:type="dxa"/>
              <w:bottom w:w="60" w:type="dxa"/>
              <w:end w:w="80" w:type="dxa"/>
            </w:tcMar>
            <w:vAlign w:val="center"/>
          </w:tcPr>
          <w:p>
            <w:r>
              <w:rPr>
                <w:sz w:val="16"/>
              </w:rPr>
              <w:t>Tokens pendientes</w:t>
            </w:r>
          </w:p>
        </w:tc>
        <w:tc>
          <w:tcPr>
            <w:tcW w:type="dxa" w:w="5083"/>
            <w:tcMar>
              <w:top w:w="60" w:type="dxa"/>
              <w:start w:w="80" w:type="dxa"/>
              <w:bottom w:w="60" w:type="dxa"/>
              <w:end w:w="80" w:type="dxa"/>
            </w:tcMar>
            <w:vAlign w:val="center"/>
          </w:tcPr>
          <w:p>
            <w:r>
              <w:rPr>
                <w:sz w:val="16"/>
              </w:rPr>
              <w:t>Cantidad que falta cobrar para desbloquear</w:t>
            </w:r>
          </w:p>
        </w:tc>
      </w:tr>
      <w:tr>
        <w:trPr>
          <w:cantSplit/>
        </w:trPr>
        <w:tc>
          <w:tcPr>
            <w:tcW w:type="dxa" w:w="5083"/>
            <w:tcMar>
              <w:top w:w="60" w:type="dxa"/>
              <w:start w:w="80" w:type="dxa"/>
              <w:bottom w:w="60" w:type="dxa"/>
              <w:end w:w="80" w:type="dxa"/>
            </w:tcMar>
            <w:vAlign w:val="center"/>
          </w:tcPr>
          <w:p>
            <w:r>
              <w:rPr>
                <w:sz w:val="16"/>
              </w:rPr>
              <w:t>IA que falta recuperar</w:t>
            </w:r>
          </w:p>
        </w:tc>
        <w:tc>
          <w:tcPr>
            <w:tcW w:type="dxa" w:w="5083"/>
            <w:tcMar>
              <w:top w:w="60" w:type="dxa"/>
              <w:start w:w="80" w:type="dxa"/>
              <w:bottom w:w="60" w:type="dxa"/>
              <w:end w:w="80" w:type="dxa"/>
            </w:tcMar>
            <w:vAlign w:val="center"/>
          </w:tcPr>
          <w:p>
            <w:r>
              <w:rPr>
                <w:sz w:val="16"/>
              </w:rPr>
              <w:t>Costo real de infraestructura aún no cubierto</w:t>
            </w:r>
          </w:p>
        </w:tc>
      </w:tr>
      <w:tr>
        <w:trPr>
          <w:cantSplit/>
        </w:trPr>
        <w:tc>
          <w:tcPr>
            <w:tcW w:type="dxa" w:w="5083"/>
            <w:tcMar>
              <w:top w:w="60" w:type="dxa"/>
              <w:start w:w="80" w:type="dxa"/>
              <w:bottom w:w="60" w:type="dxa"/>
              <w:end w:w="80" w:type="dxa"/>
            </w:tcMar>
            <w:vAlign w:val="center"/>
          </w:tcPr>
          <w:p>
            <w:r>
              <w:rPr>
                <w:sz w:val="16"/>
              </w:rPr>
              <w:t>Ganancia si se cobra</w:t>
            </w:r>
          </w:p>
        </w:tc>
        <w:tc>
          <w:tcPr>
            <w:tcW w:type="dxa" w:w="5083"/>
            <w:tcMar>
              <w:top w:w="60" w:type="dxa"/>
              <w:start w:w="80" w:type="dxa"/>
              <w:bottom w:w="60" w:type="dxa"/>
              <w:end w:w="80" w:type="dxa"/>
            </w:tcMar>
            <w:vAlign w:val="center"/>
          </w:tcPr>
          <w:p>
            <w:r>
              <w:rPr>
                <w:sz w:val="16"/>
              </w:rPr>
              <w:t>Estimación; se vuelve real cuando FIFO conoce las bolsas de pago</w:t>
            </w:r>
          </w:p>
        </w:tc>
      </w:tr>
      <w:tr>
        <w:trPr>
          <w:cantSplit/>
        </w:trPr>
        <w:tc>
          <w:tcPr>
            <w:tcW w:type="dxa" w:w="5083"/>
            <w:tcMar>
              <w:top w:w="60" w:type="dxa"/>
              <w:start w:w="80" w:type="dxa"/>
              <w:bottom w:w="60" w:type="dxa"/>
              <w:end w:w="80" w:type="dxa"/>
            </w:tcMar>
            <w:vAlign w:val="center"/>
          </w:tcPr>
          <w:p>
            <w:r>
              <w:rPr>
                <w:sz w:val="16"/>
              </w:rPr>
              <w:t>Estado</w:t>
            </w:r>
          </w:p>
        </w:tc>
        <w:tc>
          <w:tcPr>
            <w:tcW w:type="dxa" w:w="5083"/>
            <w:tcMar>
              <w:top w:w="60" w:type="dxa"/>
              <w:start w:w="80" w:type="dxa"/>
              <w:bottom w:w="60" w:type="dxa"/>
              <w:end w:w="80" w:type="dxa"/>
            </w:tcMar>
            <w:vAlign w:val="center"/>
          </w:tcPr>
          <w:p>
            <w:r>
              <w:rPr>
                <w:sz w:val="16"/>
              </w:rPr>
              <w:t>Bloqueado / conciliado</w:t>
            </w:r>
          </w:p>
        </w:tc>
      </w:tr>
    </w:tbl>
    <w:p/>
    <w:p>
      <w:pPr>
        <w:pStyle w:val="Heading1"/>
      </w:pPr>
      <w:r>
        <w:t>10. Auto-desbloqueo después de una compra pagada</w:t>
      </w:r>
    </w:p>
    <w:p>
      <w:pPr/>
      <w:r>
        <w:t>Cuando Stripe confirma una compra o una renovación pagada y los tokens ya fueron acreditados, el backend intenta pagar automáticamente generaciones bloqueadas del mismo usuario.</w:t>
      </w:r>
    </w:p>
    <w:p>
      <w:pPr>
        <w:pStyle w:val="CodeLite"/>
      </w:pPr>
      <w:r>
        <w:t>Stripe confirma pago</w:t>
      </w:r>
    </w:p>
    <w:p>
      <w:pPr>
        <w:pStyle w:val="CodeLite"/>
      </w:pPr>
      <w:r>
        <w:t>-&gt; bolsa creada y tokens acreditados</w:t>
      </w:r>
    </w:p>
    <w:p>
      <w:pPr>
        <w:pStyle w:val="CodeLite"/>
      </w:pPr>
      <w:r>
        <w:t>-&gt; COMMIT de la compra</w:t>
      </w:r>
    </w:p>
    <w:p>
      <w:pPr>
        <w:pStyle w:val="CodeLite"/>
      </w:pPr>
      <w:r>
        <w:t>-&gt; buscar deudas más antiguas</w:t>
      </w:r>
    </w:p>
    <w:p>
      <w:pPr>
        <w:pStyle w:val="CodeLite"/>
      </w:pPr>
      <w:r>
        <w:t>-&gt; intentar conciliación completa</w:t>
      </w:r>
    </w:p>
    <w:p>
      <w:pPr>
        <w:pStyle w:val="CodeLite"/>
      </w:pPr>
      <w:r>
        <w:t>-&gt; desbloquear si alcanza</w:t>
      </w:r>
    </w:p>
    <w:p>
      <w:pPr>
        <w:pStyle w:val="Heading2"/>
      </w:pPr>
      <w:r>
        <w:t>10.1 Política de seguridad</w:t>
      </w:r>
    </w:p>
    <w:p>
      <w:pPr>
        <w:pStyle w:val="ListBullet"/>
        <w:spacing w:after="30"/>
        <w:ind w:left="360"/>
      </w:pPr>
      <w:r>
        <w:t>La compra se confirma antes del auto-desbloqueo.</w:t>
      </w:r>
    </w:p>
    <w:p>
      <w:pPr>
        <w:pStyle w:val="ListBullet"/>
        <w:spacing w:after="30"/>
        <w:ind w:left="360"/>
      </w:pPr>
      <w:r>
        <w:t>Un fallo del auto-desbloqueo nunca revierte la compra.</w:t>
      </w:r>
    </w:p>
    <w:p>
      <w:pPr>
        <w:pStyle w:val="ListBullet"/>
        <w:spacing w:after="30"/>
        <w:ind w:left="360"/>
      </w:pPr>
      <w:r>
        <w:t>Las deudas se intentan de la más antigua a la más reciente.</w:t>
      </w:r>
    </w:p>
    <w:p>
      <w:pPr>
        <w:pStyle w:val="ListBullet"/>
        <w:spacing w:after="30"/>
        <w:ind w:left="360"/>
      </w:pPr>
      <w:r>
        <w:t>Cada generación se paga completa o no se toca.</w:t>
      </w:r>
    </w:p>
    <w:p>
      <w:pPr>
        <w:pStyle w:val="ListBullet"/>
        <w:spacing w:after="30"/>
        <w:ind w:left="360"/>
      </w:pPr>
      <w:r>
        <w:t>No se cobran parcialmente deudas que no pueden completarse.</w:t>
      </w:r>
    </w:p>
    <w:p>
      <w:pPr>
        <w:pStyle w:val="ListBullet"/>
        <w:spacing w:after="30"/>
        <w:ind w:left="360"/>
      </w:pPr>
      <w:r>
        <w:t>El botón manual sigue existiendo como respaldo.</w:t>
      </w:r>
    </w:p>
    <w:p>
      <w:pPr>
        <w:pStyle w:val="Heading2"/>
      </w:pPr>
      <w:r>
        <w:t>10.2 Tokens promocionales y deudas anteriores</w:t>
      </w:r>
    </w:p>
    <w:p>
      <w:pPr/>
      <w:r>
        <w:t>Por defecto, los tokens promocionales sirven para generaciones nuevas pero no para deudas anteriores. Existe una política configurable para permitirlo expresamente. Esto evita que un bono gratuito desaparezca pagando automáticamente una deuda vieja.</w:t>
      </w:r>
    </w:p>
    <w:p>
      <w:pPr>
        <w:pStyle w:val="Heading1"/>
      </w:pPr>
      <w:r>
        <w:t>11. Caja de utilidad</w:t>
      </w:r>
    </w:p>
    <w:p>
      <w:pPr/>
      <w:r>
        <w:t>La caja de utilidad representa dinero económicamente liberado y físicamente disponible para gastar o retirar, después de excluir obligaciones y fondos que ya salieron hacia proveedores.</w:t>
      </w:r>
    </w:p>
    <w:p>
      <w:pPr>
        <w:pStyle w:val="CodeLite"/>
      </w:pPr>
      <w:r>
        <w:t>Utilidad disponible =</w:t>
      </w:r>
    </w:p>
    <w:p>
      <w:pPr>
        <w:pStyle w:val="CodeLite"/>
      </w:pPr>
      <w:r>
        <w:t>ganancia liberada</w:t>
      </w:r>
    </w:p>
    <w:p>
      <w:pPr>
        <w:pStyle w:val="CodeLite"/>
      </w:pPr>
      <w:r>
        <w:t>+ dinero extra confirmado</w:t>
      </w:r>
    </w:p>
    <w:p>
      <w:pPr>
        <w:pStyle w:val="CodeLite"/>
      </w:pPr>
      <w:r>
        <w:t>+ reservas liberadas por vencimiento que todavía están físicamente en caja</w:t>
      </w:r>
    </w:p>
    <w:p>
      <w:pPr>
        <w:pStyle w:val="CodeLite"/>
      </w:pPr>
      <w:r>
        <w:t>- retiros de utilidad registrados</w:t>
      </w:r>
    </w:p>
    <w:p>
      <w:pPr>
        <w:pStyle w:val="ListBullet"/>
        <w:spacing w:after="30"/>
        <w:ind w:left="360"/>
      </w:pPr>
      <w:r>
        <w:t>No incluye dinero reservado para IA.</w:t>
      </w:r>
    </w:p>
    <w:p>
      <w:pPr>
        <w:pStyle w:val="ListBullet"/>
        <w:spacing w:after="30"/>
        <w:ind w:left="360"/>
      </w:pPr>
      <w:r>
        <w:t>No incluye fondos operativos bloqueados o disponibles.</w:t>
      </w:r>
    </w:p>
    <w:p>
      <w:pPr>
        <w:pStyle w:val="ListBullet"/>
        <w:spacing w:after="30"/>
        <w:ind w:left="360"/>
      </w:pPr>
      <w:r>
        <w:t>No incluye créditos promocionales.</w:t>
      </w:r>
    </w:p>
    <w:p>
      <w:pPr>
        <w:pStyle w:val="ListBullet"/>
        <w:spacing w:after="30"/>
        <w:ind w:left="360"/>
      </w:pPr>
      <w:r>
        <w:t>No incluye dinero ya enviado a Modal/RunPod/Beam.</w:t>
      </w:r>
    </w:p>
    <w:p>
      <w:pPr>
        <w:pStyle w:val="ListBullet"/>
        <w:spacing w:after="30"/>
        <w:ind w:left="360"/>
      </w:pPr>
      <w:r>
        <w:t>No debe incluir cobros todavía pendientes.</w:t>
      </w:r>
    </w:p>
    <w:p>
      <w:pPr>
        <w:pStyle w:val="Heading1"/>
      </w:pPr>
      <w:r>
        <w:t>12. Caja de infraestructura y transferencias a proveedores</w:t>
      </w:r>
    </w:p>
    <w:p>
      <w:pPr/>
      <w:r>
        <w:t>La plataforma distingue entre dinero de infraestructura que todavía está en la caja de la empresa y dinero que ya fue transferido a proveedores. Las transferencias no son retiros de utilidad.</w:t>
      </w:r>
    </w:p>
    <w:p>
      <w:pPr>
        <w:pStyle w:val="Heading2"/>
      </w:pPr>
      <w:r>
        <w:t>12.1 Trazabilidad FIFO por bolsa</w:t>
      </w:r>
    </w:p>
    <w:p>
      <w:pPr>
        <w:pStyle w:val="CodeLite"/>
      </w:pPr>
      <w:r>
        <w:t>Bolsa A: USD 50 de infraestructura disponible</w:t>
      </w:r>
    </w:p>
    <w:p>
      <w:pPr>
        <w:pStyle w:val="CodeLite"/>
      </w:pPr>
      <w:r>
        <w:t>Bolsa B: USD 20 de infraestructura disponible</w:t>
      </w:r>
    </w:p>
    <w:p>
      <w:pPr>
        <w:pStyle w:val="CodeLite"/>
      </w:pPr>
      <w:r/>
    </w:p>
    <w:p>
      <w:pPr>
        <w:pStyle w:val="CodeLite"/>
      </w:pPr>
      <w:r>
        <w:t>Transferencia a RunPod: USD 60</w:t>
      </w:r>
    </w:p>
    <w:p>
      <w:pPr>
        <w:pStyle w:val="CodeLite"/>
      </w:pPr>
      <w:r/>
    </w:p>
    <w:p>
      <w:pPr>
        <w:pStyle w:val="CodeLite"/>
      </w:pPr>
      <w:r>
        <w:t>Asignación:</w:t>
      </w:r>
    </w:p>
    <w:p>
      <w:pPr>
        <w:pStyle w:val="CodeLite"/>
      </w:pPr>
      <w:r>
        <w:t>USD 50 &lt;- Bolsa A</w:t>
      </w:r>
    </w:p>
    <w:p>
      <w:pPr>
        <w:pStyle w:val="CodeLite"/>
      </w:pPr>
      <w:r>
        <w:t>USD 10 &lt;- Bolsa B</w:t>
      </w:r>
    </w:p>
    <w:p>
      <w:pPr/>
      <w:r>
        <w:t>Esta asignación por bolsa es indispensable para saber qué parte puede liberarse a utilidad si una bolsa vence y qué parte ya no está físicamente disponible porque fue enviada al proveedor.</w:t>
      </w:r>
    </w:p>
    <w:p>
      <w:pPr>
        <w:pStyle w:val="Heading2"/>
      </w:pPr>
      <w:r>
        <w:t>12.2 Estados del dinero de infraestructura</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E7E9EC"/>
            <w:tcMar>
              <w:top w:w="60" w:type="dxa"/>
              <w:start w:w="80" w:type="dxa"/>
              <w:bottom w:w="60" w:type="dxa"/>
              <w:end w:w="80" w:type="dxa"/>
            </w:tcMar>
            <w:vAlign w:val="center"/>
          </w:tcPr>
          <w:p>
            <w:r>
              <w:rPr>
                <w:b/>
                <w:sz w:val="17"/>
              </w:rPr>
              <w:t>Estado</w:t>
            </w:r>
          </w:p>
        </w:tc>
        <w:tc>
          <w:tcPr>
            <w:tcW w:type="dxa" w:w="2541"/>
            <w:shd w:fill="E7E9EC"/>
            <w:tcMar>
              <w:top w:w="60" w:type="dxa"/>
              <w:start w:w="80" w:type="dxa"/>
              <w:bottom w:w="60" w:type="dxa"/>
              <w:end w:w="80" w:type="dxa"/>
            </w:tcMar>
            <w:vAlign w:val="center"/>
          </w:tcPr>
          <w:p>
            <w:r>
              <w:rPr>
                <w:b/>
                <w:sz w:val="17"/>
              </w:rPr>
              <w:t>Dónde está</w:t>
            </w:r>
          </w:p>
        </w:tc>
        <w:tc>
          <w:tcPr>
            <w:tcW w:type="dxa" w:w="2541"/>
            <w:shd w:fill="E7E9EC"/>
            <w:tcMar>
              <w:top w:w="60" w:type="dxa"/>
              <w:start w:w="80" w:type="dxa"/>
              <w:bottom w:w="60" w:type="dxa"/>
              <w:end w:w="80" w:type="dxa"/>
            </w:tcMar>
            <w:vAlign w:val="center"/>
          </w:tcPr>
          <w:p>
            <w:r>
              <w:rPr>
                <w:b/>
                <w:sz w:val="17"/>
              </w:rPr>
              <w:t>¿Retirable?</w:t>
            </w:r>
          </w:p>
        </w:tc>
        <w:tc>
          <w:tcPr>
            <w:tcW w:type="dxa" w:w="2541"/>
            <w:shd w:fill="E7E9EC"/>
            <w:tcMar>
              <w:top w:w="60" w:type="dxa"/>
              <w:start w:w="80" w:type="dxa"/>
              <w:bottom w:w="60" w:type="dxa"/>
              <w:end w:w="80" w:type="dxa"/>
            </w:tcMar>
            <w:vAlign w:val="center"/>
          </w:tcPr>
          <w:p>
            <w:r>
              <w:rPr>
                <w:b/>
                <w:sz w:val="17"/>
              </w:rPr>
              <w:t>Uso</w:t>
            </w:r>
          </w:p>
        </w:tc>
      </w:tr>
      <w:tr>
        <w:trPr>
          <w:cantSplit/>
        </w:trPr>
        <w:tc>
          <w:tcPr>
            <w:tcW w:type="dxa" w:w="2541"/>
            <w:tcMar>
              <w:top w:w="60" w:type="dxa"/>
              <w:start w:w="80" w:type="dxa"/>
              <w:bottom w:w="60" w:type="dxa"/>
              <w:end w:w="80" w:type="dxa"/>
            </w:tcMar>
            <w:vAlign w:val="center"/>
          </w:tcPr>
          <w:p>
            <w:r>
              <w:rPr>
                <w:sz w:val="16"/>
              </w:rPr>
              <w:t>Aún en caja para IA</w:t>
            </w:r>
          </w:p>
        </w:tc>
        <w:tc>
          <w:tcPr>
            <w:tcW w:type="dxa" w:w="2541"/>
            <w:tcMar>
              <w:top w:w="60" w:type="dxa"/>
              <w:start w:w="80" w:type="dxa"/>
              <w:bottom w:w="60" w:type="dxa"/>
              <w:end w:w="80" w:type="dxa"/>
            </w:tcMar>
            <w:vAlign w:val="center"/>
          </w:tcPr>
          <w:p>
            <w:r>
              <w:rPr>
                <w:sz w:val="16"/>
              </w:rPr>
              <w:t>Cuenta/caja de la empresa</w:t>
            </w:r>
          </w:p>
        </w:tc>
        <w:tc>
          <w:tcPr>
            <w:tcW w:type="dxa" w:w="2541"/>
            <w:tcMar>
              <w:top w:w="60" w:type="dxa"/>
              <w:start w:w="80" w:type="dxa"/>
              <w:bottom w:w="60" w:type="dxa"/>
              <w:end w:w="80" w:type="dxa"/>
            </w:tcMar>
            <w:vAlign w:val="center"/>
          </w:tcPr>
          <w:p>
            <w:r>
              <w:rPr>
                <w:sz w:val="16"/>
              </w:rPr>
              <w:t>No mientras respalde tokens</w:t>
            </w:r>
          </w:p>
        </w:tc>
        <w:tc>
          <w:tcPr>
            <w:tcW w:type="dxa" w:w="2541"/>
            <w:tcMar>
              <w:top w:w="60" w:type="dxa"/>
              <w:start w:w="80" w:type="dxa"/>
              <w:bottom w:w="60" w:type="dxa"/>
              <w:end w:w="80" w:type="dxa"/>
            </w:tcMar>
            <w:vAlign w:val="center"/>
          </w:tcPr>
          <w:p>
            <w:r>
              <w:rPr>
                <w:sz w:val="16"/>
              </w:rPr>
              <w:t>Fondear proveedores</w:t>
            </w:r>
          </w:p>
        </w:tc>
      </w:tr>
      <w:tr>
        <w:trPr>
          <w:cantSplit/>
        </w:trPr>
        <w:tc>
          <w:tcPr>
            <w:tcW w:type="dxa" w:w="2541"/>
            <w:tcMar>
              <w:top w:w="60" w:type="dxa"/>
              <w:start w:w="80" w:type="dxa"/>
              <w:bottom w:w="60" w:type="dxa"/>
              <w:end w:w="80" w:type="dxa"/>
            </w:tcMar>
            <w:vAlign w:val="center"/>
          </w:tcPr>
          <w:p>
            <w:r>
              <w:rPr>
                <w:sz w:val="16"/>
              </w:rPr>
              <w:t>Ya enviado a proveedor</w:t>
            </w:r>
          </w:p>
        </w:tc>
        <w:tc>
          <w:tcPr>
            <w:tcW w:type="dxa" w:w="2541"/>
            <w:tcMar>
              <w:top w:w="60" w:type="dxa"/>
              <w:start w:w="80" w:type="dxa"/>
              <w:bottom w:w="60" w:type="dxa"/>
              <w:end w:w="80" w:type="dxa"/>
            </w:tcMar>
            <w:vAlign w:val="center"/>
          </w:tcPr>
          <w:p>
            <w:r>
              <w:rPr>
                <w:sz w:val="16"/>
              </w:rPr>
              <w:t>Modal/RunPod/Beam</w:t>
            </w:r>
          </w:p>
        </w:tc>
        <w:tc>
          <w:tcPr>
            <w:tcW w:type="dxa" w:w="2541"/>
            <w:tcMar>
              <w:top w:w="60" w:type="dxa"/>
              <w:start w:w="80" w:type="dxa"/>
              <w:bottom w:w="60" w:type="dxa"/>
              <w:end w:w="80" w:type="dxa"/>
            </w:tcMar>
            <w:vAlign w:val="center"/>
          </w:tcPr>
          <w:p>
            <w:r>
              <w:rPr>
                <w:sz w:val="16"/>
              </w:rPr>
              <w:t>No</w:t>
            </w:r>
          </w:p>
        </w:tc>
        <w:tc>
          <w:tcPr>
            <w:tcW w:type="dxa" w:w="2541"/>
            <w:tcMar>
              <w:top w:w="60" w:type="dxa"/>
              <w:start w:w="80" w:type="dxa"/>
              <w:bottom w:w="60" w:type="dxa"/>
              <w:end w:w="80" w:type="dxa"/>
            </w:tcMar>
            <w:vAlign w:val="center"/>
          </w:tcPr>
          <w:p>
            <w:r>
              <w:rPr>
                <w:sz w:val="16"/>
              </w:rPr>
              <w:t>Cubrir generaciones</w:t>
            </w:r>
          </w:p>
        </w:tc>
      </w:tr>
      <w:tr>
        <w:trPr>
          <w:cantSplit/>
        </w:trPr>
        <w:tc>
          <w:tcPr>
            <w:tcW w:type="dxa" w:w="2541"/>
            <w:tcMar>
              <w:top w:w="60" w:type="dxa"/>
              <w:start w:w="80" w:type="dxa"/>
              <w:bottom w:w="60" w:type="dxa"/>
              <w:end w:w="80" w:type="dxa"/>
            </w:tcMar>
            <w:vAlign w:val="center"/>
          </w:tcPr>
          <w:p>
            <w:r>
              <w:rPr>
                <w:sz w:val="16"/>
              </w:rPr>
              <w:t>Costo consumido</w:t>
            </w:r>
          </w:p>
        </w:tc>
        <w:tc>
          <w:tcPr>
            <w:tcW w:type="dxa" w:w="2541"/>
            <w:tcMar>
              <w:top w:w="60" w:type="dxa"/>
              <w:start w:w="80" w:type="dxa"/>
              <w:bottom w:w="60" w:type="dxa"/>
              <w:end w:w="80" w:type="dxa"/>
            </w:tcMar>
            <w:vAlign w:val="center"/>
          </w:tcPr>
          <w:p>
            <w:r>
              <w:rPr>
                <w:sz w:val="16"/>
              </w:rPr>
              <w:t>Gastado por generación</w:t>
            </w:r>
          </w:p>
        </w:tc>
        <w:tc>
          <w:tcPr>
            <w:tcW w:type="dxa" w:w="2541"/>
            <w:tcMar>
              <w:top w:w="60" w:type="dxa"/>
              <w:start w:w="80" w:type="dxa"/>
              <w:bottom w:w="60" w:type="dxa"/>
              <w:end w:w="80" w:type="dxa"/>
            </w:tcMar>
            <w:vAlign w:val="center"/>
          </w:tcPr>
          <w:p>
            <w:r>
              <w:rPr>
                <w:sz w:val="16"/>
              </w:rPr>
              <w:t>No</w:t>
            </w:r>
          </w:p>
        </w:tc>
        <w:tc>
          <w:tcPr>
            <w:tcW w:type="dxa" w:w="2541"/>
            <w:tcMar>
              <w:top w:w="60" w:type="dxa"/>
              <w:start w:w="80" w:type="dxa"/>
              <w:bottom w:w="60" w:type="dxa"/>
              <w:end w:w="80" w:type="dxa"/>
            </w:tcMar>
            <w:vAlign w:val="center"/>
          </w:tcPr>
          <w:p>
            <w:r>
              <w:rPr>
                <w:sz w:val="16"/>
              </w:rPr>
              <w:t>Costo real</w:t>
            </w:r>
          </w:p>
        </w:tc>
      </w:tr>
      <w:tr>
        <w:trPr>
          <w:cantSplit/>
        </w:trPr>
        <w:tc>
          <w:tcPr>
            <w:tcW w:type="dxa" w:w="2541"/>
            <w:tcMar>
              <w:top w:w="60" w:type="dxa"/>
              <w:start w:w="80" w:type="dxa"/>
              <w:bottom w:w="60" w:type="dxa"/>
              <w:end w:w="80" w:type="dxa"/>
            </w:tcMar>
            <w:vAlign w:val="center"/>
          </w:tcPr>
          <w:p>
            <w:r>
              <w:rPr>
                <w:sz w:val="16"/>
              </w:rPr>
              <w:t>Quedó dentro del proveedor al vencer</w:t>
            </w:r>
          </w:p>
        </w:tc>
        <w:tc>
          <w:tcPr>
            <w:tcW w:type="dxa" w:w="2541"/>
            <w:tcMar>
              <w:top w:w="60" w:type="dxa"/>
              <w:start w:w="80" w:type="dxa"/>
              <w:bottom w:w="60" w:type="dxa"/>
              <w:end w:w="80" w:type="dxa"/>
            </w:tcMar>
            <w:vAlign w:val="center"/>
          </w:tcPr>
          <w:p>
            <w:r>
              <w:rPr>
                <w:sz w:val="16"/>
              </w:rPr>
              <w:t>Proveedor</w:t>
            </w:r>
          </w:p>
        </w:tc>
        <w:tc>
          <w:tcPr>
            <w:tcW w:type="dxa" w:w="2541"/>
            <w:tcMar>
              <w:top w:w="60" w:type="dxa"/>
              <w:start w:w="80" w:type="dxa"/>
              <w:bottom w:w="60" w:type="dxa"/>
              <w:end w:w="80" w:type="dxa"/>
            </w:tcMar>
            <w:vAlign w:val="center"/>
          </w:tcPr>
          <w:p>
            <w:r>
              <w:rPr>
                <w:sz w:val="16"/>
              </w:rPr>
              <w:t>No</w:t>
            </w:r>
          </w:p>
        </w:tc>
        <w:tc>
          <w:tcPr>
            <w:tcW w:type="dxa" w:w="2541"/>
            <w:tcMar>
              <w:top w:w="60" w:type="dxa"/>
              <w:start w:w="80" w:type="dxa"/>
              <w:bottom w:w="60" w:type="dxa"/>
              <w:end w:w="80" w:type="dxa"/>
            </w:tcMar>
            <w:vAlign w:val="center"/>
          </w:tcPr>
          <w:p>
            <w:r>
              <w:rPr>
                <w:sz w:val="16"/>
              </w:rPr>
              <w:t>Registro interno; no se suma a efectivo retirable</w:t>
            </w:r>
          </w:p>
        </w:tc>
      </w:tr>
    </w:tbl>
    <w:p/>
    <w:p>
      <w:pPr>
        <w:pStyle w:val="Heading1"/>
      </w:pPr>
      <w:r>
        <w:t>13. Vencimiento de bolsas y tratamiento del dinero</w:t>
      </w:r>
    </w:p>
    <w:p>
      <w:pPr/>
      <w:r>
        <w:t>Cuando tokens comerciales vencen, dejan de representar una obligación futura. El sistema debe separar lo que todavía está en poder de la empresa de lo que ya fue enviado al proveedor.</w:t>
      </w:r>
    </w:p>
    <w:p>
      <w:pPr>
        <w:pStyle w:val="Heading2"/>
      </w:pPr>
      <w:r>
        <w:t>13.1 Ejemplo</w:t>
      </w:r>
    </w:p>
    <w:p>
      <w:pPr>
        <w:pStyle w:val="CodeLite"/>
      </w:pPr>
      <w:r>
        <w:t>Bolsa original: 500 tokens</w:t>
      </w:r>
    </w:p>
    <w:p>
      <w:pPr>
        <w:pStyle w:val="CodeLite"/>
      </w:pPr>
      <w:r>
        <w:t>Cliente usó: 50</w:t>
      </w:r>
    </w:p>
    <w:p>
      <w:pPr>
        <w:pStyle w:val="CodeLite"/>
      </w:pPr>
      <w:r>
        <w:t>Vencen: 450</w:t>
      </w:r>
    </w:p>
    <w:p>
      <w:pPr>
        <w:pStyle w:val="CodeLite"/>
      </w:pPr>
      <w:r/>
    </w:p>
    <w:p>
      <w:pPr>
        <w:pStyle w:val="CodeLite"/>
      </w:pPr>
      <w:r>
        <w:t>Reserva IA/token: USD 0.007</w:t>
      </w:r>
    </w:p>
    <w:p>
      <w:pPr>
        <w:pStyle w:val="CodeLite"/>
      </w:pPr>
      <w:r>
        <w:t>Reserva que vence: 450 × 0.007 = USD 3.15</w:t>
      </w:r>
    </w:p>
    <w:p>
      <w:pPr>
        <w:pStyle w:val="CodeLite"/>
      </w:pPr>
      <w:r/>
    </w:p>
    <w:p>
      <w:pPr>
        <w:pStyle w:val="CodeLite"/>
      </w:pPr>
      <w:r>
        <w:t>Si USD 0.35 de esa reserva ya quedaron dentro de Modal:</w:t>
      </w:r>
    </w:p>
    <w:p>
      <w:pPr>
        <w:pStyle w:val="CodeLite"/>
      </w:pPr>
      <w:r>
        <w:t>USD 3.15 - USD 0.35 = USD 2.80</w:t>
      </w:r>
    </w:p>
    <w:p>
      <w:pPr>
        <w:pStyle w:val="CodeLite"/>
      </w:pPr>
      <w:r/>
    </w:p>
    <w:p>
      <w:pPr>
        <w:pStyle w:val="CodeLite"/>
      </w:pPr>
      <w:r>
        <w:t>USD 2.80 -&gt; utilidad retirable</w:t>
      </w:r>
    </w:p>
    <w:p>
      <w:pPr>
        <w:pStyle w:val="CodeLite"/>
      </w:pPr>
      <w:r>
        <w:t>USD 0.35 -&gt; queda registrado dentro del proveedor, no retirable</w:t>
      </w:r>
    </w:p>
    <w:tbl>
      <w:tblPr>
        <w:tblW w:type="auto" w:w="0"/>
        <w:jc w:val="center"/>
        <w:tblLook w:firstColumn="1" w:firstRow="1" w:lastColumn="0" w:lastRow="0" w:noHBand="0" w:noVBand="1" w:val="04A0"/>
      </w:tblPr>
      <w:tblGrid>
        <w:gridCol w:w="10166"/>
      </w:tblGrid>
      <w:tr>
        <w:trPr>
          <w:cantSplit/>
        </w:trPr>
        <w:tc>
          <w:tcPr>
            <w:tcW w:type="dxa" w:w="10166"/>
            <w:shd w:fill="F7F1F2"/>
            <w:tcMar>
              <w:top w:w="100" w:type="dxa"/>
              <w:start w:w="120" w:type="dxa"/>
              <w:bottom w:w="100" w:type="dxa"/>
              <w:end w:w="120" w:type="dxa"/>
            </w:tcMar>
          </w:tcPr>
          <w:p>
            <w:r>
              <w:rPr>
                <w:b/>
                <w:color w:val="7A1C24"/>
              </w:rPr>
              <w:t xml:space="preserve">Regla física del dinero: </w:t>
            </w:r>
            <w:r>
              <w:rPr>
                <w:sz w:val="19"/>
              </w:rPr>
              <w:t>el sistema nunca debe afirmar que puedes retirar dinero que ya fue transferido a un proveedor. La utilidad económica y el efectivo disponible no siempre son lo mismo.</w:t>
            </w:r>
          </w:p>
        </w:tc>
      </w:tr>
    </w:tbl>
    <w:p/>
    <w:p>
      <w:pPr>
        <w:pStyle w:val="Heading2"/>
      </w:pPr>
      <w:r>
        <w:t>13.2 Bolsa agotada vs. vencida</w:t>
      </w:r>
    </w:p>
    <w:p>
      <w:pPr>
        <w:pStyle w:val="ListBullet"/>
        <w:spacing w:after="30"/>
        <w:ind w:left="360"/>
      </w:pPr>
      <w:r>
        <w:t>Agotada: el usuario consumió todos los tokens antes del vencimiento.</w:t>
      </w:r>
    </w:p>
    <w:p>
      <w:pPr>
        <w:pStyle w:val="ListBullet"/>
        <w:spacing w:after="30"/>
        <w:ind w:left="360"/>
      </w:pPr>
      <w:r>
        <w:t>Vencida: quedaban tokens, pero su fecha de uso terminó.</w:t>
      </w:r>
    </w:p>
    <w:p>
      <w:pPr>
        <w:pStyle w:val="ListBullet"/>
        <w:spacing w:after="30"/>
        <w:ind w:left="360"/>
      </w:pPr>
      <w:r>
        <w:t>La fecha original puede conservarse para auditoría aunque la bolsa esté agotada.</w:t>
      </w:r>
    </w:p>
    <w:p>
      <w:pPr>
        <w:pStyle w:val="ListBullet"/>
        <w:spacing w:after="30"/>
        <w:ind w:left="360"/>
      </w:pPr>
      <w:r>
        <w:t>El estado operativo prevalece sobre la fecha para determinar si los tokens pueden utilizarse.</w:t>
      </w:r>
    </w:p>
    <w:p>
      <w:pPr>
        <w:pStyle w:val="Heading1"/>
      </w:pPr>
      <w:r>
        <w:t>14. Créditos promocionales y tokens gratis</w:t>
      </w:r>
    </w:p>
    <w:p>
      <w:pPr/>
      <w:r>
        <w:t>Los tokens gratuitos no son una venta. Deben crear bolsas promocionales independientes, con ganancia cero y gasto operativo cero, respaldadas por un fondo promocional real.</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E7E9EC"/>
            <w:tcMar>
              <w:top w:w="60" w:type="dxa"/>
              <w:start w:w="80" w:type="dxa"/>
              <w:bottom w:w="60" w:type="dxa"/>
              <w:end w:w="80" w:type="dxa"/>
            </w:tcMar>
            <w:vAlign w:val="center"/>
          </w:tcPr>
          <w:p>
            <w:r>
              <w:rPr>
                <w:b/>
                <w:sz w:val="17"/>
              </w:rPr>
              <w:t>Componente</w:t>
            </w:r>
          </w:p>
        </w:tc>
        <w:tc>
          <w:tcPr>
            <w:tcW w:type="dxa" w:w="3389"/>
            <w:shd w:fill="E7E9EC"/>
            <w:tcMar>
              <w:top w:w="60" w:type="dxa"/>
              <w:start w:w="80" w:type="dxa"/>
              <w:bottom w:w="60" w:type="dxa"/>
              <w:end w:w="80" w:type="dxa"/>
            </w:tcMar>
            <w:vAlign w:val="center"/>
          </w:tcPr>
          <w:p>
            <w:r>
              <w:rPr>
                <w:b/>
                <w:sz w:val="17"/>
              </w:rPr>
              <w:t>Token comercial</w:t>
            </w:r>
          </w:p>
        </w:tc>
        <w:tc>
          <w:tcPr>
            <w:tcW w:type="dxa" w:w="3389"/>
            <w:shd w:fill="E7E9EC"/>
            <w:tcMar>
              <w:top w:w="60" w:type="dxa"/>
              <w:start w:w="80" w:type="dxa"/>
              <w:bottom w:w="60" w:type="dxa"/>
              <w:end w:w="80" w:type="dxa"/>
            </w:tcMar>
            <w:vAlign w:val="center"/>
          </w:tcPr>
          <w:p>
            <w:r>
              <w:rPr>
                <w:b/>
                <w:sz w:val="17"/>
              </w:rPr>
              <w:t>Token promocional</w:t>
            </w:r>
          </w:p>
        </w:tc>
      </w:tr>
      <w:tr>
        <w:trPr>
          <w:cantSplit/>
        </w:trPr>
        <w:tc>
          <w:tcPr>
            <w:tcW w:type="dxa" w:w="3389"/>
            <w:tcMar>
              <w:top w:w="60" w:type="dxa"/>
              <w:start w:w="80" w:type="dxa"/>
              <w:bottom w:w="60" w:type="dxa"/>
              <w:end w:w="80" w:type="dxa"/>
            </w:tcMar>
            <w:vAlign w:val="center"/>
          </w:tcPr>
          <w:p>
            <w:r>
              <w:rPr>
                <w:sz w:val="16"/>
              </w:rPr>
              <w:t>Cliente pagó</w:t>
            </w:r>
          </w:p>
        </w:tc>
        <w:tc>
          <w:tcPr>
            <w:tcW w:type="dxa" w:w="3389"/>
            <w:tcMar>
              <w:top w:w="60" w:type="dxa"/>
              <w:start w:w="80" w:type="dxa"/>
              <w:bottom w:w="60" w:type="dxa"/>
              <w:end w:w="80" w:type="dxa"/>
            </w:tcMar>
            <w:vAlign w:val="center"/>
          </w:tcPr>
          <w:p>
            <w:r>
              <w:rPr>
                <w:sz w:val="16"/>
              </w:rPr>
              <w:t>Sí</w:t>
            </w:r>
          </w:p>
        </w:tc>
        <w:tc>
          <w:tcPr>
            <w:tcW w:type="dxa" w:w="3389"/>
            <w:tcMar>
              <w:top w:w="60" w:type="dxa"/>
              <w:start w:w="80" w:type="dxa"/>
              <w:bottom w:w="60" w:type="dxa"/>
              <w:end w:w="80" w:type="dxa"/>
            </w:tcMar>
            <w:vAlign w:val="center"/>
          </w:tcPr>
          <w:p>
            <w:r>
              <w:rPr>
                <w:sz w:val="16"/>
              </w:rPr>
              <w:t>USD 0</w:t>
            </w:r>
          </w:p>
        </w:tc>
      </w:tr>
      <w:tr>
        <w:trPr>
          <w:cantSplit/>
        </w:trPr>
        <w:tc>
          <w:tcPr>
            <w:tcW w:type="dxa" w:w="3389"/>
            <w:tcMar>
              <w:top w:w="60" w:type="dxa"/>
              <w:start w:w="80" w:type="dxa"/>
              <w:bottom w:w="60" w:type="dxa"/>
              <w:end w:w="80" w:type="dxa"/>
            </w:tcMar>
            <w:vAlign w:val="center"/>
          </w:tcPr>
          <w:p>
            <w:r>
              <w:rPr>
                <w:sz w:val="16"/>
              </w:rPr>
              <w:t>Ganancia</w:t>
            </w:r>
          </w:p>
        </w:tc>
        <w:tc>
          <w:tcPr>
            <w:tcW w:type="dxa" w:w="3389"/>
            <w:tcMar>
              <w:top w:w="60" w:type="dxa"/>
              <w:start w:w="80" w:type="dxa"/>
              <w:bottom w:w="60" w:type="dxa"/>
              <w:end w:w="80" w:type="dxa"/>
            </w:tcMar>
            <w:vAlign w:val="center"/>
          </w:tcPr>
          <w:p>
            <w:r>
              <w:rPr>
                <w:sz w:val="16"/>
              </w:rPr>
              <w:t>Según snapshot</w:t>
            </w:r>
          </w:p>
        </w:tc>
        <w:tc>
          <w:tcPr>
            <w:tcW w:type="dxa" w:w="3389"/>
            <w:tcMar>
              <w:top w:w="60" w:type="dxa"/>
              <w:start w:w="80" w:type="dxa"/>
              <w:bottom w:w="60" w:type="dxa"/>
              <w:end w:w="80" w:type="dxa"/>
            </w:tcMar>
            <w:vAlign w:val="center"/>
          </w:tcPr>
          <w:p>
            <w:r>
              <w:rPr>
                <w:sz w:val="16"/>
              </w:rPr>
              <w:t>USD 0</w:t>
            </w:r>
          </w:p>
        </w:tc>
      </w:tr>
      <w:tr>
        <w:trPr>
          <w:cantSplit/>
        </w:trPr>
        <w:tc>
          <w:tcPr>
            <w:tcW w:type="dxa" w:w="3389"/>
            <w:tcMar>
              <w:top w:w="60" w:type="dxa"/>
              <w:start w:w="80" w:type="dxa"/>
              <w:bottom w:w="60" w:type="dxa"/>
              <w:end w:w="80" w:type="dxa"/>
            </w:tcMar>
            <w:vAlign w:val="center"/>
          </w:tcPr>
          <w:p>
            <w:r>
              <w:rPr>
                <w:sz w:val="16"/>
              </w:rPr>
              <w:t>Gasto operativo</w:t>
            </w:r>
          </w:p>
        </w:tc>
        <w:tc>
          <w:tcPr>
            <w:tcW w:type="dxa" w:w="3389"/>
            <w:tcMar>
              <w:top w:w="60" w:type="dxa"/>
              <w:start w:w="80" w:type="dxa"/>
              <w:bottom w:w="60" w:type="dxa"/>
              <w:end w:w="80" w:type="dxa"/>
            </w:tcMar>
            <w:vAlign w:val="center"/>
          </w:tcPr>
          <w:p>
            <w:r>
              <w:rPr>
                <w:sz w:val="16"/>
              </w:rPr>
              <w:t>Según snapshot</w:t>
            </w:r>
          </w:p>
        </w:tc>
        <w:tc>
          <w:tcPr>
            <w:tcW w:type="dxa" w:w="3389"/>
            <w:tcMar>
              <w:top w:w="60" w:type="dxa"/>
              <w:start w:w="80" w:type="dxa"/>
              <w:bottom w:w="60" w:type="dxa"/>
              <w:end w:w="80" w:type="dxa"/>
            </w:tcMar>
            <w:vAlign w:val="center"/>
          </w:tcPr>
          <w:p>
            <w:r>
              <w:rPr>
                <w:sz w:val="16"/>
              </w:rPr>
              <w:t>USD 0</w:t>
            </w:r>
          </w:p>
        </w:tc>
      </w:tr>
      <w:tr>
        <w:trPr>
          <w:cantSplit/>
        </w:trPr>
        <w:tc>
          <w:tcPr>
            <w:tcW w:type="dxa" w:w="3389"/>
            <w:tcMar>
              <w:top w:w="60" w:type="dxa"/>
              <w:start w:w="80" w:type="dxa"/>
              <w:bottom w:w="60" w:type="dxa"/>
              <w:end w:w="80" w:type="dxa"/>
            </w:tcMar>
            <w:vAlign w:val="center"/>
          </w:tcPr>
          <w:p>
            <w:r>
              <w:rPr>
                <w:sz w:val="16"/>
              </w:rPr>
              <w:t>IA</w:t>
            </w:r>
          </w:p>
        </w:tc>
        <w:tc>
          <w:tcPr>
            <w:tcW w:type="dxa" w:w="3389"/>
            <w:tcMar>
              <w:top w:w="60" w:type="dxa"/>
              <w:start w:w="80" w:type="dxa"/>
              <w:bottom w:w="60" w:type="dxa"/>
              <w:end w:w="80" w:type="dxa"/>
            </w:tcMar>
            <w:vAlign w:val="center"/>
          </w:tcPr>
          <w:p>
            <w:r>
              <w:rPr>
                <w:sz w:val="16"/>
              </w:rPr>
              <w:t>Reserva comercial</w:t>
            </w:r>
          </w:p>
        </w:tc>
        <w:tc>
          <w:tcPr>
            <w:tcW w:type="dxa" w:w="3389"/>
            <w:tcMar>
              <w:top w:w="60" w:type="dxa"/>
              <w:start w:w="80" w:type="dxa"/>
              <w:bottom w:w="60" w:type="dxa"/>
              <w:end w:w="80" w:type="dxa"/>
            </w:tcMar>
            <w:vAlign w:val="center"/>
          </w:tcPr>
          <w:p>
            <w:r>
              <w:rPr>
                <w:sz w:val="16"/>
              </w:rPr>
              <w:t>Fondo promocional</w:t>
            </w:r>
          </w:p>
        </w:tc>
      </w:tr>
      <w:tr>
        <w:trPr>
          <w:cantSplit/>
        </w:trPr>
        <w:tc>
          <w:tcPr>
            <w:tcW w:type="dxa" w:w="3389"/>
            <w:tcMar>
              <w:top w:w="60" w:type="dxa"/>
              <w:start w:w="80" w:type="dxa"/>
              <w:bottom w:w="60" w:type="dxa"/>
              <w:end w:w="80" w:type="dxa"/>
            </w:tcMar>
            <w:vAlign w:val="center"/>
          </w:tcPr>
          <w:p>
            <w:r>
              <w:rPr>
                <w:sz w:val="16"/>
              </w:rPr>
              <w:t>Snapshot</w:t>
            </w:r>
          </w:p>
        </w:tc>
        <w:tc>
          <w:tcPr>
            <w:tcW w:type="dxa" w:w="3389"/>
            <w:tcMar>
              <w:top w:w="60" w:type="dxa"/>
              <w:start w:w="80" w:type="dxa"/>
              <w:bottom w:w="60" w:type="dxa"/>
              <w:end w:w="80" w:type="dxa"/>
            </w:tcMar>
            <w:vAlign w:val="center"/>
          </w:tcPr>
          <w:p>
            <w:r>
              <w:rPr>
                <w:sz w:val="16"/>
              </w:rPr>
              <w:t>Comercial V3</w:t>
            </w:r>
          </w:p>
        </w:tc>
        <w:tc>
          <w:tcPr>
            <w:tcW w:type="dxa" w:w="3389"/>
            <w:tcMar>
              <w:top w:w="60" w:type="dxa"/>
              <w:start w:w="80" w:type="dxa"/>
              <w:bottom w:w="60" w:type="dxa"/>
              <w:end w:w="80" w:type="dxa"/>
            </w:tcMar>
            <w:vAlign w:val="center"/>
          </w:tcPr>
          <w:p>
            <w:r>
              <w:rPr>
                <w:sz w:val="16"/>
              </w:rPr>
              <w:t>Promocional</w:t>
            </w:r>
          </w:p>
        </w:tc>
      </w:tr>
    </w:tbl>
    <w:p/>
    <w:p>
      <w:pPr>
        <w:pStyle w:val="Heading2"/>
      </w:pPr>
      <w:r>
        <w:t>14.1 Fondo promocional por proveedor</w:t>
      </w:r>
    </w:p>
    <w:p>
      <w:pPr/>
      <w:r>
        <w:t>Los fondos promocionales pueden registrarse por proveedor (Modal, RunPod, Beam) o como fondo general. Un crédito específico de Modal no debe financiar silenciosamente una ejecución de RunPod.</w:t>
      </w:r>
    </w:p>
    <w:p>
      <w:pPr>
        <w:pStyle w:val="Heading2"/>
      </w:pPr>
      <w:r>
        <w:t>14.2 Registro automático</w:t>
      </w:r>
    </w:p>
    <w:p>
      <w:pPr>
        <w:pStyle w:val="CodeLite"/>
      </w:pPr>
      <w:r>
        <w:t>Configuración:</w:t>
      </w:r>
    </w:p>
    <w:p>
      <w:pPr>
        <w:pStyle w:val="CodeLite"/>
      </w:pPr>
      <w:r>
        <w:t>Tokens gratis al registrarse: 12</w:t>
      </w:r>
    </w:p>
    <w:p>
      <w:pPr>
        <w:pStyle w:val="CodeLite"/>
      </w:pPr>
      <w:r/>
    </w:p>
    <w:p>
      <w:pPr>
        <w:pStyle w:val="CodeLite"/>
      </w:pPr>
      <w:r>
        <w:t>Fondo solo alcanza para 4:</w:t>
      </w:r>
    </w:p>
    <w:p>
      <w:pPr>
        <w:pStyle w:val="CodeLite"/>
      </w:pPr>
      <w:r>
        <w:t>-&gt; el usuario recibe 4</w:t>
      </w:r>
    </w:p>
    <w:p>
      <w:pPr>
        <w:pStyle w:val="CodeLite"/>
      </w:pPr>
      <w:r>
        <w:t>-&gt; no se crean 8 tokens sin respaldo</w:t>
      </w:r>
    </w:p>
    <w:p>
      <w:pPr>
        <w:pStyle w:val="Heading2"/>
      </w:pPr>
      <w:r>
        <w:t>14.3 Asignación manual</w:t>
      </w:r>
    </w:p>
    <w:p>
      <w:pPr/>
      <w:r>
        <w:t>El administrador puede asignar tokens promocionales a un usuario. La operación debe ser todo o nada cuando se pide una cantidad exacta: si no existe respaldo suficiente, no se inventan tokens.</w:t>
      </w:r>
    </w:p>
    <w:p>
      <w:pPr>
        <w:pStyle w:val="Heading2"/>
      </w:pPr>
      <w:r>
        <w:t>14.4 Vencimiento promocional</w:t>
      </w:r>
    </w:p>
    <w:p>
      <w:pPr/>
      <w:r>
        <w:t>Cuando una bolsa promocional vence, el respaldo no utilizado regresa al mismo fondo promocional. No se convierte en utilidad ni en caja operativa porque el cliente nunca pagó ese dinero.</w:t>
      </w:r>
    </w:p>
    <w:p>
      <w:pPr>
        <w:pStyle w:val="Heading1"/>
      </w:pPr>
      <w:r>
        <w:t>15. Caja de gastos operativos</w:t>
      </w:r>
    </w:p>
    <w:p>
      <w:pPr/>
      <w:r>
        <w:t>El sistema puede añadir un recargo operativo configurable por token destinado a hosting, correo, dominios, almacenamiento, software, contabilidad u otros gastos del negocio.</w:t>
      </w:r>
    </w:p>
    <w:p>
      <w:pPr>
        <w:pStyle w:val="Heading2"/>
      </w:pPr>
      <w:r>
        <w:t>15.1 Ejemplo</w:t>
      </w:r>
    </w:p>
    <w:p>
      <w:pPr>
        <w:pStyle w:val="CodeLite"/>
      </w:pPr>
      <w:r>
        <w:t>Base económica:      USD 0.110</w:t>
      </w:r>
    </w:p>
    <w:p>
      <w:pPr>
        <w:pStyle w:val="CodeLite"/>
      </w:pPr>
      <w:r>
        <w:t>Extra operativo:     USD 0.002</w:t>
      </w:r>
    </w:p>
    <w:p>
      <w:pPr>
        <w:pStyle w:val="CodeLite"/>
      </w:pPr>
      <w:r>
        <w:t>Precio nominal:      USD 0.112</w:t>
      </w:r>
    </w:p>
    <w:p>
      <w:pPr/>
      <w:r>
        <w:t>El recargo operativo queda congelado por bolsa. Si mañana cambia de USD 0.002 a USD 0.004, las bolsas antiguas siguen con 0.002 y las nuevas nacen con 0.004.</w:t>
      </w:r>
    </w:p>
    <w:p>
      <w:pPr>
        <w:pStyle w:val="Heading2"/>
      </w:pPr>
      <w:r>
        <w:t>15.2 Cuándo se vuelve disponible</w:t>
      </w:r>
    </w:p>
    <w:p>
      <w:pPr>
        <w:pStyle w:val="ListBullet"/>
        <w:spacing w:after="30"/>
        <w:ind w:left="360"/>
      </w:pPr>
      <w:r>
        <w:t>Mientras la compra siga reembolsable, el componente operativo permanece bloqueado.</w:t>
      </w:r>
    </w:p>
    <w:p>
      <w:pPr>
        <w:pStyle w:val="ListBullet"/>
        <w:spacing w:after="30"/>
        <w:ind w:left="360"/>
      </w:pPr>
      <w:r>
        <w:t>Cuando la bolsa deja de ser reembolsable por su primer uso, el componente operativo correspondiente puede liberarse según la política implementada.</w:t>
      </w:r>
    </w:p>
    <w:p>
      <w:pPr>
        <w:pStyle w:val="ListBullet"/>
        <w:spacing w:after="30"/>
        <w:ind w:left="360"/>
      </w:pPr>
      <w:r>
        <w:t>Si una bolsa nunca usada vence, su componente operativo puede liberarse.</w:t>
      </w:r>
    </w:p>
    <w:p>
      <w:pPr>
        <w:pStyle w:val="ListBullet"/>
        <w:spacing w:after="30"/>
        <w:ind w:left="360"/>
      </w:pPr>
      <w:r>
        <w:t>Si una compra se reembolsa antes de activarse, ese componente no puede convertirse en gasto disponible.</w:t>
      </w:r>
    </w:p>
    <w:p>
      <w:pPr>
        <w:pStyle w:val="ListBullet"/>
        <w:spacing w:after="30"/>
        <w:ind w:left="360"/>
      </w:pPr>
      <w:r>
        <w:t>Las bolsas promocionales aportan USD 0 a la caja operativa.</w:t>
      </w:r>
    </w:p>
    <w:p>
      <w:pPr>
        <w:pStyle w:val="Heading2"/>
      </w:pPr>
      <w:r>
        <w:t>15.3 Gastos registrados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7E9EC"/>
            <w:tcMar>
              <w:top w:w="60" w:type="dxa"/>
              <w:start w:w="80" w:type="dxa"/>
              <w:bottom w:w="60" w:type="dxa"/>
              <w:end w:w="80" w:type="dxa"/>
            </w:tcMar>
            <w:vAlign w:val="center"/>
          </w:tcPr>
          <w:p>
            <w:r>
              <w:rPr>
                <w:b/>
                <w:sz w:val="17"/>
              </w:rPr>
              <w:t>Categoría</w:t>
            </w:r>
          </w:p>
        </w:tc>
        <w:tc>
          <w:tcPr>
            <w:tcW w:type="dxa" w:w="5083"/>
            <w:shd w:fill="E7E9EC"/>
            <w:tcMar>
              <w:top w:w="60" w:type="dxa"/>
              <w:start w:w="80" w:type="dxa"/>
              <w:bottom w:w="60" w:type="dxa"/>
              <w:end w:w="80" w:type="dxa"/>
            </w:tcMar>
            <w:vAlign w:val="center"/>
          </w:tcPr>
          <w:p>
            <w:r>
              <w:rPr>
                <w:b/>
                <w:sz w:val="17"/>
              </w:rPr>
              <w:t>Ejemplos</w:t>
            </w:r>
          </w:p>
        </w:tc>
      </w:tr>
      <w:tr>
        <w:trPr>
          <w:cantSplit/>
        </w:trPr>
        <w:tc>
          <w:tcPr>
            <w:tcW w:type="dxa" w:w="5083"/>
            <w:tcMar>
              <w:top w:w="60" w:type="dxa"/>
              <w:start w:w="80" w:type="dxa"/>
              <w:bottom w:w="60" w:type="dxa"/>
              <w:end w:w="80" w:type="dxa"/>
            </w:tcMar>
            <w:vAlign w:val="center"/>
          </w:tcPr>
          <w:p>
            <w:r>
              <w:rPr>
                <w:sz w:val="16"/>
              </w:rPr>
              <w:t>Hosting</w:t>
            </w:r>
          </w:p>
        </w:tc>
        <w:tc>
          <w:tcPr>
            <w:tcW w:type="dxa" w:w="5083"/>
            <w:tcMar>
              <w:top w:w="60" w:type="dxa"/>
              <w:start w:w="80" w:type="dxa"/>
              <w:bottom w:w="60" w:type="dxa"/>
              <w:end w:w="80" w:type="dxa"/>
            </w:tcMar>
            <w:vAlign w:val="center"/>
          </w:tcPr>
          <w:p>
            <w:r>
              <w:rPr>
                <w:sz w:val="16"/>
              </w:rPr>
              <w:t>Backend, workers, hosting web</w:t>
            </w:r>
          </w:p>
        </w:tc>
      </w:tr>
      <w:tr>
        <w:trPr>
          <w:cantSplit/>
        </w:trPr>
        <w:tc>
          <w:tcPr>
            <w:tcW w:type="dxa" w:w="5083"/>
            <w:tcMar>
              <w:top w:w="60" w:type="dxa"/>
              <w:start w:w="80" w:type="dxa"/>
              <w:bottom w:w="60" w:type="dxa"/>
              <w:end w:w="80" w:type="dxa"/>
            </w:tcMar>
            <w:vAlign w:val="center"/>
          </w:tcPr>
          <w:p>
            <w:r>
              <w:rPr>
                <w:sz w:val="16"/>
              </w:rPr>
              <w:t>Correo</w:t>
            </w:r>
          </w:p>
        </w:tc>
        <w:tc>
          <w:tcPr>
            <w:tcW w:type="dxa" w:w="5083"/>
            <w:tcMar>
              <w:top w:w="60" w:type="dxa"/>
              <w:start w:w="80" w:type="dxa"/>
              <w:bottom w:w="60" w:type="dxa"/>
              <w:end w:w="80" w:type="dxa"/>
            </w:tcMar>
            <w:vAlign w:val="center"/>
          </w:tcPr>
          <w:p>
            <w:r>
              <w:rPr>
                <w:sz w:val="16"/>
              </w:rPr>
              <w:t>Mailjet, Postmark, SES</w:t>
            </w:r>
          </w:p>
        </w:tc>
      </w:tr>
      <w:tr>
        <w:trPr>
          <w:cantSplit/>
        </w:trPr>
        <w:tc>
          <w:tcPr>
            <w:tcW w:type="dxa" w:w="5083"/>
            <w:tcMar>
              <w:top w:w="60" w:type="dxa"/>
              <w:start w:w="80" w:type="dxa"/>
              <w:bottom w:w="60" w:type="dxa"/>
              <w:end w:w="80" w:type="dxa"/>
            </w:tcMar>
            <w:vAlign w:val="center"/>
          </w:tcPr>
          <w:p>
            <w:r>
              <w:rPr>
                <w:sz w:val="16"/>
              </w:rPr>
              <w:t>Dominios</w:t>
            </w:r>
          </w:p>
        </w:tc>
        <w:tc>
          <w:tcPr>
            <w:tcW w:type="dxa" w:w="5083"/>
            <w:tcMar>
              <w:top w:w="60" w:type="dxa"/>
              <w:start w:w="80" w:type="dxa"/>
              <w:bottom w:w="60" w:type="dxa"/>
              <w:end w:w="80" w:type="dxa"/>
            </w:tcMar>
            <w:vAlign w:val="center"/>
          </w:tcPr>
          <w:p>
            <w:r>
              <w:rPr>
                <w:sz w:val="16"/>
              </w:rPr>
              <w:t>Registro y renovación</w:t>
            </w:r>
          </w:p>
        </w:tc>
      </w:tr>
      <w:tr>
        <w:trPr>
          <w:cantSplit/>
        </w:trPr>
        <w:tc>
          <w:tcPr>
            <w:tcW w:type="dxa" w:w="5083"/>
            <w:tcMar>
              <w:top w:w="60" w:type="dxa"/>
              <w:start w:w="80" w:type="dxa"/>
              <w:bottom w:w="60" w:type="dxa"/>
              <w:end w:w="80" w:type="dxa"/>
            </w:tcMar>
            <w:vAlign w:val="center"/>
          </w:tcPr>
          <w:p>
            <w:r>
              <w:rPr>
                <w:sz w:val="16"/>
              </w:rPr>
              <w:t>Storage</w:t>
            </w:r>
          </w:p>
        </w:tc>
        <w:tc>
          <w:tcPr>
            <w:tcW w:type="dxa" w:w="5083"/>
            <w:tcMar>
              <w:top w:w="60" w:type="dxa"/>
              <w:start w:w="80" w:type="dxa"/>
              <w:bottom w:w="60" w:type="dxa"/>
              <w:end w:w="80" w:type="dxa"/>
            </w:tcMar>
            <w:vAlign w:val="center"/>
          </w:tcPr>
          <w:p>
            <w:r>
              <w:rPr>
                <w:sz w:val="16"/>
              </w:rPr>
              <w:t>R2, S3, backups</w:t>
            </w:r>
          </w:p>
        </w:tc>
      </w:tr>
      <w:tr>
        <w:trPr>
          <w:cantSplit/>
        </w:trPr>
        <w:tc>
          <w:tcPr>
            <w:tcW w:type="dxa" w:w="5083"/>
            <w:tcMar>
              <w:top w:w="60" w:type="dxa"/>
              <w:start w:w="80" w:type="dxa"/>
              <w:bottom w:w="60" w:type="dxa"/>
              <w:end w:w="80" w:type="dxa"/>
            </w:tcMar>
            <w:vAlign w:val="center"/>
          </w:tcPr>
          <w:p>
            <w:r>
              <w:rPr>
                <w:sz w:val="16"/>
              </w:rPr>
              <w:t>Software</w:t>
            </w:r>
          </w:p>
        </w:tc>
        <w:tc>
          <w:tcPr>
            <w:tcW w:type="dxa" w:w="5083"/>
            <w:tcMar>
              <w:top w:w="60" w:type="dxa"/>
              <w:start w:w="80" w:type="dxa"/>
              <w:bottom w:w="60" w:type="dxa"/>
              <w:end w:w="80" w:type="dxa"/>
            </w:tcMar>
            <w:vAlign w:val="center"/>
          </w:tcPr>
          <w:p>
            <w:r>
              <w:rPr>
                <w:sz w:val="16"/>
              </w:rPr>
              <w:t>SaaS y herramientas</w:t>
            </w:r>
          </w:p>
        </w:tc>
      </w:tr>
      <w:tr>
        <w:trPr>
          <w:cantSplit/>
        </w:trPr>
        <w:tc>
          <w:tcPr>
            <w:tcW w:type="dxa" w:w="5083"/>
            <w:tcMar>
              <w:top w:w="60" w:type="dxa"/>
              <w:start w:w="80" w:type="dxa"/>
              <w:bottom w:w="60" w:type="dxa"/>
              <w:end w:w="80" w:type="dxa"/>
            </w:tcMar>
            <w:vAlign w:val="center"/>
          </w:tcPr>
          <w:p>
            <w:r>
              <w:rPr>
                <w:sz w:val="16"/>
              </w:rPr>
              <w:t>Contabilidad</w:t>
            </w:r>
          </w:p>
        </w:tc>
        <w:tc>
          <w:tcPr>
            <w:tcW w:type="dxa" w:w="5083"/>
            <w:tcMar>
              <w:top w:w="60" w:type="dxa"/>
              <w:start w:w="80" w:type="dxa"/>
              <w:bottom w:w="60" w:type="dxa"/>
              <w:end w:w="80" w:type="dxa"/>
            </w:tcMar>
            <w:vAlign w:val="center"/>
          </w:tcPr>
          <w:p>
            <w:r>
              <w:rPr>
                <w:sz w:val="16"/>
              </w:rPr>
              <w:t>Servicios administrativos</w:t>
            </w:r>
          </w:p>
        </w:tc>
      </w:tr>
      <w:tr>
        <w:trPr>
          <w:cantSplit/>
        </w:trPr>
        <w:tc>
          <w:tcPr>
            <w:tcW w:type="dxa" w:w="5083"/>
            <w:tcMar>
              <w:top w:w="60" w:type="dxa"/>
              <w:start w:w="80" w:type="dxa"/>
              <w:bottom w:w="60" w:type="dxa"/>
              <w:end w:w="80" w:type="dxa"/>
            </w:tcMar>
            <w:vAlign w:val="center"/>
          </w:tcPr>
          <w:p>
            <w:r>
              <w:rPr>
                <w:sz w:val="16"/>
              </w:rPr>
              <w:t>Otros</w:t>
            </w:r>
          </w:p>
        </w:tc>
        <w:tc>
          <w:tcPr>
            <w:tcW w:type="dxa" w:w="5083"/>
            <w:tcMar>
              <w:top w:w="60" w:type="dxa"/>
              <w:start w:w="80" w:type="dxa"/>
              <w:bottom w:w="60" w:type="dxa"/>
              <w:end w:w="80" w:type="dxa"/>
            </w:tcMar>
            <w:vAlign w:val="center"/>
          </w:tcPr>
          <w:p>
            <w:r>
              <w:rPr>
                <w:sz w:val="16"/>
              </w:rPr>
              <w:t>Gastos operativos justificables</w:t>
            </w:r>
          </w:p>
        </w:tc>
      </w:tr>
    </w:tbl>
    <w:p/>
    <w:p>
      <w:pPr/>
      <w:r>
        <w:t>La caja operativa es independiente de utilidad e infraestructura. Un gasto operativo no debe registrarse como retiro de utilidad ni como fondeo de proveedor.</w:t>
      </w:r>
    </w:p>
    <w:p>
      <w:pPr>
        <w:pStyle w:val="Heading1"/>
      </w:pPr>
      <w:r>
        <w:t>16. Reembolsos y protección de fondos</w:t>
      </w:r>
    </w:p>
    <w:p>
      <w:pPr/>
      <w:r>
        <w:t>Antes de liberar componentes económicos, el sistema debe respetar la posibilidad de reembolso. Una bolsa reembolsable no puede convertir anticipadamente toda su composición en dinero gastable.</w:t>
      </w:r>
    </w:p>
    <w:p>
      <w:pPr>
        <w:pStyle w:val="ListBullet"/>
        <w:spacing w:after="30"/>
        <w:ind w:left="360"/>
      </w:pPr>
      <w:r>
        <w:t>Si una bolsa no se ha utilizado y sigue siendo reembolsable, su economía permanece protegida.</w:t>
      </w:r>
    </w:p>
    <w:p>
      <w:pPr>
        <w:pStyle w:val="ListBullet"/>
        <w:spacing w:after="30"/>
        <w:ind w:left="360"/>
      </w:pPr>
      <w:r>
        <w:t>Si parte de su reserva de infraestructura ya fue transferida a un proveedor, el reembolso automático debe bloquearse o conciliarse de forma explícita.</w:t>
      </w:r>
    </w:p>
    <w:p>
      <w:pPr>
        <w:pStyle w:val="ListBullet"/>
        <w:spacing w:after="30"/>
        <w:ind w:left="360"/>
      </w:pPr>
      <w:r>
        <w:t>Los reembolsos parciales deben reducir los componentes correspondientes a los tokens devueltos.</w:t>
      </w:r>
    </w:p>
    <w:p>
      <w:pPr>
        <w:pStyle w:val="ListBullet"/>
        <w:spacing w:after="30"/>
        <w:ind w:left="360"/>
      </w:pPr>
      <w:r>
        <w:t>Nunca se debe liberar después utilidad u operación correspondiente a tokens que ya fueron reembolsados.</w:t>
      </w:r>
    </w:p>
    <w:p>
      <w:pPr>
        <w:pStyle w:val="Heading1"/>
      </w:pPr>
      <w:r>
        <w:t>17. Finanzas por generación</w:t>
      </w:r>
    </w:p>
    <w:p>
      <w:pPr/>
      <w:r>
        <w:t>Cada generación debe existir una sola vez en el libro financiero, aunque consuma varias bolsas, se ajuste después o se desbloquee mediante una compra posterior.</w:t>
      </w:r>
    </w:p>
    <w:p>
      <w:pPr>
        <w:pStyle w:val="Heading2"/>
      </w:pPr>
      <w:r>
        <w:t>17.1 Información mínima</w:t>
      </w:r>
    </w:p>
    <w:p>
      <w:pPr>
        <w:pStyle w:val="ListBullet"/>
        <w:spacing w:after="30"/>
        <w:ind w:left="360"/>
      </w:pPr>
      <w:r>
        <w:t>ID de ejecución y usuario.</w:t>
      </w:r>
    </w:p>
    <w:p>
      <w:pPr>
        <w:pStyle w:val="ListBullet"/>
        <w:spacing w:after="30"/>
        <w:ind w:left="360"/>
      </w:pPr>
      <w:r>
        <w:t>Proveedor y GPU.</w:t>
      </w:r>
    </w:p>
    <w:p>
      <w:pPr>
        <w:pStyle w:val="ListBullet"/>
        <w:spacing w:after="30"/>
        <w:ind w:left="360"/>
      </w:pPr>
      <w:r>
        <w:t>Tiempo real y tiempo facturable.</w:t>
      </w:r>
    </w:p>
    <w:p>
      <w:pPr>
        <w:pStyle w:val="ListBullet"/>
        <w:spacing w:after="30"/>
        <w:ind w:left="360"/>
      </w:pPr>
      <w:r>
        <w:t>Costo real de infraestructura.</w:t>
      </w:r>
    </w:p>
    <w:p>
      <w:pPr>
        <w:pStyle w:val="ListBullet"/>
        <w:spacing w:after="30"/>
        <w:ind w:left="360"/>
      </w:pPr>
      <w:r>
        <w:t>Tokens estimados, cobrados, ajustados, pendientes y devueltos.</w:t>
      </w:r>
    </w:p>
    <w:p>
      <w:pPr>
        <w:pStyle w:val="ListBullet"/>
        <w:spacing w:after="30"/>
        <w:ind w:left="360"/>
      </w:pPr>
      <w:r>
        <w:t>Bolsas utilizadas y tokens tomados de cada una.</w:t>
      </w:r>
    </w:p>
    <w:p>
      <w:pPr>
        <w:pStyle w:val="ListBullet"/>
        <w:spacing w:after="30"/>
        <w:ind w:left="360"/>
      </w:pPr>
      <w:r>
        <w:t>Tipo de bolsa: compra, plan, cupón o promocional.</w:t>
      </w:r>
    </w:p>
    <w:p>
      <w:pPr>
        <w:pStyle w:val="ListBullet"/>
        <w:spacing w:after="30"/>
        <w:ind w:left="360"/>
      </w:pPr>
      <w:r>
        <w:t>Valor pagado, parte para IA, gasto operativo y ganancia por bolsa.</w:t>
      </w:r>
    </w:p>
    <w:p>
      <w:pPr>
        <w:pStyle w:val="ListBullet"/>
        <w:spacing w:after="30"/>
        <w:ind w:left="360"/>
      </w:pPr>
      <w:r>
        <w:t>Resultado bloqueado/desbloqueado y estado de conciliación.</w:t>
      </w:r>
    </w:p>
    <w:p>
      <w:pPr>
        <w:pStyle w:val="Heading2"/>
      </w:pPr>
      <w:r>
        <w:t>17.2 Generación mezclada</w:t>
      </w:r>
    </w:p>
    <w:p>
      <w:pPr>
        <w:pStyle w:val="CodeLite"/>
      </w:pPr>
      <w:r>
        <w:t>Generación: 12 tokens</w:t>
      </w:r>
    </w:p>
    <w:p>
      <w:pPr>
        <w:pStyle w:val="CodeLite"/>
      </w:pPr>
      <w:r/>
    </w:p>
    <w:p>
      <w:pPr>
        <w:pStyle w:val="CodeLite"/>
      </w:pPr>
      <w:r>
        <w:t>Bolsa #25 - Compra directa</w:t>
      </w:r>
    </w:p>
    <w:p>
      <w:pPr>
        <w:pStyle w:val="CodeLite"/>
      </w:pPr>
      <w:r>
        <w:t>8 tokens</w:t>
      </w:r>
    </w:p>
    <w:p>
      <w:pPr>
        <w:pStyle w:val="CodeLite"/>
      </w:pPr>
      <w:r>
        <w:t>Pagó cliente: &gt; 0</w:t>
      </w:r>
    </w:p>
    <w:p>
      <w:pPr>
        <w:pStyle w:val="CodeLite"/>
      </w:pPr>
      <w:r>
        <w:t>Ganancia: según snapshot</w:t>
      </w:r>
    </w:p>
    <w:p>
      <w:pPr>
        <w:pStyle w:val="CodeLite"/>
      </w:pPr>
      <w:r>
        <w:t>Operación: según snapshot</w:t>
      </w:r>
    </w:p>
    <w:p>
      <w:pPr>
        <w:pStyle w:val="CodeLite"/>
      </w:pPr>
      <w:r/>
    </w:p>
    <w:p>
      <w:pPr>
        <w:pStyle w:val="CodeLite"/>
      </w:pPr>
      <w:r>
        <w:t>Bolsa #31 - Tokens gratis</w:t>
      </w:r>
    </w:p>
    <w:p>
      <w:pPr>
        <w:pStyle w:val="CodeLite"/>
      </w:pPr>
      <w:r>
        <w:t>4 tokens</w:t>
      </w:r>
    </w:p>
    <w:p>
      <w:pPr>
        <w:pStyle w:val="CodeLite"/>
      </w:pPr>
      <w:r>
        <w:t>Pagó cliente: USD 0</w:t>
      </w:r>
    </w:p>
    <w:p>
      <w:pPr>
        <w:pStyle w:val="CodeLite"/>
      </w:pPr>
      <w:r>
        <w:t>Ganancia: USD 0</w:t>
      </w:r>
    </w:p>
    <w:p>
      <w:pPr>
        <w:pStyle w:val="CodeLite"/>
      </w:pPr>
      <w:r>
        <w:t>Operación: USD 0</w:t>
      </w:r>
    </w:p>
    <w:p>
      <w:pPr>
        <w:pStyle w:val="CodeLite"/>
      </w:pPr>
      <w:r>
        <w:t>IA: fondo promocional</w:t>
      </w:r>
    </w:p>
    <w:p>
      <w:pPr>
        <w:pStyle w:val="Heading1"/>
      </w:pPr>
      <w:r>
        <w:t>18. Compatibilidad histórica y tratamiento de datos antiguos</w:t>
      </w:r>
    </w:p>
    <w:p>
      <w:pPr/>
      <w:r>
        <w:t>Los registros históricos no deben reescribirse silenciosamente. V2/legacy continúan siendo legibles, mientras que las nuevas bolsas usan componentes explícitos V3.</w:t>
      </w:r>
    </w:p>
    <w:p>
      <w:pPr>
        <w:pStyle w:val="Heading2"/>
      </w:pPr>
      <w:r>
        <w:t>18.1 Precios históricos incorrectos</w:t>
      </w:r>
    </w:p>
    <w:p>
      <w:pPr/>
      <w:r>
        <w:t>Si una bolsa histórica fue cobrada demasiado barata y no protegió suficiente infraestructura, la prioridad es proteger IA y reducir la ganancia real. La corrección debe ser auditable; nunca debe inventarse dinero que el cliente no pagó.</w:t>
      </w:r>
    </w:p>
    <w:p>
      <w:pPr>
        <w:pStyle w:val="CodeLite"/>
      </w:pPr>
      <w:r>
        <w:t>Cliente pagó/token: USD 0.07750</w:t>
      </w:r>
    </w:p>
    <w:p>
      <w:pPr>
        <w:pStyle w:val="CodeLite"/>
      </w:pPr>
      <w:r>
        <w:t>Reserva IA protegida: USD 0.00700</w:t>
      </w:r>
    </w:p>
    <w:p>
      <w:pPr>
        <w:pStyle w:val="CodeLite"/>
      </w:pPr>
      <w:r>
        <w:t>Ganancia máxima real: USD 0.07050</w:t>
      </w:r>
    </w:p>
    <w:p>
      <w:pPr>
        <w:pStyle w:val="Heading1"/>
      </w:pPr>
      <w:r>
        <w:t>19. Seguridad, idempotencia y controles</w:t>
      </w:r>
    </w:p>
    <w:p>
      <w:pPr>
        <w:pStyle w:val="ListBullet"/>
        <w:spacing w:after="30"/>
        <w:ind w:left="360"/>
      </w:pPr>
      <w:r>
        <w:t>Bloqueo de resultados en backend, no solo en interfaz.</w:t>
      </w:r>
    </w:p>
    <w:p>
      <w:pPr>
        <w:pStyle w:val="ListBullet"/>
        <w:spacing w:after="30"/>
        <w:ind w:left="360"/>
      </w:pPr>
      <w:r>
        <w:t>Conciliaciones idempotentes: repetir una petición no cobra dos veces.</w:t>
      </w:r>
    </w:p>
    <w:p>
      <w:pPr>
        <w:pStyle w:val="ListBullet"/>
        <w:spacing w:after="30"/>
        <w:ind w:left="360"/>
      </w:pPr>
      <w:r>
        <w:t>Compras Stripe se confirman antes del auto-desbloqueo.</w:t>
      </w:r>
    </w:p>
    <w:p>
      <w:pPr>
        <w:pStyle w:val="ListBullet"/>
        <w:spacing w:after="30"/>
        <w:ind w:left="360"/>
      </w:pPr>
      <w:r>
        <w:t>FIFO determinista y trazabilidad por bolsa.</w:t>
      </w:r>
    </w:p>
    <w:p>
      <w:pPr>
        <w:pStyle w:val="ListBullet"/>
        <w:spacing w:after="30"/>
        <w:ind w:left="360"/>
      </w:pPr>
      <w:r>
        <w:t>Bloqueos de fila/transacciones para transferencias y gastos sensibles.</w:t>
      </w:r>
    </w:p>
    <w:p>
      <w:pPr>
        <w:pStyle w:val="ListBullet"/>
        <w:spacing w:after="30"/>
        <w:ind w:left="360"/>
      </w:pPr>
      <w:r>
        <w:t>No crear bolsas sin respaldo económico correspondiente.</w:t>
      </w:r>
    </w:p>
    <w:p>
      <w:pPr>
        <w:pStyle w:val="ListBullet"/>
        <w:spacing w:after="30"/>
        <w:ind w:left="360"/>
      </w:pPr>
      <w:r>
        <w:t>No entregar URLs de resultados bloqueados.</w:t>
      </w:r>
    </w:p>
    <w:p>
      <w:pPr>
        <w:pStyle w:val="ListBullet"/>
        <w:spacing w:after="30"/>
        <w:ind w:left="360"/>
      </w:pPr>
      <w:r>
        <w:t>No mezclar cajas de utilidad, infraestructura, promociones y operación.</w:t>
      </w:r>
    </w:p>
    <w:p>
      <w:pPr>
        <w:pStyle w:val="ListBullet"/>
        <w:spacing w:after="30"/>
        <w:ind w:left="360"/>
      </w:pPr>
      <w:r>
        <w:t>No recalcular snapshots históricos con configuración actual.</w:t>
      </w:r>
    </w:p>
    <w:p>
      <w:pPr>
        <w:pStyle w:val="ListBullet"/>
        <w:spacing w:after="30"/>
        <w:ind w:left="360"/>
      </w:pPr>
      <w:r>
        <w:t>No permitir que descuentos afecten IA u operación.</w:t>
      </w:r>
    </w:p>
    <w:p>
      <w:pPr>
        <w:pStyle w:val="Heading1"/>
      </w:pPr>
      <w:r>
        <w:t>20. Casos límite que el sistema debe resolver</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7E9EC"/>
            <w:tcMar>
              <w:top w:w="60" w:type="dxa"/>
              <w:start w:w="80" w:type="dxa"/>
              <w:bottom w:w="60" w:type="dxa"/>
              <w:end w:w="80" w:type="dxa"/>
            </w:tcMar>
            <w:vAlign w:val="center"/>
          </w:tcPr>
          <w:p>
            <w:r>
              <w:rPr>
                <w:b/>
                <w:sz w:val="17"/>
              </w:rPr>
              <w:t>Caso</w:t>
            </w:r>
          </w:p>
        </w:tc>
        <w:tc>
          <w:tcPr>
            <w:tcW w:type="dxa" w:w="5083"/>
            <w:shd w:fill="E7E9EC"/>
            <w:tcMar>
              <w:top w:w="60" w:type="dxa"/>
              <w:start w:w="80" w:type="dxa"/>
              <w:bottom w:w="60" w:type="dxa"/>
              <w:end w:w="80" w:type="dxa"/>
            </w:tcMar>
            <w:vAlign w:val="center"/>
          </w:tcPr>
          <w:p>
            <w:r>
              <w:rPr>
                <w:b/>
                <w:sz w:val="17"/>
              </w:rPr>
              <w:t>Comportamiento esperado</w:t>
            </w:r>
          </w:p>
        </w:tc>
      </w:tr>
      <w:tr>
        <w:trPr>
          <w:cantSplit/>
        </w:trPr>
        <w:tc>
          <w:tcPr>
            <w:tcW w:type="dxa" w:w="5083"/>
            <w:tcMar>
              <w:top w:w="60" w:type="dxa"/>
              <w:start w:w="80" w:type="dxa"/>
              <w:bottom w:w="60" w:type="dxa"/>
              <w:end w:w="80" w:type="dxa"/>
            </w:tcMar>
            <w:vAlign w:val="center"/>
          </w:tcPr>
          <w:p>
            <w:r>
              <w:rPr>
                <w:sz w:val="16"/>
              </w:rPr>
              <w:t>Generación cuesta más y no hay saldo</w:t>
            </w:r>
          </w:p>
        </w:tc>
        <w:tc>
          <w:tcPr>
            <w:tcW w:type="dxa" w:w="5083"/>
            <w:tcMar>
              <w:top w:w="60" w:type="dxa"/>
              <w:start w:w="80" w:type="dxa"/>
              <w:bottom w:w="60" w:type="dxa"/>
              <w:end w:w="80" w:type="dxa"/>
            </w:tcMar>
            <w:vAlign w:val="center"/>
          </w:tcPr>
          <w:p>
            <w:r>
              <w:rPr>
                <w:sz w:val="16"/>
              </w:rPr>
              <w:t>Bloquear resultado; registrar deuda</w:t>
            </w:r>
          </w:p>
        </w:tc>
      </w:tr>
      <w:tr>
        <w:trPr>
          <w:cantSplit/>
        </w:trPr>
        <w:tc>
          <w:tcPr>
            <w:tcW w:type="dxa" w:w="5083"/>
            <w:tcMar>
              <w:top w:w="60" w:type="dxa"/>
              <w:start w:w="80" w:type="dxa"/>
              <w:bottom w:w="60" w:type="dxa"/>
              <w:end w:w="80" w:type="dxa"/>
            </w:tcMar>
            <w:vAlign w:val="center"/>
          </w:tcPr>
          <w:p>
            <w:r>
              <w:rPr>
                <w:sz w:val="16"/>
              </w:rPr>
              <w:t>Compra posterior suficiente</w:t>
            </w:r>
          </w:p>
        </w:tc>
        <w:tc>
          <w:tcPr>
            <w:tcW w:type="dxa" w:w="5083"/>
            <w:tcMar>
              <w:top w:w="60" w:type="dxa"/>
              <w:start w:w="80" w:type="dxa"/>
              <w:bottom w:w="60" w:type="dxa"/>
              <w:end w:w="80" w:type="dxa"/>
            </w:tcMar>
            <w:vAlign w:val="center"/>
          </w:tcPr>
          <w:p>
            <w:r>
              <w:rPr>
                <w:sz w:val="16"/>
              </w:rPr>
              <w:t>Auto-desbloquear deudas más antiguas</w:t>
            </w:r>
          </w:p>
        </w:tc>
      </w:tr>
      <w:tr>
        <w:trPr>
          <w:cantSplit/>
        </w:trPr>
        <w:tc>
          <w:tcPr>
            <w:tcW w:type="dxa" w:w="5083"/>
            <w:tcMar>
              <w:top w:w="60" w:type="dxa"/>
              <w:start w:w="80" w:type="dxa"/>
              <w:bottom w:w="60" w:type="dxa"/>
              <w:end w:w="80" w:type="dxa"/>
            </w:tcMar>
            <w:vAlign w:val="center"/>
          </w:tcPr>
          <w:p>
            <w:r>
              <w:rPr>
                <w:sz w:val="16"/>
              </w:rPr>
              <w:t>Compra posterior insuficiente para siguiente deuda</w:t>
            </w:r>
          </w:p>
        </w:tc>
        <w:tc>
          <w:tcPr>
            <w:tcW w:type="dxa" w:w="5083"/>
            <w:tcMar>
              <w:top w:w="60" w:type="dxa"/>
              <w:start w:w="80" w:type="dxa"/>
              <w:bottom w:w="60" w:type="dxa"/>
              <w:end w:w="80" w:type="dxa"/>
            </w:tcMar>
            <w:vAlign w:val="center"/>
          </w:tcPr>
          <w:p>
            <w:r>
              <w:rPr>
                <w:sz w:val="16"/>
              </w:rPr>
              <w:t>No cobrar parcialmente esa deuda</w:t>
            </w:r>
          </w:p>
        </w:tc>
      </w:tr>
      <w:tr>
        <w:trPr>
          <w:cantSplit/>
        </w:trPr>
        <w:tc>
          <w:tcPr>
            <w:tcW w:type="dxa" w:w="5083"/>
            <w:tcMar>
              <w:top w:w="60" w:type="dxa"/>
              <w:start w:w="80" w:type="dxa"/>
              <w:bottom w:w="60" w:type="dxa"/>
              <w:end w:w="80" w:type="dxa"/>
            </w:tcMar>
            <w:vAlign w:val="center"/>
          </w:tcPr>
          <w:p>
            <w:r>
              <w:rPr>
                <w:sz w:val="16"/>
              </w:rPr>
              <w:t>Usuario recibe tokens gratis</w:t>
            </w:r>
          </w:p>
        </w:tc>
        <w:tc>
          <w:tcPr>
            <w:tcW w:type="dxa" w:w="5083"/>
            <w:tcMar>
              <w:top w:w="60" w:type="dxa"/>
              <w:start w:w="80" w:type="dxa"/>
              <w:bottom w:w="60" w:type="dxa"/>
              <w:end w:w="80" w:type="dxa"/>
            </w:tcMar>
            <w:vAlign w:val="center"/>
          </w:tcPr>
          <w:p>
            <w:r>
              <w:rPr>
                <w:sz w:val="16"/>
              </w:rPr>
              <w:t>Crear bolsa promocional separada</w:t>
            </w:r>
          </w:p>
        </w:tc>
      </w:tr>
      <w:tr>
        <w:trPr>
          <w:cantSplit/>
        </w:trPr>
        <w:tc>
          <w:tcPr>
            <w:tcW w:type="dxa" w:w="5083"/>
            <w:tcMar>
              <w:top w:w="60" w:type="dxa"/>
              <w:start w:w="80" w:type="dxa"/>
              <w:bottom w:w="60" w:type="dxa"/>
              <w:end w:w="80" w:type="dxa"/>
            </w:tcMar>
            <w:vAlign w:val="center"/>
          </w:tcPr>
          <w:p>
            <w:r>
              <w:rPr>
                <w:sz w:val="16"/>
              </w:rPr>
              <w:t>Gratis + compra en una generación</w:t>
            </w:r>
          </w:p>
        </w:tc>
        <w:tc>
          <w:tcPr>
            <w:tcW w:type="dxa" w:w="5083"/>
            <w:tcMar>
              <w:top w:w="60" w:type="dxa"/>
              <w:start w:w="80" w:type="dxa"/>
              <w:bottom w:w="60" w:type="dxa"/>
              <w:end w:w="80" w:type="dxa"/>
            </w:tcMar>
            <w:vAlign w:val="center"/>
          </w:tcPr>
          <w:p>
            <w:r>
              <w:rPr>
                <w:sz w:val="16"/>
              </w:rPr>
              <w:t>FIFO conserva ambos orígenes</w:t>
            </w:r>
          </w:p>
        </w:tc>
      </w:tr>
      <w:tr>
        <w:trPr>
          <w:cantSplit/>
        </w:trPr>
        <w:tc>
          <w:tcPr>
            <w:tcW w:type="dxa" w:w="5083"/>
            <w:tcMar>
              <w:top w:w="60" w:type="dxa"/>
              <w:start w:w="80" w:type="dxa"/>
              <w:bottom w:w="60" w:type="dxa"/>
              <w:end w:w="80" w:type="dxa"/>
            </w:tcMar>
            <w:vAlign w:val="center"/>
          </w:tcPr>
          <w:p>
            <w:r>
              <w:rPr>
                <w:sz w:val="16"/>
              </w:rPr>
              <w:t>Promocionales vencen</w:t>
            </w:r>
          </w:p>
        </w:tc>
        <w:tc>
          <w:tcPr>
            <w:tcW w:type="dxa" w:w="5083"/>
            <w:tcMar>
              <w:top w:w="60" w:type="dxa"/>
              <w:start w:w="80" w:type="dxa"/>
              <w:bottom w:w="60" w:type="dxa"/>
              <w:end w:w="80" w:type="dxa"/>
            </w:tcMar>
            <w:vAlign w:val="center"/>
          </w:tcPr>
          <w:p>
            <w:r>
              <w:rPr>
                <w:sz w:val="16"/>
              </w:rPr>
              <w:t>Respaldo vuelve al fondo promocional</w:t>
            </w:r>
          </w:p>
        </w:tc>
      </w:tr>
      <w:tr>
        <w:trPr>
          <w:cantSplit/>
        </w:trPr>
        <w:tc>
          <w:tcPr>
            <w:tcW w:type="dxa" w:w="5083"/>
            <w:tcMar>
              <w:top w:w="60" w:type="dxa"/>
              <w:start w:w="80" w:type="dxa"/>
              <w:bottom w:w="60" w:type="dxa"/>
              <w:end w:w="80" w:type="dxa"/>
            </w:tcMar>
            <w:vAlign w:val="center"/>
          </w:tcPr>
          <w:p>
            <w:r>
              <w:rPr>
                <w:sz w:val="16"/>
              </w:rPr>
              <w:t>Bolsa comercial vence sin fondeo</w:t>
            </w:r>
          </w:p>
        </w:tc>
        <w:tc>
          <w:tcPr>
            <w:tcW w:type="dxa" w:w="5083"/>
            <w:tcMar>
              <w:top w:w="60" w:type="dxa"/>
              <w:start w:w="80" w:type="dxa"/>
              <w:bottom w:w="60" w:type="dxa"/>
              <w:end w:w="80" w:type="dxa"/>
            </w:tcMar>
            <w:vAlign w:val="center"/>
          </w:tcPr>
          <w:p>
            <w:r>
              <w:rPr>
                <w:sz w:val="16"/>
              </w:rPr>
              <w:t>Reserva disponible puede pasar a utilidad</w:t>
            </w:r>
          </w:p>
        </w:tc>
      </w:tr>
      <w:tr>
        <w:trPr>
          <w:cantSplit/>
        </w:trPr>
        <w:tc>
          <w:tcPr>
            <w:tcW w:type="dxa" w:w="5083"/>
            <w:tcMar>
              <w:top w:w="60" w:type="dxa"/>
              <w:start w:w="80" w:type="dxa"/>
              <w:bottom w:w="60" w:type="dxa"/>
              <w:end w:w="80" w:type="dxa"/>
            </w:tcMar>
            <w:vAlign w:val="center"/>
          </w:tcPr>
          <w:p>
            <w:r>
              <w:rPr>
                <w:sz w:val="16"/>
              </w:rPr>
              <w:t>Bolsa vence con dinero ya enviado</w:t>
            </w:r>
          </w:p>
        </w:tc>
        <w:tc>
          <w:tcPr>
            <w:tcW w:type="dxa" w:w="5083"/>
            <w:tcMar>
              <w:top w:w="60" w:type="dxa"/>
              <w:start w:w="80" w:type="dxa"/>
              <w:bottom w:w="60" w:type="dxa"/>
              <w:end w:w="80" w:type="dxa"/>
            </w:tcMar>
            <w:vAlign w:val="center"/>
          </w:tcPr>
          <w:p>
            <w:r>
              <w:rPr>
                <w:sz w:val="16"/>
              </w:rPr>
              <w:t>Solo efectivo no enviado pasa a utilidad</w:t>
            </w:r>
          </w:p>
        </w:tc>
      </w:tr>
      <w:tr>
        <w:trPr>
          <w:cantSplit/>
        </w:trPr>
        <w:tc>
          <w:tcPr>
            <w:tcW w:type="dxa" w:w="5083"/>
            <w:tcMar>
              <w:top w:w="60" w:type="dxa"/>
              <w:start w:w="80" w:type="dxa"/>
              <w:bottom w:w="60" w:type="dxa"/>
              <w:end w:w="80" w:type="dxa"/>
            </w:tcMar>
            <w:vAlign w:val="center"/>
          </w:tcPr>
          <w:p>
            <w:r>
              <w:rPr>
                <w:sz w:val="16"/>
              </w:rPr>
              <w:t>Cupón 50 %</w:t>
            </w:r>
          </w:p>
        </w:tc>
        <w:tc>
          <w:tcPr>
            <w:tcW w:type="dxa" w:w="5083"/>
            <w:tcMar>
              <w:top w:w="60" w:type="dxa"/>
              <w:start w:w="80" w:type="dxa"/>
              <w:bottom w:w="60" w:type="dxa"/>
              <w:end w:w="80" w:type="dxa"/>
            </w:tcMar>
            <w:vAlign w:val="center"/>
          </w:tcPr>
          <w:p>
            <w:r>
              <w:rPr>
                <w:sz w:val="16"/>
              </w:rPr>
              <w:t>Solo reduce ganancia</w:t>
            </w:r>
          </w:p>
        </w:tc>
      </w:tr>
      <w:tr>
        <w:trPr>
          <w:cantSplit/>
        </w:trPr>
        <w:tc>
          <w:tcPr>
            <w:tcW w:type="dxa" w:w="5083"/>
            <w:tcMar>
              <w:top w:w="60" w:type="dxa"/>
              <w:start w:w="80" w:type="dxa"/>
              <w:bottom w:w="60" w:type="dxa"/>
              <w:end w:w="80" w:type="dxa"/>
            </w:tcMar>
            <w:vAlign w:val="center"/>
          </w:tcPr>
          <w:p>
            <w:r>
              <w:rPr>
                <w:sz w:val="16"/>
              </w:rPr>
              <w:t>Cambio de gasto operativo futuro</w:t>
            </w:r>
          </w:p>
        </w:tc>
        <w:tc>
          <w:tcPr>
            <w:tcW w:type="dxa" w:w="5083"/>
            <w:tcMar>
              <w:top w:w="60" w:type="dxa"/>
              <w:start w:w="80" w:type="dxa"/>
              <w:bottom w:w="60" w:type="dxa"/>
              <w:end w:w="80" w:type="dxa"/>
            </w:tcMar>
            <w:vAlign w:val="center"/>
          </w:tcPr>
          <w:p>
            <w:r>
              <w:rPr>
                <w:sz w:val="16"/>
              </w:rPr>
              <w:t>No altera bolsas previas</w:t>
            </w:r>
          </w:p>
        </w:tc>
      </w:tr>
      <w:tr>
        <w:trPr>
          <w:cantSplit/>
        </w:trPr>
        <w:tc>
          <w:tcPr>
            <w:tcW w:type="dxa" w:w="5083"/>
            <w:tcMar>
              <w:top w:w="60" w:type="dxa"/>
              <w:start w:w="80" w:type="dxa"/>
              <w:bottom w:w="60" w:type="dxa"/>
              <w:end w:w="80" w:type="dxa"/>
            </w:tcMar>
            <w:vAlign w:val="center"/>
          </w:tcPr>
          <w:p>
            <w:r>
              <w:rPr>
                <w:sz w:val="16"/>
              </w:rPr>
              <w:t>Reembolso antes de uso</w:t>
            </w:r>
          </w:p>
        </w:tc>
        <w:tc>
          <w:tcPr>
            <w:tcW w:type="dxa" w:w="5083"/>
            <w:tcMar>
              <w:top w:w="60" w:type="dxa"/>
              <w:start w:w="80" w:type="dxa"/>
              <w:bottom w:w="60" w:type="dxa"/>
              <w:end w:w="80" w:type="dxa"/>
            </w:tcMar>
            <w:vAlign w:val="center"/>
          </w:tcPr>
          <w:p>
            <w:r>
              <w:rPr>
                <w:sz w:val="16"/>
              </w:rPr>
              <w:t>No liberar utilidad/operación indebidamente</w:t>
            </w:r>
          </w:p>
        </w:tc>
      </w:tr>
      <w:tr>
        <w:trPr>
          <w:cantSplit/>
        </w:trPr>
        <w:tc>
          <w:tcPr>
            <w:tcW w:type="dxa" w:w="5083"/>
            <w:tcMar>
              <w:top w:w="60" w:type="dxa"/>
              <w:start w:w="80" w:type="dxa"/>
              <w:bottom w:w="60" w:type="dxa"/>
              <w:end w:w="80" w:type="dxa"/>
            </w:tcMar>
            <w:vAlign w:val="center"/>
          </w:tcPr>
          <w:p>
            <w:r>
              <w:rPr>
                <w:sz w:val="16"/>
              </w:rPr>
              <w:t>Reset de pruebas</w:t>
            </w:r>
          </w:p>
        </w:tc>
        <w:tc>
          <w:tcPr>
            <w:tcW w:type="dxa" w:w="5083"/>
            <w:tcMar>
              <w:top w:w="60" w:type="dxa"/>
              <w:start w:w="80" w:type="dxa"/>
              <w:bottom w:w="60" w:type="dxa"/>
              <w:end w:w="80" w:type="dxa"/>
            </w:tcMar>
            <w:vAlign w:val="center"/>
          </w:tcPr>
          <w:p>
            <w:r>
              <w:rPr>
                <w:sz w:val="16"/>
              </w:rPr>
              <w:t>Borra actividad financiera pero conserva usuarios/configuración</w:t>
            </w:r>
          </w:p>
        </w:tc>
      </w:tr>
    </w:tbl>
    <w:p/>
    <w:p>
      <w:pPr>
        <w:pStyle w:val="Heading1"/>
      </w:pPr>
      <w:r>
        <w:t>21. Pruebas de regresión obligatorias</w:t>
      </w:r>
    </w:p>
    <w:p>
      <w:pPr>
        <w:pStyle w:val="ListNumber"/>
        <w:spacing w:after="30"/>
      </w:pPr>
      <w:r>
        <w:t>Generación normal sin descuento.</w:t>
      </w:r>
    </w:p>
    <w:p>
      <w:pPr>
        <w:pStyle w:val="ListNumber"/>
        <w:spacing w:after="30"/>
      </w:pPr>
      <w:r>
        <w:t>Compra con cupón.</w:t>
      </w:r>
    </w:p>
    <w:p>
      <w:pPr>
        <w:pStyle w:val="ListNumber"/>
        <w:spacing w:after="30"/>
      </w:pPr>
      <w:r>
        <w:t>Plan/suscripción con beneficio.</w:t>
      </w:r>
    </w:p>
    <w:p>
      <w:pPr>
        <w:pStyle w:val="ListNumber"/>
        <w:spacing w:after="30"/>
      </w:pPr>
      <w:r>
        <w:t>Varias bolsas mezcladas.</w:t>
      </w:r>
    </w:p>
    <w:p>
      <w:pPr>
        <w:pStyle w:val="ListNumber"/>
        <w:spacing w:after="30"/>
      </w:pPr>
      <w:r>
        <w:t>Bolsa promocional sola.</w:t>
      </w:r>
    </w:p>
    <w:p>
      <w:pPr>
        <w:pStyle w:val="ListNumber"/>
        <w:spacing w:after="30"/>
      </w:pPr>
      <w:r>
        <w:t>Bolsa comercial + promocional en una misma generación.</w:t>
      </w:r>
    </w:p>
    <w:p>
      <w:pPr>
        <w:pStyle w:val="ListNumber"/>
        <w:spacing w:after="30"/>
      </w:pPr>
      <w:r>
        <w:t>Proveedor promocional incompatible.</w:t>
      </w:r>
    </w:p>
    <w:p>
      <w:pPr>
        <w:pStyle w:val="ListNumber"/>
        <w:spacing w:after="30"/>
      </w:pPr>
      <w:r>
        <w:t>Deuda anterior con promocionales deshabilitados.</w:t>
      </w:r>
    </w:p>
    <w:p>
      <w:pPr>
        <w:pStyle w:val="ListNumber"/>
        <w:spacing w:after="30"/>
      </w:pPr>
      <w:r>
        <w:t>Deuda anterior con promocionales habilitados.</w:t>
      </w:r>
    </w:p>
    <w:p>
      <w:pPr>
        <w:pStyle w:val="ListNumber"/>
        <w:spacing w:after="30"/>
      </w:pPr>
      <w:r>
        <w:t>Cobro adicional después de ejecución.</w:t>
      </w:r>
    </w:p>
    <w:p>
      <w:pPr>
        <w:pStyle w:val="ListNumber"/>
        <w:spacing w:after="30"/>
      </w:pPr>
      <w:r>
        <w:t>Devolución de tokens.</w:t>
      </w:r>
    </w:p>
    <w:p>
      <w:pPr>
        <w:pStyle w:val="ListNumber"/>
        <w:spacing w:after="30"/>
      </w:pPr>
      <w:r>
        <w:t>Resultado bloqueado.</w:t>
      </w:r>
    </w:p>
    <w:p>
      <w:pPr>
        <w:pStyle w:val="ListNumber"/>
        <w:spacing w:after="30"/>
      </w:pPr>
      <w:r>
        <w:t>Compra posterior y auto-desbloqueo.</w:t>
      </w:r>
    </w:p>
    <w:p>
      <w:pPr>
        <w:pStyle w:val="ListNumber"/>
        <w:spacing w:after="30"/>
      </w:pPr>
      <w:r>
        <w:t>Dos solicitudes concurrentes de desbloqueo.</w:t>
      </w:r>
    </w:p>
    <w:p>
      <w:pPr>
        <w:pStyle w:val="ListNumber"/>
        <w:spacing w:after="30"/>
      </w:pPr>
      <w:r>
        <w:t>Cancelación.</w:t>
      </w:r>
    </w:p>
    <w:p>
      <w:pPr>
        <w:pStyle w:val="ListNumber"/>
        <w:spacing w:after="30"/>
      </w:pPr>
      <w:r>
        <w:t>Fallo del proveedor.</w:t>
      </w:r>
    </w:p>
    <w:p>
      <w:pPr>
        <w:pStyle w:val="ListNumber"/>
        <w:spacing w:after="30"/>
      </w:pPr>
      <w:r>
        <w:t>Vencimiento sin dinero enviado.</w:t>
      </w:r>
    </w:p>
    <w:p>
      <w:pPr>
        <w:pStyle w:val="ListNumber"/>
        <w:spacing w:after="30"/>
      </w:pPr>
      <w:r>
        <w:t>Vencimiento con dinero parcialmente enviado.</w:t>
      </w:r>
    </w:p>
    <w:p>
      <w:pPr>
        <w:pStyle w:val="ListNumber"/>
        <w:spacing w:after="30"/>
      </w:pPr>
      <w:r>
        <w:t>Transferencia a proveedor que cruza varias bolsas.</w:t>
      </w:r>
    </w:p>
    <w:p>
      <w:pPr>
        <w:pStyle w:val="ListNumber"/>
        <w:spacing w:after="30"/>
      </w:pPr>
      <w:r>
        <w:t>Reembolso de bolsa con reserva ya transferida.</w:t>
      </w:r>
    </w:p>
    <w:p>
      <w:pPr>
        <w:pStyle w:val="ListNumber"/>
        <w:spacing w:after="30"/>
      </w:pPr>
      <w:r>
        <w:t>Gasto operativo con saldo suficiente.</w:t>
      </w:r>
    </w:p>
    <w:p>
      <w:pPr>
        <w:pStyle w:val="ListNumber"/>
        <w:spacing w:after="30"/>
      </w:pPr>
      <w:r>
        <w:t>Intento de gasto operativo superior al saldo.</w:t>
      </w:r>
    </w:p>
    <w:p>
      <w:pPr>
        <w:pStyle w:val="ListNumber"/>
        <w:spacing w:after="30"/>
      </w:pPr>
      <w:r>
        <w:t>Cambio de gasto operativo sin alterar snapshots anteriores.</w:t>
      </w:r>
    </w:p>
    <w:p>
      <w:pPr>
        <w:pStyle w:val="ListNumber"/>
        <w:spacing w:after="30"/>
      </w:pPr>
      <w:r>
        <w:t>Reset de datos de prueba sin borrar usuarios.</w:t>
      </w:r>
    </w:p>
    <w:p>
      <w:pPr>
        <w:pStyle w:val="ListNumber"/>
        <w:spacing w:after="30"/>
      </w:pPr>
      <w:r>
        <w:t>Finanzas por generación con bolsas mixtas.</w:t>
      </w:r>
    </w:p>
    <w:tbl>
      <w:tblPr>
        <w:tblW w:type="auto" w:w="0"/>
        <w:jc w:val="center"/>
        <w:tblLook w:firstColumn="1" w:firstRow="1" w:lastColumn="0" w:lastRow="0" w:noHBand="0" w:noVBand="1" w:val="04A0"/>
      </w:tblPr>
      <w:tblGrid>
        <w:gridCol w:w="10166"/>
      </w:tblGrid>
      <w:tr>
        <w:trPr>
          <w:cantSplit/>
        </w:trPr>
        <w:tc>
          <w:tcPr>
            <w:tcW w:type="dxa" w:w="10166"/>
            <w:shd w:fill="F7F1F2"/>
            <w:tcMar>
              <w:top w:w="100" w:type="dxa"/>
              <w:start w:w="120" w:type="dxa"/>
              <w:bottom w:w="100" w:type="dxa"/>
              <w:end w:w="120" w:type="dxa"/>
            </w:tcMar>
          </w:tcPr>
          <w:p>
            <w:r>
              <w:rPr>
                <w:b/>
                <w:color w:val="7A1C24"/>
              </w:rPr>
              <w:t xml:space="preserve">Prueba reina: </w:t>
            </w:r>
            <w:r>
              <w:rPr>
                <w:sz w:val="19"/>
              </w:rPr>
              <w:t>una generación debe costar la misma cantidad de tokens independientemente de qué bolsa comercial válida los financie. Descuentos y origen cambian la rentabilidad, no la cantidad de tokens del trabajo.</w:t>
            </w:r>
          </w:p>
        </w:tc>
      </w:tr>
    </w:tbl>
    <w:p/>
    <w:p>
      <w:pPr>
        <w:pStyle w:val="Heading1"/>
      </w:pPr>
      <w:r>
        <w:t>22. Ejemplo integral del modelo</w:t>
      </w:r>
    </w:p>
    <w:p>
      <w:pPr>
        <w:pStyle w:val="Heading2"/>
      </w:pPr>
      <w:r>
        <w:t>22.1 Configuración</w:t>
      </w:r>
    </w:p>
    <w:p>
      <w:pPr>
        <w:pStyle w:val="CodeLite"/>
      </w:pPr>
      <w:r>
        <w:t>Base económica token:      USD 0.110</w:t>
      </w:r>
    </w:p>
    <w:p>
      <w:pPr>
        <w:pStyle w:val="CodeLite"/>
      </w:pPr>
      <w:r>
        <w:t>Infraestructura/token:     USD 0.007</w:t>
      </w:r>
    </w:p>
    <w:p>
      <w:pPr>
        <w:pStyle w:val="CodeLite"/>
      </w:pPr>
      <w:r>
        <w:t>Ganancia normal/token:     USD 0.103</w:t>
      </w:r>
    </w:p>
    <w:p>
      <w:pPr>
        <w:pStyle w:val="CodeLite"/>
      </w:pPr>
      <w:r>
        <w:t>Gasto operativo/token:     USD 0.002</w:t>
      </w:r>
    </w:p>
    <w:p>
      <w:pPr>
        <w:pStyle w:val="CodeLite"/>
      </w:pPr>
      <w:r>
        <w:t>Descuento plan:            25 % de la ganancia</w:t>
      </w:r>
    </w:p>
    <w:p>
      <w:pPr>
        <w:pStyle w:val="Heading2"/>
      </w:pPr>
      <w:r>
        <w:t>22.2 Precio del plan</w:t>
      </w:r>
    </w:p>
    <w:p>
      <w:pPr>
        <w:pStyle w:val="CodeLite"/>
      </w:pPr>
      <w:r>
        <w:t>Ganancia efectiva: 0.103 × 75 % = USD 0.07725</w:t>
      </w:r>
    </w:p>
    <w:p>
      <w:pPr>
        <w:pStyle w:val="CodeLite"/>
      </w:pPr>
      <w:r>
        <w:t>Precio/token: 0.007 + 0.002 + 0.07725 = USD 0.08625</w:t>
      </w:r>
    </w:p>
    <w:p>
      <w:pPr>
        <w:pStyle w:val="CodeLite"/>
      </w:pPr>
      <w:r/>
    </w:p>
    <w:p>
      <w:pPr>
        <w:pStyle w:val="CodeLite"/>
      </w:pPr>
      <w:r>
        <w:t>Plan de 660 tokens:</w:t>
      </w:r>
    </w:p>
    <w:p>
      <w:pPr>
        <w:pStyle w:val="CodeLite"/>
      </w:pPr>
      <w:r>
        <w:t>660 × 0.08625 = USD 56.925</w:t>
      </w:r>
    </w:p>
    <w:p>
      <w:pPr>
        <w:pStyle w:val="Heading2"/>
      </w:pPr>
      <w:r>
        <w:t>22.3 Generación</w:t>
      </w:r>
    </w:p>
    <w:p>
      <w:pPr>
        <w:pStyle w:val="CodeLite"/>
      </w:pPr>
      <w:r>
        <w:t>Costo real IA: USD 0.08672</w:t>
      </w:r>
    </w:p>
    <w:p>
      <w:pPr>
        <w:pStyle w:val="CodeLite"/>
      </w:pPr>
      <w:r>
        <w:t>Capacidad IA/token: USD 0.007</w:t>
      </w:r>
    </w:p>
    <w:p>
      <w:pPr>
        <w:pStyle w:val="CodeLite"/>
      </w:pPr>
      <w:r/>
    </w:p>
    <w:p>
      <w:pPr>
        <w:pStyle w:val="CodeLite"/>
      </w:pPr>
      <w:r>
        <w:t>0.08672 / 0.007 = 12.3885</w:t>
      </w:r>
    </w:p>
    <w:p>
      <w:pPr>
        <w:pStyle w:val="CodeLite"/>
      </w:pPr>
      <w:r>
        <w:t>Tokens finales = 13</w:t>
      </w:r>
    </w:p>
    <w:p>
      <w:pPr>
        <w:pStyle w:val="Heading2"/>
      </w:pPr>
      <w:r>
        <w:t>22.4 FIFO</w:t>
      </w:r>
    </w:p>
    <w:p>
      <w:pPr>
        <w:pStyle w:val="CodeLite"/>
      </w:pPr>
      <w:r>
        <w:t>Bolsa A (compra normal): 9 tokens</w:t>
      </w:r>
    </w:p>
    <w:p>
      <w:pPr>
        <w:pStyle w:val="CodeLite"/>
      </w:pPr>
      <w:r>
        <w:t>Bolsa B (plan 25 %):     4 tokens</w:t>
      </w:r>
    </w:p>
    <w:p>
      <w:pPr>
        <w:pStyle w:val="CodeLite"/>
      </w:pPr>
      <w:r/>
    </w:p>
    <w:p>
      <w:pPr>
        <w:pStyle w:val="CodeLite"/>
      </w:pPr>
      <w:r>
        <w:t>Ganancia A = 9 × 0.103 = USD 0.927</w:t>
      </w:r>
    </w:p>
    <w:p>
      <w:pPr>
        <w:pStyle w:val="CodeLite"/>
      </w:pPr>
      <w:r>
        <w:t>Ganancia B = 4 × 0.07725 = USD 0.309</w:t>
      </w:r>
    </w:p>
    <w:p>
      <w:pPr>
        <w:pStyle w:val="CodeLite"/>
      </w:pPr>
      <w:r>
        <w:t>Ganancia total = USD 1.236</w:t>
      </w:r>
    </w:p>
    <w:p>
      <w:pPr>
        <w:pStyle w:val="Heading2"/>
      </w:pPr>
      <w:r>
        <w:t>22.5 Operación</w:t>
      </w:r>
    </w:p>
    <w:p>
      <w:pPr>
        <w:pStyle w:val="CodeLite"/>
      </w:pPr>
      <w:r>
        <w:t>Gasto operativo originado:</w:t>
      </w:r>
    </w:p>
    <w:p>
      <w:pPr>
        <w:pStyle w:val="CodeLite"/>
      </w:pPr>
      <w:r>
        <w:t>13 × USD 0.002 = USD 0.026</w:t>
      </w:r>
    </w:p>
    <w:p>
      <w:pPr>
        <w:pStyle w:val="CodeLite"/>
      </w:pPr>
      <w:r>
        <w:t>(según las bolsas y su snapshot)</w:t>
      </w:r>
    </w:p>
    <w:p>
      <w:pPr>
        <w:pStyle w:val="Heading2"/>
      </w:pPr>
      <w:r>
        <w:t>22.6 Infraestructura</w:t>
      </w:r>
    </w:p>
    <w:p>
      <w:pPr>
        <w:pStyle w:val="CodeLite"/>
      </w:pPr>
      <w:r>
        <w:t>Capacidad protegida:</w:t>
      </w:r>
    </w:p>
    <w:p>
      <w:pPr>
        <w:pStyle w:val="CodeLite"/>
      </w:pPr>
      <w:r>
        <w:t>13 × 0.007 = USD 0.091</w:t>
      </w:r>
    </w:p>
    <w:p>
      <w:pPr>
        <w:pStyle w:val="CodeLite"/>
      </w:pPr>
      <w:r/>
    </w:p>
    <w:p>
      <w:pPr>
        <w:pStyle w:val="CodeLite"/>
      </w:pPr>
      <w:r>
        <w:t>Costo real:</w:t>
      </w:r>
    </w:p>
    <w:p>
      <w:pPr>
        <w:pStyle w:val="CodeLite"/>
      </w:pPr>
      <w:r>
        <w:t>USD 0.08672</w:t>
      </w:r>
    </w:p>
    <w:p>
      <w:pPr>
        <w:pStyle w:val="CodeLite"/>
      </w:pPr>
      <w:r/>
    </w:p>
    <w:p>
      <w:pPr>
        <w:pStyle w:val="CodeLite"/>
      </w:pPr>
      <w:r>
        <w:t>Diferencia favorable:</w:t>
      </w:r>
    </w:p>
    <w:p>
      <w:pPr>
        <w:pStyle w:val="CodeLite"/>
      </w:pPr>
      <w:r>
        <w:t>USD 0.00428</w:t>
      </w:r>
    </w:p>
    <w:p>
      <w:pPr>
        <w:pStyle w:val="Heading1"/>
      </w:pPr>
      <w:r>
        <w:t>23. Indicadores recomendados para dirección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7E9EC"/>
            <w:tcMar>
              <w:top w:w="60" w:type="dxa"/>
              <w:start w:w="80" w:type="dxa"/>
              <w:bottom w:w="60" w:type="dxa"/>
              <w:end w:w="80" w:type="dxa"/>
            </w:tcMar>
            <w:vAlign w:val="center"/>
          </w:tcPr>
          <w:p>
            <w:r>
              <w:rPr>
                <w:b/>
                <w:sz w:val="17"/>
              </w:rPr>
              <w:t>Indicador</w:t>
            </w:r>
          </w:p>
        </w:tc>
        <w:tc>
          <w:tcPr>
            <w:tcW w:type="dxa" w:w="5083"/>
            <w:shd w:fill="E7E9EC"/>
            <w:tcMar>
              <w:top w:w="60" w:type="dxa"/>
              <w:start w:w="80" w:type="dxa"/>
              <w:bottom w:w="60" w:type="dxa"/>
              <w:end w:w="80" w:type="dxa"/>
            </w:tcMar>
            <w:vAlign w:val="center"/>
          </w:tcPr>
          <w:p>
            <w:r>
              <w:rPr>
                <w:b/>
                <w:sz w:val="17"/>
              </w:rPr>
              <w:t>Qué responde</w:t>
            </w:r>
          </w:p>
        </w:tc>
      </w:tr>
      <w:tr>
        <w:trPr>
          <w:cantSplit/>
        </w:trPr>
        <w:tc>
          <w:tcPr>
            <w:tcW w:type="dxa" w:w="5083"/>
            <w:tcMar>
              <w:top w:w="60" w:type="dxa"/>
              <w:start w:w="80" w:type="dxa"/>
              <w:bottom w:w="60" w:type="dxa"/>
              <w:end w:w="80" w:type="dxa"/>
            </w:tcMar>
            <w:vAlign w:val="center"/>
          </w:tcPr>
          <w:p>
            <w:r>
              <w:rPr>
                <w:sz w:val="16"/>
              </w:rPr>
              <w:t>Utilidad disponible</w:t>
            </w:r>
          </w:p>
        </w:tc>
        <w:tc>
          <w:tcPr>
            <w:tcW w:type="dxa" w:w="5083"/>
            <w:tcMar>
              <w:top w:w="60" w:type="dxa"/>
              <w:start w:w="80" w:type="dxa"/>
              <w:bottom w:w="60" w:type="dxa"/>
              <w:end w:w="80" w:type="dxa"/>
            </w:tcMar>
            <w:vAlign w:val="center"/>
          </w:tcPr>
          <w:p>
            <w:r>
              <w:rPr>
                <w:sz w:val="16"/>
              </w:rPr>
              <w:t>¿Cuánto dinero realmente puedo retirar?</w:t>
            </w:r>
          </w:p>
        </w:tc>
      </w:tr>
      <w:tr>
        <w:trPr>
          <w:cantSplit/>
        </w:trPr>
        <w:tc>
          <w:tcPr>
            <w:tcW w:type="dxa" w:w="5083"/>
            <w:tcMar>
              <w:top w:w="60" w:type="dxa"/>
              <w:start w:w="80" w:type="dxa"/>
              <w:bottom w:w="60" w:type="dxa"/>
              <w:end w:w="80" w:type="dxa"/>
            </w:tcMar>
            <w:vAlign w:val="center"/>
          </w:tcPr>
          <w:p>
            <w:r>
              <w:rPr>
                <w:sz w:val="16"/>
              </w:rPr>
              <w:t>IA aún en caja</w:t>
            </w:r>
          </w:p>
        </w:tc>
        <w:tc>
          <w:tcPr>
            <w:tcW w:type="dxa" w:w="5083"/>
            <w:tcMar>
              <w:top w:w="60" w:type="dxa"/>
              <w:start w:w="80" w:type="dxa"/>
              <w:bottom w:w="60" w:type="dxa"/>
              <w:end w:w="80" w:type="dxa"/>
            </w:tcMar>
            <w:vAlign w:val="center"/>
          </w:tcPr>
          <w:p>
            <w:r>
              <w:rPr>
                <w:sz w:val="16"/>
              </w:rPr>
              <w:t>¿Cuánto efectivo tengo para enviar a proveedores?</w:t>
            </w:r>
          </w:p>
        </w:tc>
      </w:tr>
      <w:tr>
        <w:trPr>
          <w:cantSplit/>
        </w:trPr>
        <w:tc>
          <w:tcPr>
            <w:tcW w:type="dxa" w:w="5083"/>
            <w:tcMar>
              <w:top w:w="60" w:type="dxa"/>
              <w:start w:w="80" w:type="dxa"/>
              <w:bottom w:w="60" w:type="dxa"/>
              <w:end w:w="80" w:type="dxa"/>
            </w:tcMar>
            <w:vAlign w:val="center"/>
          </w:tcPr>
          <w:p>
            <w:r>
              <w:rPr>
                <w:sz w:val="16"/>
              </w:rPr>
              <w:t>IA ya enviada</w:t>
            </w:r>
          </w:p>
        </w:tc>
        <w:tc>
          <w:tcPr>
            <w:tcW w:type="dxa" w:w="5083"/>
            <w:tcMar>
              <w:top w:w="60" w:type="dxa"/>
              <w:start w:w="80" w:type="dxa"/>
              <w:bottom w:w="60" w:type="dxa"/>
              <w:end w:w="80" w:type="dxa"/>
            </w:tcMar>
            <w:vAlign w:val="center"/>
          </w:tcPr>
          <w:p>
            <w:r>
              <w:rPr>
                <w:sz w:val="16"/>
              </w:rPr>
              <w:t>¿Cuánto dinero ya salió hacia proveedores?</w:t>
            </w:r>
          </w:p>
        </w:tc>
      </w:tr>
      <w:tr>
        <w:trPr>
          <w:cantSplit/>
        </w:trPr>
        <w:tc>
          <w:tcPr>
            <w:tcW w:type="dxa" w:w="5083"/>
            <w:tcMar>
              <w:top w:w="60" w:type="dxa"/>
              <w:start w:w="80" w:type="dxa"/>
              <w:bottom w:w="60" w:type="dxa"/>
              <w:end w:w="80" w:type="dxa"/>
            </w:tcMar>
            <w:vAlign w:val="center"/>
          </w:tcPr>
          <w:p>
            <w:r>
              <w:rPr>
                <w:sz w:val="16"/>
              </w:rPr>
              <w:t>Cobros pendientes</w:t>
            </w:r>
          </w:p>
        </w:tc>
        <w:tc>
          <w:tcPr>
            <w:tcW w:type="dxa" w:w="5083"/>
            <w:tcMar>
              <w:top w:w="60" w:type="dxa"/>
              <w:start w:w="80" w:type="dxa"/>
              <w:bottom w:w="60" w:type="dxa"/>
              <w:end w:w="80" w:type="dxa"/>
            </w:tcMar>
            <w:vAlign w:val="center"/>
          </w:tcPr>
          <w:p>
            <w:r>
              <w:rPr>
                <w:sz w:val="16"/>
              </w:rPr>
              <w:t>¿Cuánto valor falta recuperar de generaciones bloqueadas?</w:t>
            </w:r>
          </w:p>
        </w:tc>
      </w:tr>
      <w:tr>
        <w:trPr>
          <w:cantSplit/>
        </w:trPr>
        <w:tc>
          <w:tcPr>
            <w:tcW w:type="dxa" w:w="5083"/>
            <w:tcMar>
              <w:top w:w="60" w:type="dxa"/>
              <w:start w:w="80" w:type="dxa"/>
              <w:bottom w:w="60" w:type="dxa"/>
              <w:end w:w="80" w:type="dxa"/>
            </w:tcMar>
            <w:vAlign w:val="center"/>
          </w:tcPr>
          <w:p>
            <w:r>
              <w:rPr>
                <w:sz w:val="16"/>
              </w:rPr>
              <w:t>Caja promocional</w:t>
            </w:r>
          </w:p>
        </w:tc>
        <w:tc>
          <w:tcPr>
            <w:tcW w:type="dxa" w:w="5083"/>
            <w:tcMar>
              <w:top w:w="60" w:type="dxa"/>
              <w:start w:w="80" w:type="dxa"/>
              <w:bottom w:w="60" w:type="dxa"/>
              <w:end w:w="80" w:type="dxa"/>
            </w:tcMar>
            <w:vAlign w:val="center"/>
          </w:tcPr>
          <w:p>
            <w:r>
              <w:rPr>
                <w:sz w:val="16"/>
              </w:rPr>
              <w:t>¿Cuánto crédito gratuito respaldado queda?</w:t>
            </w:r>
          </w:p>
        </w:tc>
      </w:tr>
      <w:tr>
        <w:trPr>
          <w:cantSplit/>
        </w:trPr>
        <w:tc>
          <w:tcPr>
            <w:tcW w:type="dxa" w:w="5083"/>
            <w:tcMar>
              <w:top w:w="60" w:type="dxa"/>
              <w:start w:w="80" w:type="dxa"/>
              <w:bottom w:w="60" w:type="dxa"/>
              <w:end w:w="80" w:type="dxa"/>
            </w:tcMar>
            <w:vAlign w:val="center"/>
          </w:tcPr>
          <w:p>
            <w:r>
              <w:rPr>
                <w:sz w:val="16"/>
              </w:rPr>
              <w:t>Caja operativa</w:t>
            </w:r>
          </w:p>
        </w:tc>
        <w:tc>
          <w:tcPr>
            <w:tcW w:type="dxa" w:w="5083"/>
            <w:tcMar>
              <w:top w:w="60" w:type="dxa"/>
              <w:start w:w="80" w:type="dxa"/>
              <w:bottom w:w="60" w:type="dxa"/>
              <w:end w:w="80" w:type="dxa"/>
            </w:tcMar>
            <w:vAlign w:val="center"/>
          </w:tcPr>
          <w:p>
            <w:r>
              <w:rPr>
                <w:sz w:val="16"/>
              </w:rPr>
              <w:t>¿Cuánto hay para pagar gastos del negocio?</w:t>
            </w:r>
          </w:p>
        </w:tc>
      </w:tr>
      <w:tr>
        <w:trPr>
          <w:cantSplit/>
        </w:trPr>
        <w:tc>
          <w:tcPr>
            <w:tcW w:type="dxa" w:w="5083"/>
            <w:tcMar>
              <w:top w:w="60" w:type="dxa"/>
              <w:start w:w="80" w:type="dxa"/>
              <w:bottom w:w="60" w:type="dxa"/>
              <w:end w:w="80" w:type="dxa"/>
            </w:tcMar>
            <w:vAlign w:val="center"/>
          </w:tcPr>
          <w:p>
            <w:r>
              <w:rPr>
                <w:sz w:val="16"/>
              </w:rPr>
              <w:t>Costo real de IA</w:t>
            </w:r>
          </w:p>
        </w:tc>
        <w:tc>
          <w:tcPr>
            <w:tcW w:type="dxa" w:w="5083"/>
            <w:tcMar>
              <w:top w:w="60" w:type="dxa"/>
              <w:start w:w="80" w:type="dxa"/>
              <w:bottom w:w="60" w:type="dxa"/>
              <w:end w:w="80" w:type="dxa"/>
            </w:tcMar>
            <w:vAlign w:val="center"/>
          </w:tcPr>
          <w:p>
            <w:r>
              <w:rPr>
                <w:sz w:val="16"/>
              </w:rPr>
              <w:t>¿Cuánto están costando las generaciones?</w:t>
            </w:r>
          </w:p>
        </w:tc>
      </w:tr>
      <w:tr>
        <w:trPr>
          <w:cantSplit/>
        </w:trPr>
        <w:tc>
          <w:tcPr>
            <w:tcW w:type="dxa" w:w="5083"/>
            <w:tcMar>
              <w:top w:w="60" w:type="dxa"/>
              <w:start w:w="80" w:type="dxa"/>
              <w:bottom w:w="60" w:type="dxa"/>
              <w:end w:w="80" w:type="dxa"/>
            </w:tcMar>
            <w:vAlign w:val="center"/>
          </w:tcPr>
          <w:p>
            <w:r>
              <w:rPr>
                <w:sz w:val="16"/>
              </w:rPr>
              <w:t>Ganancia por generación</w:t>
            </w:r>
          </w:p>
        </w:tc>
        <w:tc>
          <w:tcPr>
            <w:tcW w:type="dxa" w:w="5083"/>
            <w:tcMar>
              <w:top w:w="60" w:type="dxa"/>
              <w:start w:w="80" w:type="dxa"/>
              <w:bottom w:w="60" w:type="dxa"/>
              <w:end w:w="80" w:type="dxa"/>
            </w:tcMar>
            <w:vAlign w:val="center"/>
          </w:tcPr>
          <w:p>
            <w:r>
              <w:rPr>
                <w:sz w:val="16"/>
              </w:rPr>
              <w:t>¿Qué margen real deja cada trabajo?</w:t>
            </w:r>
          </w:p>
        </w:tc>
      </w:tr>
      <w:tr>
        <w:trPr>
          <w:cantSplit/>
        </w:trPr>
        <w:tc>
          <w:tcPr>
            <w:tcW w:type="dxa" w:w="5083"/>
            <w:tcMar>
              <w:top w:w="60" w:type="dxa"/>
              <w:start w:w="80" w:type="dxa"/>
              <w:bottom w:w="60" w:type="dxa"/>
              <w:end w:w="80" w:type="dxa"/>
            </w:tcMar>
            <w:vAlign w:val="center"/>
          </w:tcPr>
          <w:p>
            <w:r>
              <w:rPr>
                <w:sz w:val="16"/>
              </w:rPr>
              <w:t>Ganancia por bolsa</w:t>
            </w:r>
          </w:p>
        </w:tc>
        <w:tc>
          <w:tcPr>
            <w:tcW w:type="dxa" w:w="5083"/>
            <w:tcMar>
              <w:top w:w="60" w:type="dxa"/>
              <w:start w:w="80" w:type="dxa"/>
              <w:bottom w:w="60" w:type="dxa"/>
              <w:end w:w="80" w:type="dxa"/>
            </w:tcMar>
            <w:vAlign w:val="center"/>
          </w:tcPr>
          <w:p>
            <w:r>
              <w:rPr>
                <w:sz w:val="16"/>
              </w:rPr>
              <w:t>¿Qué efecto tienen planes/cupones?</w:t>
            </w:r>
          </w:p>
        </w:tc>
      </w:tr>
      <w:tr>
        <w:trPr>
          <w:cantSplit/>
        </w:trPr>
        <w:tc>
          <w:tcPr>
            <w:tcW w:type="dxa" w:w="5083"/>
            <w:tcMar>
              <w:top w:w="60" w:type="dxa"/>
              <w:start w:w="80" w:type="dxa"/>
              <w:bottom w:w="60" w:type="dxa"/>
              <w:end w:w="80" w:type="dxa"/>
            </w:tcMar>
            <w:vAlign w:val="center"/>
          </w:tcPr>
          <w:p>
            <w:r>
              <w:rPr>
                <w:sz w:val="16"/>
              </w:rPr>
              <w:t>Tokens promocionales usados</w:t>
            </w:r>
          </w:p>
        </w:tc>
        <w:tc>
          <w:tcPr>
            <w:tcW w:type="dxa" w:w="5083"/>
            <w:tcMar>
              <w:top w:w="60" w:type="dxa"/>
              <w:start w:w="80" w:type="dxa"/>
              <w:bottom w:w="60" w:type="dxa"/>
              <w:end w:w="80" w:type="dxa"/>
            </w:tcMar>
            <w:vAlign w:val="center"/>
          </w:tcPr>
          <w:p>
            <w:r>
              <w:rPr>
                <w:sz w:val="16"/>
              </w:rPr>
              <w:t>¿Cuánto subsidio gratuito se está consumiendo?</w:t>
            </w:r>
          </w:p>
        </w:tc>
      </w:tr>
    </w:tbl>
    <w:p/>
    <w:p>
      <w:pPr>
        <w:pStyle w:val="Heading1"/>
      </w:pPr>
      <w:r>
        <w:t>24. Lectura empresarial e inversionista</w:t>
      </w:r>
    </w:p>
    <w:p>
      <w:pPr/>
      <w:r>
        <w:t>El valor estratégico del modelo no está únicamente en vender tokens, sino en separar de forma auditable costo, margen, operación y subsidios. Esto permite escalar descuentos, promociones y múltiples proveedores sin perder visibilidad de rentabilidad.</w:t>
      </w:r>
    </w:p>
    <w:p>
      <w:pPr>
        <w:pStyle w:val="ListBullet"/>
        <w:spacing w:after="30"/>
        <w:ind w:left="360"/>
      </w:pPr>
      <w:r>
        <w:t>Margen configurable y protegido.</w:t>
      </w:r>
    </w:p>
    <w:p>
      <w:pPr>
        <w:pStyle w:val="ListBullet"/>
        <w:spacing w:after="30"/>
        <w:ind w:left="360"/>
      </w:pPr>
      <w:r>
        <w:t>Costos variables trasladados a una unidad económica estable.</w:t>
      </w:r>
    </w:p>
    <w:p>
      <w:pPr>
        <w:pStyle w:val="ListBullet"/>
        <w:spacing w:after="30"/>
        <w:ind w:left="360"/>
      </w:pPr>
      <w:r>
        <w:t>Descuentos controlados desde utilidad.</w:t>
      </w:r>
    </w:p>
    <w:p>
      <w:pPr>
        <w:pStyle w:val="ListBullet"/>
        <w:spacing w:after="30"/>
        <w:ind w:left="360"/>
      </w:pPr>
      <w:r>
        <w:t>Capacidad de introducir créditos gratuitos sin distorsionar ventas.</w:t>
      </w:r>
    </w:p>
    <w:p>
      <w:pPr>
        <w:pStyle w:val="ListBullet"/>
        <w:spacing w:after="30"/>
        <w:ind w:left="360"/>
      </w:pPr>
      <w:r>
        <w:t>Control de obligaciones antes de considerar efectivo como retirable.</w:t>
      </w:r>
    </w:p>
    <w:p>
      <w:pPr>
        <w:pStyle w:val="ListBullet"/>
        <w:spacing w:after="30"/>
        <w:ind w:left="360"/>
      </w:pPr>
      <w:r>
        <w:t>Auditoría histórica por snapshot.</w:t>
      </w:r>
    </w:p>
    <w:p>
      <w:pPr>
        <w:pStyle w:val="ListBullet"/>
        <w:spacing w:after="30"/>
        <w:ind w:left="360"/>
      </w:pPr>
      <w:r>
        <w:t>Soporte multiproveedor.</w:t>
      </w:r>
    </w:p>
    <w:p>
      <w:pPr>
        <w:pStyle w:val="ListBullet"/>
        <w:spacing w:after="30"/>
        <w:ind w:left="360"/>
      </w:pPr>
      <w:r>
        <w:t>Recuperación automática de deudas.</w:t>
      </w:r>
    </w:p>
    <w:p>
      <w:pPr>
        <w:pStyle w:val="ListBullet"/>
        <w:spacing w:after="30"/>
        <w:ind w:left="360"/>
      </w:pPr>
      <w:r>
        <w:t>Separación entre crecimiento promocional y negocio pagado.</w:t>
      </w:r>
    </w:p>
    <w:p>
      <w:pPr>
        <w:pStyle w:val="ListBullet"/>
        <w:spacing w:after="30"/>
        <w:ind w:left="360"/>
      </w:pPr>
      <w:r>
        <w:t>Capacidad de medir unit economics por generación y por cohorte de bolsas.</w:t>
      </w:r>
    </w:p>
    <w:p>
      <w:pPr>
        <w:pStyle w:val="Heading1"/>
      </w:pPr>
      <w:r>
        <w:t>25. Glosario operativo</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7E9EC"/>
            <w:tcMar>
              <w:top w:w="60" w:type="dxa"/>
              <w:start w:w="80" w:type="dxa"/>
              <w:bottom w:w="60" w:type="dxa"/>
              <w:end w:w="80" w:type="dxa"/>
            </w:tcMar>
            <w:vAlign w:val="center"/>
          </w:tcPr>
          <w:p>
            <w:r>
              <w:rPr>
                <w:b/>
                <w:sz w:val="17"/>
              </w:rPr>
              <w:t>Término</w:t>
            </w:r>
          </w:p>
        </w:tc>
        <w:tc>
          <w:tcPr>
            <w:tcW w:type="dxa" w:w="5083"/>
            <w:shd w:fill="E7E9EC"/>
            <w:tcMar>
              <w:top w:w="60" w:type="dxa"/>
              <w:start w:w="80" w:type="dxa"/>
              <w:bottom w:w="60" w:type="dxa"/>
              <w:end w:w="80" w:type="dxa"/>
            </w:tcMar>
            <w:vAlign w:val="center"/>
          </w:tcPr>
          <w:p>
            <w:r>
              <w:rPr>
                <w:b/>
                <w:sz w:val="17"/>
              </w:rPr>
              <w:t>Explicación simple</w:t>
            </w:r>
          </w:p>
        </w:tc>
      </w:tr>
      <w:tr>
        <w:trPr>
          <w:cantSplit/>
        </w:trPr>
        <w:tc>
          <w:tcPr>
            <w:tcW w:type="dxa" w:w="5083"/>
            <w:tcMar>
              <w:top w:w="60" w:type="dxa"/>
              <w:start w:w="80" w:type="dxa"/>
              <w:bottom w:w="60" w:type="dxa"/>
              <w:end w:w="80" w:type="dxa"/>
            </w:tcMar>
            <w:vAlign w:val="center"/>
          </w:tcPr>
          <w:p>
            <w:r>
              <w:rPr>
                <w:sz w:val="16"/>
              </w:rPr>
              <w:t>Token</w:t>
            </w:r>
          </w:p>
        </w:tc>
        <w:tc>
          <w:tcPr>
            <w:tcW w:type="dxa" w:w="5083"/>
            <w:tcMar>
              <w:top w:w="60" w:type="dxa"/>
              <w:start w:w="80" w:type="dxa"/>
              <w:bottom w:w="60" w:type="dxa"/>
              <w:end w:w="80" w:type="dxa"/>
            </w:tcMar>
            <w:vAlign w:val="center"/>
          </w:tcPr>
          <w:p>
            <w:r>
              <w:rPr>
                <w:sz w:val="16"/>
              </w:rPr>
              <w:t>Unidad de consumo y unidad económica del servicio.</w:t>
            </w:r>
          </w:p>
        </w:tc>
      </w:tr>
      <w:tr>
        <w:trPr>
          <w:cantSplit/>
        </w:trPr>
        <w:tc>
          <w:tcPr>
            <w:tcW w:type="dxa" w:w="5083"/>
            <w:tcMar>
              <w:top w:w="60" w:type="dxa"/>
              <w:start w:w="80" w:type="dxa"/>
              <w:bottom w:w="60" w:type="dxa"/>
              <w:end w:w="80" w:type="dxa"/>
            </w:tcMar>
            <w:vAlign w:val="center"/>
          </w:tcPr>
          <w:p>
            <w:r>
              <w:rPr>
                <w:sz w:val="16"/>
              </w:rPr>
              <w:t>Bolsa</w:t>
            </w:r>
          </w:p>
        </w:tc>
        <w:tc>
          <w:tcPr>
            <w:tcW w:type="dxa" w:w="5083"/>
            <w:tcMar>
              <w:top w:w="60" w:type="dxa"/>
              <w:start w:w="80" w:type="dxa"/>
              <w:bottom w:w="60" w:type="dxa"/>
              <w:end w:w="80" w:type="dxa"/>
            </w:tcMar>
            <w:vAlign w:val="center"/>
          </w:tcPr>
          <w:p>
            <w:r>
              <w:rPr>
                <w:sz w:val="16"/>
              </w:rPr>
              <w:t>Grupo de tokens nacidos bajo las mismas condiciones financieras.</w:t>
            </w:r>
          </w:p>
        </w:tc>
      </w:tr>
      <w:tr>
        <w:trPr>
          <w:cantSplit/>
        </w:trPr>
        <w:tc>
          <w:tcPr>
            <w:tcW w:type="dxa" w:w="5083"/>
            <w:tcMar>
              <w:top w:w="60" w:type="dxa"/>
              <w:start w:w="80" w:type="dxa"/>
              <w:bottom w:w="60" w:type="dxa"/>
              <w:end w:w="80" w:type="dxa"/>
            </w:tcMar>
            <w:vAlign w:val="center"/>
          </w:tcPr>
          <w:p>
            <w:r>
              <w:rPr>
                <w:sz w:val="16"/>
              </w:rPr>
              <w:t>Snapshot</w:t>
            </w:r>
          </w:p>
        </w:tc>
        <w:tc>
          <w:tcPr>
            <w:tcW w:type="dxa" w:w="5083"/>
            <w:tcMar>
              <w:top w:w="60" w:type="dxa"/>
              <w:start w:w="80" w:type="dxa"/>
              <w:bottom w:w="60" w:type="dxa"/>
              <w:end w:w="80" w:type="dxa"/>
            </w:tcMar>
            <w:vAlign w:val="center"/>
          </w:tcPr>
          <w:p>
            <w:r>
              <w:rPr>
                <w:sz w:val="16"/>
              </w:rPr>
              <w:t>Foto congelada de las reglas financieras de una bolsa.</w:t>
            </w:r>
          </w:p>
        </w:tc>
      </w:tr>
      <w:tr>
        <w:trPr>
          <w:cantSplit/>
        </w:trPr>
        <w:tc>
          <w:tcPr>
            <w:tcW w:type="dxa" w:w="5083"/>
            <w:tcMar>
              <w:top w:w="60" w:type="dxa"/>
              <w:start w:w="80" w:type="dxa"/>
              <w:bottom w:w="60" w:type="dxa"/>
              <w:end w:w="80" w:type="dxa"/>
            </w:tcMar>
            <w:vAlign w:val="center"/>
          </w:tcPr>
          <w:p>
            <w:r>
              <w:rPr>
                <w:sz w:val="16"/>
              </w:rPr>
              <w:t>FIFO</w:t>
            </w:r>
          </w:p>
        </w:tc>
        <w:tc>
          <w:tcPr>
            <w:tcW w:type="dxa" w:w="5083"/>
            <w:tcMar>
              <w:top w:w="60" w:type="dxa"/>
              <w:start w:w="80" w:type="dxa"/>
              <w:bottom w:w="60" w:type="dxa"/>
              <w:end w:w="80" w:type="dxa"/>
            </w:tcMar>
            <w:vAlign w:val="center"/>
          </w:tcPr>
          <w:p>
            <w:r>
              <w:rPr>
                <w:sz w:val="16"/>
              </w:rPr>
              <w:t>Usar primero las bolsas que correspondan según el orden definido.</w:t>
            </w:r>
          </w:p>
        </w:tc>
      </w:tr>
      <w:tr>
        <w:trPr>
          <w:cantSplit/>
        </w:trPr>
        <w:tc>
          <w:tcPr>
            <w:tcW w:type="dxa" w:w="5083"/>
            <w:tcMar>
              <w:top w:w="60" w:type="dxa"/>
              <w:start w:w="80" w:type="dxa"/>
              <w:bottom w:w="60" w:type="dxa"/>
              <w:end w:w="80" w:type="dxa"/>
            </w:tcMar>
            <w:vAlign w:val="center"/>
          </w:tcPr>
          <w:p>
            <w:r>
              <w:rPr>
                <w:sz w:val="16"/>
              </w:rPr>
              <w:t>Infraestructura</w:t>
            </w:r>
          </w:p>
        </w:tc>
        <w:tc>
          <w:tcPr>
            <w:tcW w:type="dxa" w:w="5083"/>
            <w:tcMar>
              <w:top w:w="60" w:type="dxa"/>
              <w:start w:w="80" w:type="dxa"/>
              <w:bottom w:w="60" w:type="dxa"/>
              <w:end w:w="80" w:type="dxa"/>
            </w:tcMar>
            <w:vAlign w:val="center"/>
          </w:tcPr>
          <w:p>
            <w:r>
              <w:rPr>
                <w:sz w:val="16"/>
              </w:rPr>
              <w:t>Dinero reservado para pagar GPU/proveedor.</w:t>
            </w:r>
          </w:p>
        </w:tc>
      </w:tr>
      <w:tr>
        <w:trPr>
          <w:cantSplit/>
        </w:trPr>
        <w:tc>
          <w:tcPr>
            <w:tcW w:type="dxa" w:w="5083"/>
            <w:tcMar>
              <w:top w:w="60" w:type="dxa"/>
              <w:start w:w="80" w:type="dxa"/>
              <w:bottom w:w="60" w:type="dxa"/>
              <w:end w:w="80" w:type="dxa"/>
            </w:tcMar>
            <w:vAlign w:val="center"/>
          </w:tcPr>
          <w:p>
            <w:r>
              <w:rPr>
                <w:sz w:val="16"/>
              </w:rPr>
              <w:t>Ganancia</w:t>
            </w:r>
          </w:p>
        </w:tc>
        <w:tc>
          <w:tcPr>
            <w:tcW w:type="dxa" w:w="5083"/>
            <w:tcMar>
              <w:top w:w="60" w:type="dxa"/>
              <w:start w:w="80" w:type="dxa"/>
              <w:bottom w:w="60" w:type="dxa"/>
              <w:end w:w="80" w:type="dxa"/>
            </w:tcMar>
            <w:vAlign w:val="center"/>
          </w:tcPr>
          <w:p>
            <w:r>
              <w:rPr>
                <w:sz w:val="16"/>
              </w:rPr>
              <w:t>Parte que pertenece a la empresa después de proteger costos.</w:t>
            </w:r>
          </w:p>
        </w:tc>
      </w:tr>
      <w:tr>
        <w:trPr>
          <w:cantSplit/>
        </w:trPr>
        <w:tc>
          <w:tcPr>
            <w:tcW w:type="dxa" w:w="5083"/>
            <w:tcMar>
              <w:top w:w="60" w:type="dxa"/>
              <w:start w:w="80" w:type="dxa"/>
              <w:bottom w:w="60" w:type="dxa"/>
              <w:end w:w="80" w:type="dxa"/>
            </w:tcMar>
            <w:vAlign w:val="center"/>
          </w:tcPr>
          <w:p>
            <w:r>
              <w:rPr>
                <w:sz w:val="16"/>
              </w:rPr>
              <w:t>Gasto operativo</w:t>
            </w:r>
          </w:p>
        </w:tc>
        <w:tc>
          <w:tcPr>
            <w:tcW w:type="dxa" w:w="5083"/>
            <w:tcMar>
              <w:top w:w="60" w:type="dxa"/>
              <w:start w:w="80" w:type="dxa"/>
              <w:bottom w:w="60" w:type="dxa"/>
              <w:end w:w="80" w:type="dxa"/>
            </w:tcMar>
            <w:vAlign w:val="center"/>
          </w:tcPr>
          <w:p>
            <w:r>
              <w:rPr>
                <w:sz w:val="16"/>
              </w:rPr>
              <w:t>Recargo para hosting, correo, dominios y otros gastos.</w:t>
            </w:r>
          </w:p>
        </w:tc>
      </w:tr>
      <w:tr>
        <w:trPr>
          <w:cantSplit/>
        </w:trPr>
        <w:tc>
          <w:tcPr>
            <w:tcW w:type="dxa" w:w="5083"/>
            <w:tcMar>
              <w:top w:w="60" w:type="dxa"/>
              <w:start w:w="80" w:type="dxa"/>
              <w:bottom w:w="60" w:type="dxa"/>
              <w:end w:w="80" w:type="dxa"/>
            </w:tcMar>
            <w:vAlign w:val="center"/>
          </w:tcPr>
          <w:p>
            <w:r>
              <w:rPr>
                <w:sz w:val="16"/>
              </w:rPr>
              <w:t>Promocional</w:t>
            </w:r>
          </w:p>
        </w:tc>
        <w:tc>
          <w:tcPr>
            <w:tcW w:type="dxa" w:w="5083"/>
            <w:tcMar>
              <w:top w:w="60" w:type="dxa"/>
              <w:start w:w="80" w:type="dxa"/>
              <w:bottom w:w="60" w:type="dxa"/>
              <w:end w:w="80" w:type="dxa"/>
            </w:tcMar>
            <w:vAlign w:val="center"/>
          </w:tcPr>
          <w:p>
            <w:r>
              <w:rPr>
                <w:sz w:val="16"/>
              </w:rPr>
              <w:t>Token gratis con ganancia y operación en cero.</w:t>
            </w:r>
          </w:p>
        </w:tc>
      </w:tr>
      <w:tr>
        <w:trPr>
          <w:cantSplit/>
        </w:trPr>
        <w:tc>
          <w:tcPr>
            <w:tcW w:type="dxa" w:w="5083"/>
            <w:tcMar>
              <w:top w:w="60" w:type="dxa"/>
              <w:start w:w="80" w:type="dxa"/>
              <w:bottom w:w="60" w:type="dxa"/>
              <w:end w:w="80" w:type="dxa"/>
            </w:tcMar>
            <w:vAlign w:val="center"/>
          </w:tcPr>
          <w:p>
            <w:r>
              <w:rPr>
                <w:sz w:val="16"/>
              </w:rPr>
              <w:t>Conciliación</w:t>
            </w:r>
          </w:p>
        </w:tc>
        <w:tc>
          <w:tcPr>
            <w:tcW w:type="dxa" w:w="5083"/>
            <w:tcMar>
              <w:top w:w="60" w:type="dxa"/>
              <w:start w:w="80" w:type="dxa"/>
              <w:bottom w:w="60" w:type="dxa"/>
              <w:end w:w="80" w:type="dxa"/>
            </w:tcMar>
            <w:vAlign w:val="center"/>
          </w:tcPr>
          <w:p>
            <w:r>
              <w:rPr>
                <w:sz w:val="16"/>
              </w:rPr>
              <w:t>Comparar lo estimado con el costo real y ajustar tokens.</w:t>
            </w:r>
          </w:p>
        </w:tc>
      </w:tr>
      <w:tr>
        <w:trPr>
          <w:cantSplit/>
        </w:trPr>
        <w:tc>
          <w:tcPr>
            <w:tcW w:type="dxa" w:w="5083"/>
            <w:tcMar>
              <w:top w:w="60" w:type="dxa"/>
              <w:start w:w="80" w:type="dxa"/>
              <w:bottom w:w="60" w:type="dxa"/>
              <w:end w:w="80" w:type="dxa"/>
            </w:tcMar>
            <w:vAlign w:val="center"/>
          </w:tcPr>
          <w:p>
            <w:r>
              <w:rPr>
                <w:sz w:val="16"/>
              </w:rPr>
              <w:t>Resultado bloqueado</w:t>
            </w:r>
          </w:p>
        </w:tc>
        <w:tc>
          <w:tcPr>
            <w:tcW w:type="dxa" w:w="5083"/>
            <w:tcMar>
              <w:top w:w="60" w:type="dxa"/>
              <w:start w:w="80" w:type="dxa"/>
              <w:bottom w:w="60" w:type="dxa"/>
              <w:end w:w="80" w:type="dxa"/>
            </w:tcMar>
            <w:vAlign w:val="center"/>
          </w:tcPr>
          <w:p>
            <w:r>
              <w:rPr>
                <w:sz w:val="16"/>
              </w:rPr>
              <w:t>Generación terminada que no se entrega hasta completar el pago.</w:t>
            </w:r>
          </w:p>
        </w:tc>
      </w:tr>
      <w:tr>
        <w:trPr>
          <w:cantSplit/>
        </w:trPr>
        <w:tc>
          <w:tcPr>
            <w:tcW w:type="dxa" w:w="5083"/>
            <w:tcMar>
              <w:top w:w="60" w:type="dxa"/>
              <w:start w:w="80" w:type="dxa"/>
              <w:bottom w:w="60" w:type="dxa"/>
              <w:end w:w="80" w:type="dxa"/>
            </w:tcMar>
            <w:vAlign w:val="center"/>
          </w:tcPr>
          <w:p>
            <w:r>
              <w:rPr>
                <w:sz w:val="16"/>
              </w:rPr>
              <w:t>Cobro pendiente</w:t>
            </w:r>
          </w:p>
        </w:tc>
        <w:tc>
          <w:tcPr>
            <w:tcW w:type="dxa" w:w="5083"/>
            <w:tcMar>
              <w:top w:w="60" w:type="dxa"/>
              <w:start w:w="80" w:type="dxa"/>
              <w:bottom w:w="60" w:type="dxa"/>
              <w:end w:w="80" w:type="dxa"/>
            </w:tcMar>
            <w:vAlign w:val="center"/>
          </w:tcPr>
          <w:p>
            <w:r>
              <w:rPr>
                <w:sz w:val="16"/>
              </w:rPr>
              <w:t>Tokens que faltan cobrar para una generación ya producida.</w:t>
            </w:r>
          </w:p>
        </w:tc>
      </w:tr>
      <w:tr>
        <w:trPr>
          <w:cantSplit/>
        </w:trPr>
        <w:tc>
          <w:tcPr>
            <w:tcW w:type="dxa" w:w="5083"/>
            <w:tcMar>
              <w:top w:w="60" w:type="dxa"/>
              <w:start w:w="80" w:type="dxa"/>
              <w:bottom w:w="60" w:type="dxa"/>
              <w:end w:w="80" w:type="dxa"/>
            </w:tcMar>
            <w:vAlign w:val="center"/>
          </w:tcPr>
          <w:p>
            <w:r>
              <w:rPr>
                <w:sz w:val="16"/>
              </w:rPr>
              <w:t>Transferencia a proveedor</w:t>
            </w:r>
          </w:p>
        </w:tc>
        <w:tc>
          <w:tcPr>
            <w:tcW w:type="dxa" w:w="5083"/>
            <w:tcMar>
              <w:top w:w="60" w:type="dxa"/>
              <w:start w:w="80" w:type="dxa"/>
              <w:bottom w:w="60" w:type="dxa"/>
              <w:end w:w="80" w:type="dxa"/>
            </w:tcMar>
            <w:vAlign w:val="center"/>
          </w:tcPr>
          <w:p>
            <w:r>
              <w:rPr>
                <w:sz w:val="16"/>
              </w:rPr>
              <w:t>Dinero de IA movido físicamente a Modal/RunPod/Beam.</w:t>
            </w:r>
          </w:p>
        </w:tc>
      </w:tr>
      <w:tr>
        <w:trPr>
          <w:cantSplit/>
        </w:trPr>
        <w:tc>
          <w:tcPr>
            <w:tcW w:type="dxa" w:w="5083"/>
            <w:tcMar>
              <w:top w:w="60" w:type="dxa"/>
              <w:start w:w="80" w:type="dxa"/>
              <w:bottom w:w="60" w:type="dxa"/>
              <w:end w:w="80" w:type="dxa"/>
            </w:tcMar>
            <w:vAlign w:val="center"/>
          </w:tcPr>
          <w:p>
            <w:r>
              <w:rPr>
                <w:sz w:val="16"/>
              </w:rPr>
              <w:t>Vencimiento</w:t>
            </w:r>
          </w:p>
        </w:tc>
        <w:tc>
          <w:tcPr>
            <w:tcW w:type="dxa" w:w="5083"/>
            <w:tcMar>
              <w:top w:w="60" w:type="dxa"/>
              <w:start w:w="80" w:type="dxa"/>
              <w:bottom w:w="60" w:type="dxa"/>
              <w:end w:w="80" w:type="dxa"/>
            </w:tcMar>
            <w:vAlign w:val="center"/>
          </w:tcPr>
          <w:p>
            <w:r>
              <w:rPr>
                <w:sz w:val="16"/>
              </w:rPr>
              <w:t>Fin de la posibilidad del usuario de gastar tokens de una bolsa.</w:t>
            </w:r>
          </w:p>
        </w:tc>
      </w:tr>
      <w:tr>
        <w:trPr>
          <w:cantSplit/>
        </w:trPr>
        <w:tc>
          <w:tcPr>
            <w:tcW w:type="dxa" w:w="5083"/>
            <w:tcMar>
              <w:top w:w="60" w:type="dxa"/>
              <w:start w:w="80" w:type="dxa"/>
              <w:bottom w:w="60" w:type="dxa"/>
              <w:end w:w="80" w:type="dxa"/>
            </w:tcMar>
            <w:vAlign w:val="center"/>
          </w:tcPr>
          <w:p>
            <w:r>
              <w:rPr>
                <w:sz w:val="16"/>
              </w:rPr>
              <w:t>Dinero que quedó en proveedor</w:t>
            </w:r>
          </w:p>
        </w:tc>
        <w:tc>
          <w:tcPr>
            <w:tcW w:type="dxa" w:w="5083"/>
            <w:tcMar>
              <w:top w:w="60" w:type="dxa"/>
              <w:start w:w="80" w:type="dxa"/>
              <w:bottom w:w="60" w:type="dxa"/>
              <w:end w:w="80" w:type="dxa"/>
            </w:tcMar>
            <w:vAlign w:val="center"/>
          </w:tcPr>
          <w:p>
            <w:r>
              <w:rPr>
                <w:sz w:val="16"/>
              </w:rPr>
              <w:t>Importe enviado que ya no puede volver como efectivo aunque la bolsa venza.</w:t>
            </w:r>
          </w:p>
        </w:tc>
      </w:tr>
    </w:tbl>
    <w:p/>
    <w:p>
      <w:pPr>
        <w:pStyle w:val="Heading1"/>
      </w:pPr>
      <w:r>
        <w:t>26. Principios que nunca deben romperse</w:t>
      </w:r>
    </w:p>
    <w:p>
      <w:pPr>
        <w:spacing w:after="30"/>
      </w:pPr>
      <w:r>
        <w:t>1. La regla de precios calcula cuántos tokens cuesta una generación; las bolsas no.</w:t>
      </w:r>
    </w:p>
    <w:p>
      <w:pPr>
        <w:spacing w:after="30"/>
      </w:pPr>
      <w:r>
        <w:t>2. FIFO elige de qué bolsas salen los tokens; no calcula su cantidad.</w:t>
      </w:r>
    </w:p>
    <w:p>
      <w:pPr>
        <w:spacing w:after="30"/>
      </w:pPr>
      <w:r>
        <w:t>3. Los descuentos se aplican a la ganancia, nunca a infraestructura ni operación.</w:t>
      </w:r>
    </w:p>
    <w:p>
      <w:pPr>
        <w:spacing w:after="30"/>
      </w:pPr>
      <w:r>
        <w:t>4. Cada bolsa congela su economía al nacer.</w:t>
      </w:r>
    </w:p>
    <w:p>
      <w:pPr>
        <w:spacing w:after="30"/>
      </w:pPr>
      <w:r>
        <w:t>5. El gasto operativo es externo a la capacidad IA de un token.</w:t>
      </w:r>
    </w:p>
    <w:p>
      <w:pPr>
        <w:spacing w:after="30"/>
      </w:pPr>
      <w:r>
        <w:t>6. Los tokens promocionales tienen ganancia cero y gasto operativo cero.</w:t>
      </w:r>
    </w:p>
    <w:p>
      <w:pPr>
        <w:spacing w:after="30"/>
      </w:pPr>
      <w:r>
        <w:t>7. Una deuda de generación no debe cobrar parcialmente si no puede completarse.</w:t>
      </w:r>
    </w:p>
    <w:p>
      <w:pPr>
        <w:spacing w:after="30"/>
      </w:pPr>
      <w:r>
        <w:t>8. El dinero ya enviado a un proveedor no puede reaparecer como efectivo retirable.</w:t>
      </w:r>
    </w:p>
    <w:p>
      <w:pPr>
        <w:spacing w:after="30"/>
      </w:pPr>
      <w:r>
        <w:t>9. Una bolsa promocional vencida no genera utilidad.</w:t>
      </w:r>
    </w:p>
    <w:p>
      <w:pPr>
        <w:spacing w:after="30"/>
      </w:pPr>
      <w:r>
        <w:t>10. Los snapshots históricos no se recalculan con reglas actuales.</w:t>
      </w:r>
    </w:p>
    <w:p>
      <w:pPr>
        <w:spacing w:after="30"/>
      </w:pPr>
      <w:r>
        <w:t>11. Cada generación financiera existe una sola vez y se actualiza durante la conciliación.</w:t>
      </w:r>
    </w:p>
    <w:p>
      <w:pPr>
        <w:spacing w:after="30"/>
      </w:pPr>
      <w:r>
        <w:t>12. La seguridad del resultado bloqueado vive en backend.</w:t>
      </w:r>
    </w:p>
    <w:p>
      <w:pPr>
        <w:spacing w:after="30"/>
      </w:pPr>
      <w:r>
        <w:t>13. Las cajas de utilidad, IA, promoción y operación deben permanecer separadas.</w:t>
      </w:r>
    </w:p>
    <w:tbl>
      <w:tblPr>
        <w:tblW w:type="auto" w:w="0"/>
        <w:jc w:val="center"/>
        <w:tblLook w:firstColumn="1" w:firstRow="1" w:lastColumn="0" w:lastRow="0" w:noHBand="0" w:noVBand="1" w:val="04A0"/>
      </w:tblPr>
      <w:tblGrid>
        <w:gridCol w:w="10166"/>
      </w:tblGrid>
      <w:tr>
        <w:trPr>
          <w:cantSplit/>
        </w:trPr>
        <w:tc>
          <w:tcPr>
            <w:tcW w:type="dxa" w:w="10166"/>
            <w:shd w:fill="F7F1F2"/>
            <w:tcMar>
              <w:top w:w="100" w:type="dxa"/>
              <w:start w:w="120" w:type="dxa"/>
              <w:bottom w:w="100" w:type="dxa"/>
              <w:end w:w="120" w:type="dxa"/>
            </w:tcMar>
          </w:tcPr>
          <w:p>
            <w:r>
              <w:rPr>
                <w:b/>
                <w:color w:val="7A1C24"/>
              </w:rPr>
              <w:t xml:space="preserve">Síntesis final: </w:t>
            </w:r>
            <w:r>
              <w:rPr>
                <w:sz w:val="19"/>
              </w:rPr>
              <w:t>Costo real de IA → regla de precios calcula tokens → FIFO selecciona bolsas → snapshots determinan rentabilidad y componentes → cajas separan físicamente el dinero → conciliación decide si el resultado puede entregarse.</w:t>
            </w:r>
          </w:p>
        </w:tc>
      </w:tr>
    </w:tbl>
    <w:p/>
    <w:p/>
    <w:p>
      <w:pPr>
        <w:jc w:val="center"/>
      </w:pPr>
      <w:r>
        <w:rPr>
          <w:b/>
          <w:color w:val="7A1C24"/>
          <w:sz w:val="24"/>
        </w:rPr>
        <w:t>FIN DEL MODELO V4</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E84"/>
        <w:sz w:val="15"/>
      </w:rPr>
      <w:t>Documento de arquitectura financiera · Versión V4 · Agosto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67E"/>
        <w:sz w:val="16"/>
      </w:rPr>
      <w:t>Modelo Financiero y Operativo · Plataforma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A1C2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0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942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pPr>
    <w:rPr>
      <w:rFonts w:ascii="Aptos" w:hAnsi="Aptos"/>
      <w:color w:val="464E58"/>
      <w:sz w:val="24"/>
    </w:rPr>
  </w:style>
  <w:style w:type="paragraph" w:customStyle="1" w:styleId="Callout">
    <w:name w:val="Callout"/>
    <w:pPr>
      <w:spacing w:before="100" w:after="100"/>
    </w:pPr>
    <w:rPr>
      <w:rFonts w:ascii="Aptos" w:hAnsi="Aptos"/>
      <w:b/>
      <w:color w:val="7A1C24"/>
      <w:sz w:val="20"/>
    </w:rPr>
  </w:style>
  <w:style w:type="paragraph" w:customStyle="1" w:styleId="CodeLite">
    <w:name w:val="CodeLite"/>
    <w:pPr>
      <w:spacing w:before="40" w:after="80"/>
      <w:ind w:left="360"/>
    </w:pPr>
    <w:rPr>
      <w:rFonts w:ascii="Consolas" w:hAnsi="Consolas"/>
      <w:color w:val="2C343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