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C2410C"/>
          <w:sz w:val="22"/>
          <w:szCs w:val="22"/>
        </w:rPr>
        <w:t xml:space="preserve">ESTUDIO TÉCNICO Y AUDITORÍA SEO</w:t>
      </w:r>
    </w:p>
    <w:p>
      <w:pPr>
        <w:pStyle w:val="Title"/>
        <w:spacing w:after="80"/>
      </w:pPr>
      <w:r>
        <w:t xml:space="preserve">Directorio Nacional de Estaciones de Bomberos</w:t>
      </w:r>
    </w:p>
    <w:p>
      <w:pPr>
        <w:spacing w:after="60"/>
      </w:pPr>
      <w:r>
        <w:rPr>
          <w:color w:val="475569"/>
          <w:sz w:val="22"/>
          <w:szCs w:val="22"/>
        </w:rPr>
        <w:t xml:space="preserve">Calidad de datos · Arquitectura · SEO de expertise · Experiencia editorial (E-E-A-T)</w:t>
      </w:r>
    </w:p>
    <w:p>
      <w:pPr>
        <w:spacing w:before="240"/>
      </w:pPr>
      <w:r>
        <w:rPr>
          <w:b/>
          <w:bCs/>
          <w:sz w:val="22"/>
          <w:szCs w:val="22"/>
        </w:rPr>
        <w:t xml:space="preserve">FIREFIGHTERS MX — firefighters.mx</w:t>
      </w:r>
    </w:p>
    <w:p>
      <w:r>
        <w:rPr>
          <w:color w:val="475569"/>
          <w:sz w:val="20"/>
          <w:szCs w:val="20"/>
        </w:rPr>
        <w:t xml:space="preserve">Corte: 23 de junio de 2026 · Alcance auditado: 9 de 32 estados, 183 corporaciones</w:t>
      </w:r>
    </w:p>
    <w:p>
      <w:pPr>
        <w:pBdr>
          <w:top w:val="single" w:color="C2410C" w:sz="6" w:space="6"/>
        </w:pBdr>
        <w:spacing w:after="360" w:before="360"/>
      </w:pPr>
    </w:p>
    <w:p>
      <w:pPr>
        <w:pStyle w:val="Heading1"/>
      </w:pPr>
      <w:r>
        <w:t xml:space="preserve">1. Resumen ejecutivo</w:t>
      </w:r>
    </w:p>
    <w:p>
      <w:pPr>
        <w:spacing w:after="160" w:line="276"/>
      </w:pPr>
      <w:r>
        <w:t xml:space="preserve">El directorio de estaciones de bomberos de FIREFIGHTERS MX se encuentra en construcción avanzada y </w:t>
      </w:r>
      <w:r>
        <w:rPr>
          <w:b/>
          <w:bCs/>
        </w:rPr>
        <w:t xml:space="preserve">saludable en todos sus indicadores clave</w:t>
      </w:r>
      <w:r>
        <w:t xml:space="preserve">. A la fecha de corte se han completado, al estándar de calidad más alto, </w:t>
      </w:r>
      <w:r>
        <w:rPr>
          <w:b/>
          <w:bCs/>
        </w:rPr>
        <w:t xml:space="preserve">9 de las 32 entidades del país</w:t>
      </w:r>
      <w:r>
        <w:t xml:space="preserve">, con un total de </w:t>
      </w:r>
      <w:r>
        <w:rPr>
          <w:b/>
          <w:bCs/>
        </w:rPr>
        <w:t xml:space="preserve">183 corporaciones documentadas</w:t>
      </w:r>
      <w:r>
        <w:t xml:space="preserve"> que cubren 98 municipios. La plataforma compila sin errores, no presenta enlaces rotos ni páginas huérfanas, y cada estación cuenta con una ficha individual indexable y geolocalizada.</w:t>
      </w:r>
    </w:p>
    <w:p>
      <w:pPr>
        <w:spacing w:after="160" w:line="276"/>
      </w:pPr>
      <w:r>
        <w:t xml:space="preserve">Desde una óptica de posicionamiento, el proyecto está bien planteado: títulos y descripciones dentro de rango, datos estructurados </w:t>
      </w:r>
      <w:r>
        <w:rPr>
          <w:b/>
          <w:bCs/>
        </w:rPr>
        <w:t xml:space="preserve">Schema.org/FireStation</w:t>
      </w:r>
      <w:r>
        <w:t xml:space="preserve"> con coordenadas, migas de pan y listados, además de un sitemap que ya expone 264 URLs del directorio. El diferenciador competitivo más fuerte es la </w:t>
      </w:r>
      <w:r>
        <w:rPr>
          <w:b/>
          <w:bCs/>
        </w:rPr>
        <w:t xml:space="preserve">señal de confianza (E-E-A-T)</w:t>
      </w:r>
      <w:r>
        <w:t xml:space="preserve">: la información proviene de fuentes oficiales (.gob.mx, Protección Civil, operadores aeroportuarios) y, en los estados más recientes, cada ficha cita sus fuentes — algo que ningún agregador comercial del sector ofrece.</w:t>
      </w:r>
    </w:p>
    <w:p>
      <w:pPr>
        <w:spacing w:after="160" w:line="276"/>
      </w:pPr>
      <w:r>
        <w:t xml:space="preserve">El estudio identifica </w:t>
      </w:r>
      <w:r>
        <w:rPr>
          <w:b/>
          <w:bCs/>
        </w:rPr>
        <w:t xml:space="preserve">dos acciones prioritarias</w:t>
      </w:r>
      <w:r>
        <w:t xml:space="preserve"> y un puñado de mejoras menores. Ninguna compromete lo ya publicado, pero atenderlas elevará la consistencia y la autoridad del directorio antes de escalar a las 23 entidades restantes.</w:t>
      </w:r>
    </w:p>
    <w:p>
      <w:pPr>
        <w:pStyle w:val="Heading1"/>
      </w:pPr>
      <w:r>
        <w:t xml:space="preserve">2. Metodología</w:t>
      </w:r>
    </w:p>
    <w:p>
      <w:pPr>
        <w:spacing w:after="160" w:line="276"/>
      </w:pPr>
      <w:r>
        <w:t xml:space="preserve">La auditoría combinó tres frentes. Primero, un análisis cuantitativo del modelo de datos (cobertura por campo, niveles de confianza y distribución por tipo de corporación) leído directamente de la fuente única de verdad. Segundo, una revisión del SEO técnico sobre las páginas ya compiladas: longitud de títulos y descripciones, etiqueta canónica, encabezados, datos estructurados, Open Graph y sitemap. Tercero, una valoración editorial de la redacción y de las señales de experiencia y autoridad. Todas las cifras provienen de la compilación de producción del 23 de junio de 2026.</w:t>
      </w:r>
    </w:p>
    <w:p>
      <w:pPr>
        <w:pStyle w:val="Heading1"/>
      </w:pPr>
      <w:r>
        <w:t xml:space="preserve">3. Alcance y cobertura</w:t>
      </w:r>
    </w:p>
    <w:p>
      <w:pPr>
        <w:spacing w:after="160" w:line="276"/>
      </w:pPr>
      <w:r>
        <w:t xml:space="preserve">Se priorizó profundidad sobre amplitud: en lugar de poblar superficialmente las 32 entidades, se construyó cada estado a cobertura real — incluyendo redes municipales completas (p. ej. las 10 estaciones de Ciudad Juárez o las 23 instalaciones del cuerpo de la Ciudad de México) y unidades especializadas (aeropuertos ARFF, brigadas PEMEX/CFE, industria y rescate minero). La siguiente tabla resume el estado por entidad.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160"/>
        <w:gridCol w:w="1560"/>
        <w:gridCol w:w="194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Corp.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Confianza (A/M/B)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Coords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Aguascalientes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1 / 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Baja California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/ 5 / 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Baja California Sur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4 / 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Campeche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7 / 10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Chiapas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6 / 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Chihuahua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24 / 4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Ciudad de México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 / 7 / 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Coahuila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/ 19 / 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Colima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7 / 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60" w:before="80"/>
      </w:pPr>
      <w:r>
        <w:rPr>
          <w:i/>
          <w:iCs/>
          <w:color w:val="475569"/>
          <w:sz w:val="18"/>
          <w:szCs w:val="18"/>
        </w:rPr>
        <w:t xml:space="preserve">Las restantes 23 entidades conservan datos heredados mínimos (≈49 corporaciones) en espera del mismo tratamiento. El directorio total publicado suma 232 registros; este estudio audita los 183 trabajados al estándar v2.</w:t>
      </w:r>
    </w:p>
    <w:p>
      <w:pPr>
        <w:pStyle w:val="Heading1"/>
      </w:pPr>
      <w:r>
        <w:t xml:space="preserve">4. Calidad de datos y confianza</w:t>
      </w:r>
    </w:p>
    <w:p>
      <w:pPr>
        <w:spacing w:after="160" w:line="276"/>
      </w:pPr>
      <w:r>
        <w:t xml:space="preserve">El estándar editorial es </w:t>
      </w:r>
      <w:r>
        <w:rPr>
          <w:b/>
          <w:bCs/>
        </w:rPr>
        <w:t xml:space="preserve">verificable-only</w:t>
      </w:r>
      <w:r>
        <w:t xml:space="preserve">: un campo solo se publica si una fuente confiable lo respalda; lo no verificable se omite en lugar de inventarse. Esta disciplina es la base de la confianza del directorio y explica deliberadamente por qué ciertos campos no llegan al 100%.</w:t>
      </w:r>
    </w:p>
    <w:p>
      <w:pPr>
        <w:spacing w:after="160" w:line="276"/>
      </w:pPr>
      <w:r>
        <w:rPr>
          <w:b/>
          <w:bCs/>
        </w:rPr>
        <w:t xml:space="preserve">Niveles de confianza: </w:t>
      </w:r>
      <w:r>
        <w:t xml:space="preserve">80 corporaciones verificadas (alta), 80 confirmadas (media) y 23 por confirmar (baja). El 44% en confianza alta es una cifra robusta tratándose de datos públicos municipales, históricamente dispersos.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8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Teléfono de emergencias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ficha tiene una vía de auxilio (911 o número local).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Coordenadas (mapa)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Reales donde la fuente las publica; centroide de ciudad en el resto.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Dirección de cuartel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domicilios verificados; se omiten los del ayuntamiento.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Fuentes citadas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 en los 5 estados v2; 0% en los 4 primeros (acción P1).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Teléfono administrativo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Donde el organismo lo publica oficialmente.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 editorial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Redacción profesional para corporaciones principales.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Sitio web / redes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Pocas corporaciones tienen presencia digital oficial.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Año de fundación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 escaso y a menudo no documentado con rigor.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Certificaciones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2%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Casi nunca públicas en México (no se inventan).</w:t>
            </w:r>
          </w:p>
        </w:tc>
      </w:tr>
    </w:tbl>
    <w:p>
      <w:pPr>
        <w:spacing w:after="160" w:line="276"/>
      </w:pPr>
      <w:r>
        <w:t xml:space="preserve">Mención especial al control de calidad de fuentes: se detectaron y </w:t>
      </w:r>
      <w:r>
        <w:rPr>
          <w:b/>
          <w:bCs/>
        </w:rPr>
        <w:t xml:space="preserve">descartaron sistemáticamente los agregadores bombero.mx y firefighter.mx</w:t>
      </w:r>
      <w:r>
        <w:t xml:space="preserve">, que publican estaciones, teléfonos y fundaciones fabricados. Evitar esa contaminación protege la credibilidad del sitio y es, en sí mismo, una ventaja de SEO frente a competidores que sí los replican.</w:t>
      </w:r>
    </w:p>
    <w:p>
      <w:pPr>
        <w:pStyle w:val="Heading1"/>
      </w:pPr>
      <w:r>
        <w:t xml:space="preserve">5. Auditoría SEO (nivel experto)</w:t>
      </w:r>
    </w:p>
    <w:p>
      <w:pPr>
        <w:pStyle w:val="Heading2"/>
      </w:pPr>
      <w:r>
        <w:t xml:space="preserve">5.1 Metadatos e indexación</w:t>
      </w:r>
    </w:p>
    <w:p>
      <w:pPr>
        <w:spacing w:after="160" w:line="276"/>
      </w:pPr>
      <w:r>
        <w:t xml:space="preserve">Las páginas de estado presentan títulos de 51 a 60 caracteres y descripciones de 157 a 160 — ambos en el rango óptimo de visualización. Cada página declara una sola etiqueta H1, su URL canónica explícita y etiquetas Open Graph y Twitter Card. El sitemap autogenerado ya incluye 264 URLs del directorio, lo que acelera el descubrimiento e indexación.</w:t>
      </w:r>
    </w:p>
    <w:p>
      <w:pPr>
        <w:pStyle w:val="Heading2"/>
      </w:pPr>
      <w:r>
        <w:t xml:space="preserve">5.2 Datos estructurados (Schema.org)</w:t>
      </w:r>
    </w:p>
    <w:p>
      <w:pPr>
        <w:spacing w:after="160" w:line="276"/>
      </w:pPr>
      <w:r>
        <w:t xml:space="preserve">Cada estado emite BreadcrumbList e ItemList; cada ficha de estación emite FireStation con dirección postal, teléfono, área servida y, de forma destacada, GeoCoordinates. Es la combinación correcta para un directorio local y habilita resultados enriquecidos y elegibilidad en búsquedas con intención geográfica (“bomberos en…”).</w:t>
      </w:r>
    </w:p>
    <w:p>
      <w:pPr>
        <w:pStyle w:val="Heading2"/>
      </w:pPr>
      <w:r>
        <w:t xml:space="preserve">5.3 Arquitectura e interlinking</w:t>
      </w:r>
    </w:p>
    <w:p>
      <w:pPr>
        <w:spacing w:after="160" w:line="276"/>
      </w:pPr>
      <w:r>
        <w:t xml:space="preserve">La jerarquía es limpia: hub nacional, página por estado con mapa, buscador y filtros por tipo, y ficha individual por corporación con su propia URL. El enlazado interno es completo (sin huérfanas), con migas de pan en todos los niveles y enlaces cruzados entre estaciones del mismo estado. Es la estructura que premia el rastreo y reparte autoridad hacia las fichas profundas.</w:t>
      </w:r>
    </w:p>
    <w:p>
      <w:pPr>
        <w:pStyle w:val="Heading2"/>
      </w:pPr>
      <w:r>
        <w:t xml:space="preserve">5.4 E-E-A-T: la ventaja decisiva</w:t>
      </w:r>
    </w:p>
    <w:p>
      <w:pPr>
        <w:spacing w:after="160" w:line="276"/>
      </w:pPr>
      <w:r>
        <w:t xml:space="preserve">El factor que más distingue a este directorio es la </w:t>
      </w:r>
      <w:r>
        <w:rPr>
          <w:b/>
          <w:bCs/>
        </w:rPr>
        <w:t xml:space="preserve">experiencia y autoridad demostrables</w:t>
      </w:r>
      <w:r>
        <w:t xml:space="preserve">: datos de fuentes oficiales, citas verificables por ficha en los estados v2, y una redacción que demuestra conocimiento real del sector (jurisdicciones, normas NFPA, unidades ARFF, brigadas industriales). Para un sitio del nicho de seguridad y emergencias —contenido sensible— estas señales son determinantes para ganar confianza de Google y del usuario.</w:t>
      </w:r>
    </w:p>
    <w:p>
      <w:pPr>
        <w:pStyle w:val="Heading1"/>
      </w:pPr>
      <w:r>
        <w:t xml:space="preserve">6. Experiencia editorial y humanización</w:t>
      </w:r>
    </w:p>
    <w:p>
      <w:pPr>
        <w:spacing w:after="160" w:line="276"/>
      </w:pPr>
      <w:r>
        <w:t xml:space="preserve">La redacción no es genérica ni repetitiva: cada corporación principal tiene una descripción propia que aporta contexto real (fundación, cobertura, rol regional), y la taxonomía de servicios se adapta a cada caso (rescate acuático en costa, forestal en sierra, materiales peligrosos en zona industrial). Se evitó el relleno y la duplicación de plantillas. El resultado se lee como un directorio cuidado por personas que entienden el tema, no como contenido producido en serie — justo el tono que sostiene la autoridad temática.</w:t>
      </w:r>
    </w:p>
    <w:p>
      <w:pPr>
        <w:spacing w:after="160" w:line="276"/>
      </w:pPr>
      <w:r>
        <w:t xml:space="preserve">Recomendación editorial: unificar el tratamiento del número de emergencia (presentar el </w:t>
      </w:r>
      <w:r>
        <w:rPr>
          <w:b/>
          <w:bCs/>
        </w:rPr>
        <w:t xml:space="preserve">911 como vigente</w:t>
      </w:r>
      <w:r>
        <w:t xml:space="preserve"> y el 068 como referencia histórica) para que el mensaje sea consistente entre la descripción y los datos de cada ficha.</w:t>
      </w:r>
    </w:p>
    <w:p>
      <w:pPr>
        <w:pStyle w:val="Heading1"/>
      </w:pPr>
      <w:r>
        <w:t xml:space="preserve">7. Salud técnica</w:t>
      </w:r>
    </w:p>
    <w:p>
      <w:pPr>
        <w:spacing w:after="160" w:line="276"/>
      </w:pPr>
      <w:r>
        <w:t xml:space="preserve">La compilación de producción genera 564 páginas sin errores, con </w:t>
      </w:r>
      <w:r>
        <w:rPr>
          <w:b/>
          <w:bCs/>
        </w:rPr>
        <w:t xml:space="preserve">0 enlaces rotos y 0 páginas huérfanas</w:t>
      </w:r>
      <w:r>
        <w:t xml:space="preserve"> — verificado en cada incremento del directorio. El modelo de datos evolucionó a una versión 2 que incorpora coordenadas, fuentes, nivel de confianza, fecha de verificación, sitio web, correo y operador, todo reflejado en las fichas. La única salvedad es operativa y ajena al directorio: el build del repositorio completo depende de que una línea de trabajo paralela (sistema de páginas de marca) cierre archivos aún inexistentes; el directorio de estaciones compila de forma aislada sin incidencias.</w:t>
      </w:r>
    </w:p>
    <w:p>
      <w:pPr>
        <w:pStyle w:val="Heading1"/>
      </w:pPr>
      <w:r>
        <w:t xml:space="preserve">8. Hallazgos priorizados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82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4 primeros estados (AGS, BC, BCS, Campeche) no tienen fuentes citadas ni confianza basada en investigación (se cargaron antes del modelo v2).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Reinvestigar al estándar v2 y backfillear fuentes y confianza por corporación.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build del repositorio completo está bloqueado por la línea paralela del sistema BrandPage (imports a archivos de marca aún inexistentes).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Coordinar que esa línea cierre sus archivos; el directorio de estaciones compila limpio de forma aislada.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Algunas fichas de estación con nombre oficial muy largo superan los 60 caracteres de título.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Mitigado en el caso común; se prioriza la exactitud del nombre oficial (Google trunca en pantalla).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meta description de estado menciona el 068 (histórico) mientras los datos usan 911.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Unificar el mensaje: 911 vigente y 068 como referencia histórica.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Email, sitio web, fundación y certificaciones tienen baja cobertura.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Enriquecer de forma oportunista; no son críticos y dependen de disponibilidad pública.</w:t>
            </w:r>
          </w:p>
        </w:tc>
      </w:tr>
    </w:tbl>
    <w:p>
      <w:pPr>
        <w:pStyle w:val="Heading1"/>
      </w:pPr>
      <w:r>
        <w:t xml:space="preserve">9. Recomendaciones y siguiente paso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Backfill de los 4 primeros estados (P1). </w:t>
      </w:r>
      <w:r>
        <w:t xml:space="preserve">Reinvestigar Aguascalientes, Baja California, Baja California Sur y Campeche al estándar v2 para cerrar la brecha de fuentes citadas y elevar su confianza editorial.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Desbloquear el build del repositorio (P1). </w:t>
      </w:r>
      <w:r>
        <w:t xml:space="preserve">Coordinar el cierre de los archivos de la línea de páginas de marca para poder compilar y desplegar el sitio completo.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Unificar el mensaje 911/068 (P2) </w:t>
      </w:r>
      <w:r>
        <w:t xml:space="preserve">en descripciones y fichas para máxima consistencia.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Continuar el despliegue estado por estado (escala). </w:t>
      </w:r>
      <w:r>
        <w:t xml:space="preserve">Mantener el ritmo y el estándar v2 en las 23 entidades restantes; la metodología ya está probada y documentada.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Enriquecimiento oportunista (P3). </w:t>
      </w:r>
      <w:r>
        <w:t xml:space="preserve">Sumar sitio web, correo, fundación y, donde exista, coordenada exacta por API de geocoding para precisión a nivel de calle.</w:t>
      </w:r>
    </w:p>
    <w:p>
      <w:pPr>
        <w:pStyle w:val="Heading1"/>
      </w:pPr>
      <w:r>
        <w:t xml:space="preserve">10. Conclusión</w:t>
      </w:r>
    </w:p>
    <w:p>
      <w:pPr>
        <w:spacing w:after="160" w:line="276"/>
      </w:pPr>
      <w:r>
        <w:t xml:space="preserve">Lo construido está </w:t>
      </w:r>
      <w:r>
        <w:rPr>
          <w:b/>
          <w:bCs/>
        </w:rPr>
        <w:t xml:space="preserve">bien hecho y listo para crecer</w:t>
      </w:r>
      <w:r>
        <w:t xml:space="preserve">. La base técnica y de SEO es sólida y profesional, la calidad del dato es alta y honesta, y la señal de autoridad —fuentes oficiales y citas— posiciona al directorio por encima de los agregadores existentes. Cerrando las dos acciones prioritarias, FIREFIGHTERS MX tendrá el directorio de cuerpos de bomberos más serio y mejor posicionado de México conforme se complete el despliegue nacional.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FIREFIGHTERS MX · Estudio del Directorio de Estaciones · </w:t>
    </w:r>
    <w:r>
      <w:rPr>
        <w:color w:val="47556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C1825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C2410C" w:sz="6" w:space="4"/>
      </w:pBdr>
      <w:spacing w:after="160" w:before="320"/>
      <w:outlineLvl w:val="0"/>
    </w:pPr>
    <w:rPr>
      <w:rFonts w:ascii="Arial" w:cs="Arial" w:eastAsia="Arial" w:hAnsi="Arial"/>
      <w:b/>
      <w:bCs/>
      <w:color w:val="0C182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C241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Estudio del Directorio Nacional de Estaciones de Bomberos</dc:title>
  <dc:creator>FIREFIGHTERS MX</dc:creator>
  <cp:lastModifiedBy>Un-named</cp:lastModifiedBy>
  <cp:revision>1</cp:revision>
  <dcterms:created xsi:type="dcterms:W3CDTF">2026-06-24T02:00:17.436Z</dcterms:created>
  <dcterms:modified xsi:type="dcterms:W3CDTF">2026-06-24T02:00:17.436Z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