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 for Digital Client Acquisition in Premium Financial Services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Context and the Democratization of Elite Wealth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South African macroeconomic landscape in the year 2026 presents a highly complex environment for capital allocators, high-net-worth individuals, and corporate entities. Characterized by persistent inflationary pressures, structural impediments to domestic economic expansion, and a prolonged cycle of elevated interest rates, traditional investment paradigms are increasingly failing to deliver the predictable, inflation-beating real returns required for sustained wealth preservation.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Johannesburg Stock Exchange continues to experience periodic nominal record highs, these milestones are predominantly driven by global commodity cycles and multinational heavyweight equities rather than broad-based domestic growth, thereby masking an underlying economic fragility.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corporate entities face unprecedented operational hazards, ranging from infrastructure decay to sophisticated cyber liabilities.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this systemic volatility, there has been a pronounced structural shift toward alternative asset classes. Private equity and private debt, once the exclusive, opaque domains of institutional capital, sovereign wealth funds, and ultra-high-net-worth family offices, are increasingly being engineered for the retail sector.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democratization of elite financial structures represents a profound strategic opportunity for independent financial intermediaries. The mandate for AS Brokers is to capitalize on this shift by deploying a digital marketing architecture engineered to acquire high-value clientele through algorithmic precision on platforms such as Meta, which encompasses Facebook and Instagram.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allocation for this digital deployment is strictly bifurcated to reflect market demand and internal revenue objectives: seventy percent of the marketing apparatus will be dedicated to private wealth, investments, and proprietary financial calculators; twenty-five percent will focus on commercial risk architecture and business insurance; and the remaining five percent will capture ancillary holistic services such as estate planning and medical gap cover.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Achieving this requires a digital ecosystem that seamlessly blends stringent regulatory compliance with an elite, "quiet luxury" brand positioning, ensuring that mass-affluent individuals perceive an immediate pathway to entering the institutional elite.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Regulatory Perimeter for Social Media Advertising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distribution, structuring, and digital marketing of unlisted private equity products, complex retirement structures, and commercial insurance within South Africa necessitate strict, uncompromising adherence to the Financial Advisory and Intermediary Services Act and the comprehensive guidelines issued by the Financial Sector Conduct Authority.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Social media is not exempt from regulatory scrutiny; rather, it is actively monitored by the regulator to combat the proliferation of unauthorized operators and investment scams.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Therefore, establishing absolute trust with prospective clients begins with an unimpeachable compliance posture that visibly distances the brand from the pervasive "finfluencer" culture.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Standalone Compliance and Mandatory Trust Cues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regulatory framework dictates that every digital advertisement, regardless of the platform, must be standalone compliant.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 advertisement cannot rely on a secondary landing page or an external hyperlink to correct a misleading impression created within a Facebook feed. The General Code of Conduct mandates that all marketing material must be factually correct, balanced, and not misleading, explicitly prohibiting the creation of unrealistic expectations or the use of unwarranted comparisons.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independent brokerage operating under a specific regulatory license, mandatory trust cues must be integrated into the visual or textual architecture of the campaigns. Advertisements must clearly identify the entity's legal name and display the authorized Financial Services Provider registration number prominently.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language used in digital copy must undergo rigorous legal filtration. The marketing of investment products must never guarantee returns unless the underlying product documentation explicitly permits such contractual language.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Instead, campaigns must utilize terms such as "targeted yields" or "illustrative projections," ensuring that the consumer understands the inherent variability of market returns.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platform's character limits or visual constraints make full disclosure impractical, the advertisement must explicitly indicate where the missing information, such as key limitations, exclusions, risks, and charges, can be accessed.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Category 1.8 License and the Promotion of Unlisted Securities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promotion of Everest Wealth’s unlisted preference shares carries a profound fiduciary burden. The legal distribution of these specific alternative assets requires the specialized Category 1.8 Authority.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regulatory threshold ensures that intermediaries possess the technical acumen to evaluate complex corporate holding structures, interpret unlisted share valuations, and accurately communicate liquidity risks to the retail public.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unlisted shares are not traded on licensed exchanges and do not feature daily market-to-market repricing, they inherently carry significant liquidity constraints and early exit penalties.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Regulatory guidelines and the Advertising Regulatory Board stipulate that advertisements for such products must provide a balanced view of both the benefits and the risks.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Aggressive mass marketing of unlisted securities to the general public is tightly monitored to prevent systemic retail ruin. Consequently, the digital targeting strategy must be deliberately skewed toward sophisticated, high-net-worth demographics who possess the financial capacity to absorb venture-capital risk profiles.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Record-Keeping, and Approval Workflows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governance processes must be fortified to support digital agility without compromising regulatory integrity. The General Code of Conduct stipulates that Key Individuals within the brokerage must utilize a documented process to approve all advertisements prior to publication.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internal friction is necessary to ensure that enthusiastic marketing copy does not inadvertently violate the prohibitions against unsubstantiated performance claims.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comprehensive records of all digital advertisements, including the specific targeting parameters utilized on Meta, the creative assets deployed, and the dates of publication, must be retained for a minimum of five years.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Given that South Africa leads global charts for risky financial advertising on social networks, maintaining this audit trail provides a critical defensive mechanism against regulatory inquiries and reinforces the brand's commitment to institutional-grade transparency.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Elite Brand Architecture: The Quiet Luxury Paradigm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market premium financial services to the elite, and to elevate the mass-affluent into this echelon, the brand's visual and tonal architecture must align with the evolving expectations of high-net-worth individuals. By the year 2026, the concept of luxury has undergone a definitive aesthetic and psychological evolution. The era of "loud luxury"—characterized by overt displays of wealth, flashy logos, and aggressive status signaling—has been entirely supplanted by "quiet luxury" or "stealth wealth".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Stealth Wealth in Financial Services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Affluent consumers in the modern digital economy prioritize subtlety, craftsmanship, longevity, and verifiable provenance over mass-produced prestige.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High-net-worth clients seek brands that respect their intelligence, protect their privacy, and offer bespoke, human-led personalization.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context of financial services, this translates to a marketing approach that emphasizes actuarial rigor, institutional stability, and exclusive access.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strategy must reject the "yell and sell" tactics common in retail financial marketing; rather, it must utilize a pull strategy where consumers are naturally drawn by the relevance, resonance, and understated elegance of the digital presence.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the strategic directive of making regular people feel they can become part of the elites, the brand must project an aura of exclusive democratization. The psychological trigger is the revelation of institutional secrets. By communicating that the high-yield private equity structures offered were historically locked behind the doors of ultra-high-net-worth family offices, the brokerage positions itself as the gatekeeper to a higher tier of wealth accumulation.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consumer is not merely buying an investment product; they are being invited to participate in a sophisticated financial ecosystem that transcends the retail banking experiences they are accustomed to.</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Identity and User Interface Patterns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 identity deployed across Facebook and Instagram must meticulously adhere to established premium design codes, ensuring a seamless, high-trust transition between the social media feed and the primary digital property. The visual language must communicate confidence, precision, and modernity without devolving into science-fiction fintech clichés.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outlines the required brand color palette and visual styling necessary to project a quiet luxury aesthetic within digital advertising formats: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and Hexadecimal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Application in Advertising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Backgrounds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Void (#000000) and Vault-Dark (#0a0a0c)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Establishes a deep, sophisticated dark mode that projects institutional vault-like security, allowing high-contrast text to command attention immediately.</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Secondary Backgrounds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Shark (#1D1D1F) and Card (#151518)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Utilized for separating elements within ad carousels or creating depth in video graphics, ensuring the layout remains minimalist and uncluttered.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Brand Accent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Cinematic-Teal (#008080)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Deployed selectively for critical calls-to-action, high-value data points in charts, and primary buttons. Teal communicates clinical precision and high-end healthcare/wealth integration.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 Accent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Supernova-Gold (#E8B923)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Used exceedingly sparingly to highlight elite concepts, premium tiers, or loyalty bonuses. Overuse destroys the quiet luxury aesthetic; it must remain a subtle indicator of wealth.</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Interactive Accent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Samsung-Blue (#0057B8)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Utilized for selection states, digital glowing effects, and interactive elements, signaling modern fintech capabilities and seamless user experience.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 (Variable font)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Clean, sans-serif typography ensures maximum legibility on mobile devices, reinforcing the brand tone of confident, precise South African English.</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Glassmorphism and Squircle Corners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 creatives should utilize frosted glass effects (low opacity white on blurred backgrounds) and rounded corners (border-radius: ~2rem). This replicates the premium interface design pioneered by top-tier technology firms, transferring that halo of quality to the financial brand.</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Motion design within video advertisements must also reflect this premium positioning. Animations should utilize cubic-bezier easing curves to ensure movements are fluid, deliberate, and unhurried, actively avoiding the jarring, hyper-kinetic edits favored by retail consumer brands.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Seventy Percent Core: Private Equity, Yields, and the Everest Wealth Suite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pillar of the digital acquisition strategy, commanding seventy percent of the marketing allocation, is the promotion of private wealth solutions, specifically the unlisted preference share structures provided by Everest Wealth Management.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successfully market these products on Facebook, the advertising copy must distill highly complex corporate engineering into compelling, visceral benefits that directly address the financial anxieties of the South African affluent class.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Value Proposition for Digital Copy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driver of Everest’s attractiveness to affluent individuals is not merely the double-digit headline yield, but the profound efficiency of its tax arbitrage and its complete insulation from public market volatility.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assets are physical businesses—such as hotels, agricultural ventures, and mining operations—managed by a distinct holding company, Laudian Investment Holdings.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entity acts as a shadow bank, deploying capital as high-yield debt to operational businesses, extracting the interest, and passing it to the retail investor as a dividend.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convert users, the advertisements must translate these mechanics into distinct consumer benefits. The product suite is engineered to satisfy two distinct investor classifications: voluntary discretionary capital and compulsory retirement capital.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Voluntary Capital Portfolios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individuals with liquid capital resulting from business sales, inheritances, or discretionary savings, the voluntary portfolios present a mechanism to bypass the punitive South African income tax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capital is legally structured as equity ownership via preference shares, the returns are classified as dividends rather than interest.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marketing the </w:t>
      </w:r>
      <w:r w:rsidDel="00000000" w:rsidR="00000000" w:rsidRPr="00000000">
        <w:rPr>
          <w:rFonts w:ascii="Google Sans" w:cs="Google Sans" w:eastAsia="Google Sans" w:hAnsi="Google Sans"/>
          <w:b w:val="1"/>
          <w:bCs w:val="1"/>
          <w:color w:val="1f1f1f"/>
          <w:rtl w:val="0"/>
        </w:rPr>
        <w:t xml:space="preserve">12.8% Strategic Income</w:t>
      </w:r>
      <w:r w:rsidDel="00000000" w:rsidR="00000000" w:rsidRPr="00000000">
        <w:rPr>
          <w:rFonts w:ascii="Google Sans" w:cs="Google Sans" w:eastAsia="Google Sans" w:hAnsi="Google Sans"/>
          <w:color w:val="1f1f1f"/>
          <w:rtl w:val="0"/>
        </w:rPr>
        <w:t xml:space="preserve"> product, the central hook relies on predictable cash flow combined with delayed gratification. The advertising copy should highlight the monthly liquidity, while emphasizing the elite nature of the 10% "loyalty bonus" applied to the initial capital strictly upon the successful maturation of the five-year term.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advantage of this structure over traditional retail banking is profound. For an individual in the thirty-nine percent marginal tax bracket, the flat twenty percent Dividends Withholding Tax generates massive superior net cash flow.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ad copy should challenge the user's current strategy: "Are you needlessly sacrificing your investment yields to top-tier marginal income tax? Discover the mathematical power of corporate dividend structuring."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w:t>
      </w:r>
      <w:r w:rsidDel="00000000" w:rsidR="00000000" w:rsidRPr="00000000">
        <w:rPr>
          <w:rFonts w:ascii="Google Sans" w:cs="Google Sans" w:eastAsia="Google Sans" w:hAnsi="Google Sans"/>
          <w:b w:val="1"/>
          <w:bCs w:val="1"/>
          <w:color w:val="1f1f1f"/>
          <w:rtl w:val="0"/>
        </w:rPr>
        <w:t xml:space="preserve">14.2% Onyx Income+</w:t>
      </w:r>
      <w:r w:rsidDel="00000000" w:rsidR="00000000" w:rsidRPr="00000000">
        <w:rPr>
          <w:rFonts w:ascii="Google Sans" w:cs="Google Sans" w:eastAsia="Google Sans" w:hAnsi="Google Sans"/>
          <w:color w:val="1f1f1f"/>
          <w:rtl w:val="0"/>
        </w:rPr>
        <w:t xml:space="preserve"> portfolio appeals to a demographic requiring maximum immediate yield to fund lifestyle expenses, executing a direct trade-off that abandons the end-of-term bonus for a higher flat monthly payout.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pure capital accumulation, the </w:t>
      </w:r>
      <w:r w:rsidDel="00000000" w:rsidR="00000000" w:rsidRPr="00000000">
        <w:rPr>
          <w:rFonts w:ascii="Google Sans" w:cs="Google Sans" w:eastAsia="Google Sans" w:hAnsi="Google Sans"/>
          <w:b w:val="1"/>
          <w:bCs w:val="1"/>
          <w:color w:val="1f1f1f"/>
          <w:rtl w:val="0"/>
        </w:rPr>
        <w:t xml:space="preserve">14.5% Strategic Growth</w:t>
      </w:r>
      <w:r w:rsidDel="00000000" w:rsidR="00000000" w:rsidRPr="00000000">
        <w:rPr>
          <w:rFonts w:ascii="Google Sans" w:cs="Google Sans" w:eastAsia="Google Sans" w:hAnsi="Google Sans"/>
          <w:color w:val="1f1f1f"/>
          <w:rtl w:val="0"/>
        </w:rPr>
        <w:t xml:space="preserve"> option is marketed toward younger affluent individuals or those with entirely distinct income streams. Because it permits no monthly withdrawals, the capital compounds internally, paying out as a single substantial distribution at year five.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marketing narrative here focuses on the velocity of compounding wealth insulated from emotional market sell-offs.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Compulsory Capital Solution: The Amethyst Living Annuity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South African legislative framework heavily restricts how compulsory retirement capital can be invested, capping alternative asset exposure under Regulation 28 to prevent systemic ruin.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circumvent direct unlisted exposure limits while still providing retirees with high yields, the Amethyst Living Annuity utilizes a sophisticated life insurance wrapper administered by 27four Life Limited.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product is highly attractive to a slightly older demographic terrified of sequencing risk during a stock market crash. The marketing hook for the Amethyst product focuses on volatility insulation. By substituting unpredictable JSE equity performance with the fixed-return profile of private debt instruments, the annuity provides actuarial predictability.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ad copy must emphasize the structural hedges built into the product, such as the "Inflation Protector" capital bonus applied after the first five years, and the profound estate planning efficiency that allows residual capital to bypass the probate process entirely, transferring directly to beneficiaries tax-free.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Architecture: Financial Calculators as Ultimate Conversion Hooks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compelling product descriptions are necessary, static advertisements detailing yields and tax structures suffer from high scroll-past rates among affluent demographics suffering from ad fatigue. The most potent mechanism for client acquisition in 2026 is the deployment of interactive digital tools.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strategic directive demands a heavy focus on the proprietary calculators developed by AS Brokers [User Query].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Calculators function as exceptionally powerful lead magnets because they tap into the psychological principles of curiosity, personalization, and the desire to close an information gap.</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They interrupt the passive scrolling experience by offering immediate, bespoke value—a mathematical diagnosis of the user's specific financial reality.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interactive strategy transforms the brokerage from a solicitor of business into an authoritative provider of bespoke clarity. The prospect is no longer being sold to; they are being consulted.</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Diagnostic Calculator Suite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infrastructure houses a suite of specialized calculators, each engineered to address specific financial anxieties and seamlessly route the user toward an Everest Wealth product or an AS Brokers service solution.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maximize the efficiency of the Facebook advertising spend, individual campaigns must be built around specific calculators, utilizing highly tailored ad copy that drives the user directly to the interactive interface.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categorizes the core calculators, their underlying mathematical logic, and the precise psychological hooks required for the associated Meta advertising campaigns: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Calculator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Logic and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Facebook Ad Hook and Psychological 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Retirement Reality Calculator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Inflates current lifestyle income needs to retirement age, grosses up the figure for estimated taxation, and models withdrawals as a growing annuity discounted by investment growth.</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Hook:</w:t>
            </w:r>
            <w:r w:rsidDel="00000000" w:rsidR="00000000" w:rsidRPr="00000000">
              <w:rPr>
                <w:rFonts w:ascii="Google Sans" w:cs="Google Sans" w:eastAsia="Google Sans" w:hAnsi="Google Sans"/>
                <w:color w:val="1f1f1f"/>
                <w:shd w:fill="auto" w:val="clear"/>
                <w:rtl w:val="0"/>
              </w:rPr>
              <w:t xml:space="preserve"> "Will your current capital actually fund your lifestyle, or will you run out of money in your 70s?"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Trigger:</w:t>
            </w:r>
            <w:r w:rsidDel="00000000" w:rsidR="00000000" w:rsidRPr="00000000">
              <w:rPr>
                <w:rFonts w:ascii="Google Sans" w:cs="Google Sans" w:eastAsia="Google Sans" w:hAnsi="Google Sans"/>
                <w:color w:val="1f1f1f"/>
                <w:shd w:fill="auto" w:val="clear"/>
                <w:rtl w:val="0"/>
              </w:rPr>
              <w:t xml:space="preserve"> Fear of the unknown and the desire for concrete survival metrics. The tool exposes the terrifying gap between current savings and actual inflationary requirements.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Life of Capital Calculator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Simulates the exact longevity of a capital amount based on investment returns and rising withdrawals due to inflation, running a loop up to 100 years.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Hook:</w:t>
            </w:r>
            <w:r w:rsidDel="00000000" w:rsidR="00000000" w:rsidRPr="00000000">
              <w:rPr>
                <w:rFonts w:ascii="Google Sans" w:cs="Google Sans" w:eastAsia="Google Sans" w:hAnsi="Google Sans"/>
                <w:color w:val="1f1f1f"/>
                <w:shd w:fill="auto" w:val="clear"/>
                <w:rtl w:val="0"/>
              </w:rPr>
              <w:t xml:space="preserve"> "Enter your capital. Enter your monthly draw. See the exact year your money runs out."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Trigger:</w:t>
            </w:r>
            <w:r w:rsidDel="00000000" w:rsidR="00000000" w:rsidRPr="00000000">
              <w:rPr>
                <w:rFonts w:ascii="Google Sans" w:cs="Google Sans" w:eastAsia="Google Sans" w:hAnsi="Google Sans"/>
                <w:color w:val="1f1f1f"/>
                <w:shd w:fill="auto" w:val="clear"/>
                <w:rtl w:val="0"/>
              </w:rPr>
              <w:t xml:space="preserve"> Urgency and sequence-of-returns anxiety. Proving that conservative yields lead to capital depletion forces the user to seek higher-yielding alternative assets.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Everest 12.8% Strategic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tax arbitrage. Calculates the 12.8% gross yield, subtracts the 20% DWT, and illustrates the 10% loyalty bonus at month 60, directly comparing the net outcome against punitive marginal income tax rates.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Hook:</w:t>
            </w:r>
            <w:r w:rsidDel="00000000" w:rsidR="00000000" w:rsidRPr="00000000">
              <w:rPr>
                <w:rFonts w:ascii="Google Sans" w:cs="Google Sans" w:eastAsia="Google Sans" w:hAnsi="Google Sans"/>
                <w:color w:val="1f1f1f"/>
                <w:shd w:fill="auto" w:val="clear"/>
                <w:rtl w:val="0"/>
              </w:rPr>
              <w:t xml:space="preserve"> "Stop donating 45% of your interest to SARS. Discover the net-monthly payout of a corporate dividend structure."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Trigger:</w:t>
            </w:r>
            <w:r w:rsidDel="00000000" w:rsidR="00000000" w:rsidRPr="00000000">
              <w:rPr>
                <w:rFonts w:ascii="Google Sans" w:cs="Google Sans" w:eastAsia="Google Sans" w:hAnsi="Google Sans"/>
                <w:color w:val="1f1f1f"/>
                <w:shd w:fill="auto" w:val="clear"/>
                <w:rtl w:val="0"/>
              </w:rPr>
              <w:t xml:space="preserve"> Frustration with taxation and the desire for elite fiscal optimization.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Estate Duty &amp; Executor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Estimates the 4.025% executor fee and the 20%/25% estate duty bands on a simplified South African estate, illustrating the massive potential capital leakage upon death.</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Hook:</w:t>
            </w:r>
            <w:r w:rsidDel="00000000" w:rsidR="00000000" w:rsidRPr="00000000">
              <w:rPr>
                <w:rFonts w:ascii="Google Sans" w:cs="Google Sans" w:eastAsia="Google Sans" w:hAnsi="Google Sans"/>
                <w:color w:val="1f1f1f"/>
                <w:shd w:fill="auto" w:val="clear"/>
                <w:rtl w:val="0"/>
              </w:rPr>
              <w:t xml:space="preserve"> "How much of your family's legacy will be confiscated by executors and estate duty? Calculate your exposure in 60 seconds."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Trigger:</w:t>
            </w:r>
            <w:r w:rsidDel="00000000" w:rsidR="00000000" w:rsidRPr="00000000">
              <w:rPr>
                <w:rFonts w:ascii="Google Sans" w:cs="Google Sans" w:eastAsia="Google Sans" w:hAnsi="Google Sans"/>
                <w:color w:val="1f1f1f"/>
                <w:shd w:fill="auto" w:val="clear"/>
                <w:rtl w:val="0"/>
              </w:rPr>
              <w:t xml:space="preserve"> Protection of intergenerational wealth and anger toward bureaucratic wealth destruction.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 Increase Comparison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Models year-on-year percentage changes to show the compounding, massive long-term financial leakage of standard escalating life insurance policies over a 5 to 25-year horizon.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Hook:</w:t>
            </w:r>
            <w:r w:rsidDel="00000000" w:rsidR="00000000" w:rsidRPr="00000000">
              <w:rPr>
                <w:rFonts w:ascii="Google Sans" w:cs="Google Sans" w:eastAsia="Google Sans" w:hAnsi="Google Sans"/>
                <w:color w:val="1f1f1f"/>
                <w:shd w:fill="auto" w:val="clear"/>
                <w:rtl w:val="0"/>
              </w:rPr>
              <w:t xml:space="preserve"> "Are compounding annual premium increases quietly destroying your cash flow? Compare the true 20-year cost of your policy."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Trigger:</w:t>
            </w:r>
            <w:r w:rsidDel="00000000" w:rsidR="00000000" w:rsidRPr="00000000">
              <w:rPr>
                <w:rFonts w:ascii="Google Sans" w:cs="Google Sans" w:eastAsia="Google Sans" w:hAnsi="Google Sans"/>
                <w:color w:val="1f1f1f"/>
                <w:shd w:fill="auto" w:val="clear"/>
                <w:rtl w:val="0"/>
              </w:rPr>
              <w:t xml:space="preserve"> The realization of sunk costs and the desire for financial efficiency in risk management.</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Formulating Ad Creative and Frictionless Lead Capture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market these calculators on Meta platforms, the creative execution must adhere to a strict structural formula designed to capture attention within the first three seconds.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visual hook must be immediate and arresting. A highly effective visual for financial calculators involves a rapid, sleek animation.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example, the ad could begin with a search bar animation asking a provocative question, or a dynamic slider rapidly moving left to right, instantly altering the trajectory of a financial chart from a deep red downward curve to a cinematic-teal upward projection.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kinetic movement visually represents the transition from capital depletion to engineered wealth, capturing the eye long enough for the user to read the primary text.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textual component must utilize the "curiosity gap"—withholding just enough information to create psychological tension that can only be resolved by interacting with the advertisement.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Rather than stating, "We offer retirement planning," the copy should challenge the user's assumptions: "Most high-earners lose hundreds of thousands to marginal income tax on standard interest-bearing accounts. Our proprietary tax arbitrage calculator reveals the exact mathematical advantage of utilizing unlisted dividend structures. Run your numbers.".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conversion mechanism must balance frictionless engagement with high-quality data capture. When the user clicks the advertisement, they should be directed seamlessly to the calculator interface on the AS Brokers domain. Given the high-net-worth target market, the calculators should provide immediate, ungated preliminary results—such as a simple visual chart indicating a potential capital shortfall or a basic tax comparison.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However, to retrieve the granular data, the user must be prompted with an elegant data-capture form. The call-to-action should frame this as a high-value exchange, offering to deliver the "Comprehensive Actuarial Breakdown" or the "Bespoke Tax Arbitrage Report" directly to their executive email or via a secure WhatsApp deep link.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positions the lead capture not as a generic newsletter subscription, but as the delivery of an exclusive, personalized financial dossier.</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Precision: Meta Targeting for High-Net-Worth Individuals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recurring point of failure in luxury digital marketing is the "aspirational trap".</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When advertisers rely on broad interest-based targeting on Facebook—selecting tags such as luxury vehicles, private aviation, or haute horlogerie—the algorithm inevitably optimizes for superficial engagement.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 serves advertisements to individuals who frequently "like" or share aspirational content but entirely lack the liquid capital necessary to act upon the offer.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Given that the Everest voluntary portfolios require a minimum capital deployment of R100,000, and commercial insurance policies require substantial corporate revenue, targeting aspirational scrollers results in rapidly depleted ad budgets and an influx of critically unqualified leads.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penetrate the genuine high-net-worth demographic in South Africa, the Meta targeting architecture must pivot completely away from superficial interests. Instead, the strategy must rely on geographic isolation, highly specific behavioral indicators, and the aggressive utilization of first-party algorithmic modeling.</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and Postal Code Isolation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Geographic targeting remains the most reliable digital proxy for verified wealth. Campaigns must be hyper-focused, restricting ad delivery exclusively to the top percentile of affluent suburbs and postal codes within the South African geography.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Real estate analytics confirm that South Africa's wealth is heavily concentrated in specific, identifiable enclaves.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 targeting matrix must isolate the following regions:</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Western Cape Luxury Belts:</w:t>
      </w:r>
      <w:r w:rsidDel="00000000" w:rsidR="00000000" w:rsidRPr="00000000">
        <w:rPr>
          <w:rFonts w:ascii="Google Sans" w:cs="Google Sans" w:eastAsia="Google Sans" w:hAnsi="Google Sans"/>
          <w:color w:val="1f1f1f"/>
          <w:rtl w:val="0"/>
        </w:rPr>
        <w:t xml:space="preserve"> Driven by ongoing semigration trends, the highest concentration of ultra-wealthy individuals resides in areas such as Camps Bay, Clifton, Llandudno, Bishopscourt, Constantia, and the broader Atlantic Seaboard.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Gauteng Elite Enclaves:</w:t>
      </w:r>
      <w:r w:rsidDel="00000000" w:rsidR="00000000" w:rsidRPr="00000000">
        <w:rPr>
          <w:rFonts w:ascii="Google Sans" w:cs="Google Sans" w:eastAsia="Google Sans" w:hAnsi="Google Sans"/>
          <w:color w:val="1f1f1f"/>
          <w:rtl w:val="0"/>
        </w:rPr>
        <w:t xml:space="preserve"> Despite migration, Johannesburg remains the corporate powerhouse. Targeting must isolate Sandton (specifically Bryanston, Hyde Park, and Sandhurst), Westcliff, and the brand’s localized operational stronghold in the West Rand, specifically the luxury estates surrounding Krugersdorp.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KwaZulu-Natal Coastal Nodes:</w:t>
      </w:r>
      <w:r w:rsidDel="00000000" w:rsidR="00000000" w:rsidRPr="00000000">
        <w:rPr>
          <w:rFonts w:ascii="Google Sans" w:cs="Google Sans" w:eastAsia="Google Sans" w:hAnsi="Google Sans"/>
          <w:color w:val="1f1f1f"/>
          <w:rtl w:val="0"/>
        </w:rPr>
        <w:t xml:space="preserve"> The affluent communities within Umhlanga, Ballito, and the secure Zimbali estates represent significant pools of capital.</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strictly defining these geographic perimeters, the algorithm is forced to seek conversions only within verified high-income territories, immediately filtering out a vast majority of the unqualified population.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Indicators and Custom Audiences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geography, Meta provides a subset of behavioral targeting options that correlate strongly with high disposable income and corporate authority. The campaign architecture must layer these behaviors to refine the audience further:</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Consumer Classification Tiers:</w:t>
      </w:r>
      <w:r w:rsidDel="00000000" w:rsidR="00000000" w:rsidRPr="00000000">
        <w:rPr>
          <w:rFonts w:ascii="Google Sans" w:cs="Google Sans" w:eastAsia="Google Sans" w:hAnsi="Google Sans"/>
          <w:color w:val="1f1f1f"/>
          <w:rtl w:val="0"/>
        </w:rPr>
        <w:t xml:space="preserve"> Meta offers a specific, highly valuable demographic setting tailored for emerging markets, including South Africa. Advertisers can explicitly target </w:t>
      </w:r>
      <w:r w:rsidDel="00000000" w:rsidR="00000000" w:rsidRPr="00000000">
        <w:rPr>
          <w:rFonts w:ascii="Google Sans" w:cs="Google Sans" w:eastAsia="Google Sans" w:hAnsi="Google Sans"/>
          <w:i w:val="1"/>
          <w:iCs w:val="1"/>
          <w:color w:val="1f1f1f"/>
          <w:rtl w:val="0"/>
        </w:rPr>
        <w:t xml:space="preserve">"People who prefer high-value goods in South Africa"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acts as a critical behavioral filter, prioritizing users whose purchasing history aligns with premium pricing models.</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Digital Access and Travel Behaviors:</w:t>
      </w:r>
      <w:r w:rsidDel="00000000" w:rsidR="00000000" w:rsidRPr="00000000">
        <w:rPr>
          <w:rFonts w:ascii="Google Sans" w:cs="Google Sans" w:eastAsia="Google Sans" w:hAnsi="Google Sans"/>
          <w:color w:val="1f1f1f"/>
          <w:rtl w:val="0"/>
        </w:rPr>
        <w:t xml:space="preserve"> Affluence can be inferred through technological adoption and mobility. The targeting parameters should include individuals identified as "Frequent International Travelers," as well as users who predominantly access the platform via the latest flagship devices (e.g., the newest iterations of iOS or premium Android operating systems).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B2B Seniority and Life Stages:</w:t>
      </w:r>
      <w:r w:rsidDel="00000000" w:rsidR="00000000" w:rsidRPr="00000000">
        <w:rPr>
          <w:rFonts w:ascii="Google Sans" w:cs="Google Sans" w:eastAsia="Google Sans" w:hAnsi="Google Sans"/>
          <w:color w:val="1f1f1f"/>
          <w:rtl w:val="0"/>
        </w:rPr>
        <w:t xml:space="preserve"> For business insurance and major capital deployments, the audience must possess decision-making authority. Targeting should isolate users tagged with professional seniority, such as Executive/C-Suite titles, Founders, and Managing Directors.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targeting specific life stages—such as individuals approaching retirement age (50-65+) for the Amethyst Living Annuity campaigns—ensures the message reaches users experiencing periods of acute financial transition.</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Ascendancy of First-Party Lookalike Data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weapon in the targeting arsenal, far surpassing the efficacy of cold geographic or behavioral targeting, is the utilization of first-party client data.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securely uploading a hashed, anonymized list of the brokerage’s existing top-tier clients—specifically those who have already deployed significant capital into Everest products or hold extensive commercial portfolios—Meta's machine learning engine can generate a 1% Lookalike Audience.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algorithm evaluates thousands of unseen data points linking these existing wealthy clients, subsequently identifying new South African users who match that exact multidimensional digital footprint.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method consistently outperforms manual interest stacking by bypassing the aspirational audience entirely, locating individuals whose quiet, unpublicized online behaviors mirror those of the established financial elite.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Twenty-Five Percent Allocation: Commercial Risk and Business Insurance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secondary strategic mandate allocates twenty-five percent of the campaign focus to Commercial and Business Insurance [User Query]. The target audience for this segment is distinct from the private wealth demographic, comprising Small and Medium Enterprise owners, corporate founders, and executive boards.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a commercial entity in South Africa in the year 2026 demands profound operational resilience. Business owners are subjected to unique, severe systemic risks. These range from the devastating impact of physical property damage and supply chain disruptions caused by extreme weather events and ongoing infrastructure decay, to the exponentially rising threat of sophisticated cyber-attacks and punitive liability claims.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capture this market, the marketing strategy must elevate the brokerage from a mere vendor of commoditized policies to the status of an indispensable "Risk Architect" offering structural survival solutions.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Thematic Angles and B2B Pain Points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Business insurance advertisements on Facebook must immediately disrupt the executive's feed by addressing localized, acute operational anxieties. The messaging must pivot away from generic, easily ignored statements like "protect your business" toward highly specific, scenario-based interrogations.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 copy should exploit the following critical vulnerabilities: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Business Interruption and Grid Failure:</w:t>
      </w:r>
      <w:r w:rsidDel="00000000" w:rsidR="00000000" w:rsidRPr="00000000">
        <w:rPr>
          <w:rFonts w:ascii="Google Sans" w:cs="Google Sans" w:eastAsia="Google Sans" w:hAnsi="Google Sans"/>
          <w:color w:val="1f1f1f"/>
          <w:rtl w:val="0"/>
        </w:rPr>
        <w:t xml:space="preserve"> "If catastrophic grid failures or a localized fire halt your primary operations tomorrow, exactly how many weeks of payroll can your current cash reserves sustain? Discover structural business interruption cover designed for the South African reality.".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Cyber Liability and Data Governance:</w:t>
      </w:r>
      <w:r w:rsidDel="00000000" w:rsidR="00000000" w:rsidRPr="00000000">
        <w:rPr>
          <w:rFonts w:ascii="Google Sans" w:cs="Google Sans" w:eastAsia="Google Sans" w:hAnsi="Google Sans"/>
          <w:color w:val="1f1f1f"/>
          <w:rtl w:val="0"/>
        </w:rPr>
        <w:t xml:space="preserve"> "As your digital operations scale, so does your ransomware exposure. A single data breach can result in crippling POPIA fines and reputational destruction. Is your generic liability policy adequate for a 2026 cyber event?".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Key Person and Buy-Sell Agreements:</w:t>
      </w:r>
      <w:r w:rsidDel="00000000" w:rsidR="00000000" w:rsidRPr="00000000">
        <w:rPr>
          <w:rFonts w:ascii="Google Sans" w:cs="Google Sans" w:eastAsia="Google Sans" w:hAnsi="Google Sans"/>
          <w:color w:val="1f1f1f"/>
          <w:rtl w:val="0"/>
        </w:rPr>
        <w:t xml:space="preserve"> "If your top revenue-generating partner passes away unexpectedly over the weekend, does the business possess the immediate, unencumbered liquidity to buy out their shares from the surviving estate, or will you be forced into a hostile partnership?".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High-Converting Advertisement Formats for Corporate Decision Makers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capture the attention of SME owners on a platform where they are primarily relaxing, networking, or consuming news, the ad formats must reduce engagement friction to absolute zero while rapidly establishing authority.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strategy involves the deployment of Meta Lead Ads, specifically utilizing the Instant Forms feature.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Executives are time-poor and resistant to navigating away from their current application. Lead Ads allow the user to submit an inquiry entirely within the Facebook ecosystem.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When the corporate user taps the advertisement, a form automatically populates with their verified contact information. To ensure high conversion rates, the call-to-action must offer a high-value, tangible exchange of expertise, such as a "Complimentary Comprehensive Commercial Risk Audit" or a "Peer-Benchmarked Premium Analysis Report".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short-form video explainers are dominant for B2B engagement on social channels. Videos restricted to under forty-five seconds should feature a confident, authoritative spokesperson—or utilize high-end, minimalist kinetic typography—breaking down a complex commercial risk into a simple, actionable insight.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For instance, a rapid, thirty-second video explaining the precise legal distinction between standard public liability and specialized Directors and Officers (D&amp;O) cover instantly establishes the brokerage's industry authority and technical superiority.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Carousel Comparison Ads allow the brokerage to display multiple facets of a comprehensive business insurance portfolio within a single ad unit.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Each individual card in the horizontal swipe carousel can highlight a different risk vector—Card 1 detailing Property Damage, Card 2 addressing Cyber Extortion, Card 3 focusing on Fleet Logistics, and Card 4 examining Key Person risk. This interactive format allows the SME owner to self-select the exact coverage gap that currently causes them operational anxiety, driving a highly qualified click to the specific solution page.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 Percent Ancillary Allocation: The Holistic Retargeting Ecosystem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five percent of the marketing resource allocation is dedicated to the remainder of the brokerage's service offerings, including medical aid structures, gap cover, and comprehensive estate planning.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Attempting to acquire cold traffic for these highly commoditized or emotionally sensitive services is often cost-prohibitive. Therefore, these services function exceptionally well as cross-sell mechanisms within a sophisticated remarketing campaign.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 prospective client has engaged with a high-level digital asset—such as completing the Retirement Reality Calculator, viewing a video on unlisted private equity yields, or downloading a commercial risk audit—they are algorithmically placed into a custom retargeting pool via the Meta Pixel.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system then automatically serves them secondary advertisements regarding executive health cover, integrated wellness programs, or holistic legacy planning.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strategy significantly increases the lifetime value of the acquired client, transforming a single product inquiry into a multi-generational advisory relationship.</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Measurement and Algorithmic Optimization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marketing budget is deployed with absolute efficiency, rigorous analytical tracking and continuous optimization must be implemented. Utilizing advanced tracking protocols like the Conversions API, the brokerage must monitor deep-funnel events rather than superficial metrics.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Optimizing for mere clicks or impressions is a flawed strategy; the algorithm must be trained to seek actual calculator completions, lead form submissions, and finalized consultation bookings.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metrics of campaign success are the Return on Ad Spend (ROAS) and the Cost Per Acquisition (CPA) of a funded, finalized client.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Because the lifetime value of a high-net-worth individual investing substantial capital into an Everest Wealth portfolio, or an SME owner underwriting a massive commercial policy, is exceptionally high, the brokerage possesses the financial elasticity to absorb a higher initial CPA.</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By continuously A/B testing visual hooks, adjusting geographic radiuses, and refining lookalike audiences based on offline conversion data, the digital campaign transcends static marketing to become a self-optimizing, predictive engine of corporate growth.</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marketing landscape for premium financial services in South Africa demands a sophisticated synthesis of actuarial precision, elite psychological profiling, and rigorous regulatory compliance. By heavily anchoring the acquisition strategy around proprietary, interactive financial calculators (comprising seventy percent of the focus), the brand transcends traditional, easily ignored advertising. It offers high-net-worth individuals bespoke mathematical clarity that acts as an irresistible, high-value lead magnet. Simultaneously, targeting SME owners with tailored, scenario-based risk architecture solutions (twenty-five percent) systematically diversifies and fortifies the acquisition pipeline.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this architecture on Meta platforms requires the complete abandonment of broad, aspirational targeting in favor of surgical geographic isolation, executive behavioral indicators, and first-party lookalike algorithmic modeling. Wrapped seamlessly in the understated, minimalist visual codes of "quiet luxury," and strictly bound by the compliance mandates of the FSCA, this strategic deployment ensures that every digital impression reinforces the core positioning of AS Brokers. The brand is unequivocally established as an elite, mathematically rigorous custodian of intergenerational wealth and unyielding corporate resilience, perfectly positioned to navigate and capitalize on the complexities of the 2026 financial environment.</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Everest Wealth Product Analysis</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Insurance for SMEs in South Africa | Blogs - Santam, accessed April 3, 2026, </w:t>
      </w:r>
      <w:hyperlink r:id="rId6">
        <w:r w:rsidDel="00000000" w:rsidR="00000000" w:rsidRPr="00000000">
          <w:rPr>
            <w:rFonts w:ascii="Google Sans" w:cs="Google Sans" w:eastAsia="Google Sans" w:hAnsi="Google Sans"/>
            <w:color w:val="0000ee"/>
            <w:sz w:val="24"/>
            <w:szCs w:val="24"/>
            <w:u w:val="single"/>
            <w:rtl w:val="0"/>
          </w:rPr>
          <w:t xml:space="preserve">https://www.santam.co.za/blog/business-advice/business-insurance-for-smes-in-south-africa-protecting-your-business/</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AS_BROKERS_BRAND.txt</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Marketing Strategies for Small South African Businesses - Bi-me, accessed April 3, 2026, </w:t>
      </w:r>
      <w:hyperlink r:id="rId7">
        <w:r w:rsidDel="00000000" w:rsidR="00000000" w:rsidRPr="00000000">
          <w:rPr>
            <w:rFonts w:ascii="Google Sans" w:cs="Google Sans" w:eastAsia="Google Sans" w:hAnsi="Google Sans"/>
            <w:color w:val="0000ee"/>
            <w:sz w:val="24"/>
            <w:szCs w:val="24"/>
            <w:u w:val="single"/>
            <w:rtl w:val="0"/>
          </w:rPr>
          <w:t xml:space="preserve">https://bi-me.co.za/blog/best-marketing-strategies-for-small-south-african-businesses/</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Quiet Luxury Branding: How Premium Agencies Translate Stealth Wealth into Strategic Advantage - Studio Yellow, accessed April 3, 2026, </w:t>
      </w:r>
      <w:hyperlink r:id="rId8">
        <w:r w:rsidDel="00000000" w:rsidR="00000000" w:rsidRPr="00000000">
          <w:rPr>
            <w:rFonts w:ascii="Google Sans" w:cs="Google Sans" w:eastAsia="Google Sans" w:hAnsi="Google Sans"/>
            <w:color w:val="0000ee"/>
            <w:sz w:val="24"/>
            <w:szCs w:val="24"/>
            <w:u w:val="single"/>
            <w:rtl w:val="0"/>
          </w:rPr>
          <w:t xml:space="preserve">https://www.studioyellow.xyz/article/quiet-luxury-branding-how-premium-agencies-translate-stealth-wealth-into-strategic-advantage</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FSCA, accessed April 3, 2026, </w:t>
      </w:r>
      <w:hyperlink r:id="rId9">
        <w:r w:rsidDel="00000000" w:rsidR="00000000" w:rsidRPr="00000000">
          <w:rPr>
            <w:rFonts w:ascii="Google Sans" w:cs="Google Sans" w:eastAsia="Google Sans" w:hAnsi="Google Sans"/>
            <w:color w:val="0000ee"/>
            <w:sz w:val="24"/>
            <w:szCs w:val="24"/>
            <w:u w:val="single"/>
            <w:rtl w:val="0"/>
          </w:rPr>
          <w:t xml:space="preserve">https://www.fsca.co.za/</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 tops global fraud charts as FSCA flags social media investment scams, accessed April 3, 2026, </w:t>
      </w:r>
      <w:hyperlink r:id="rId10">
        <w:r w:rsidDel="00000000" w:rsidR="00000000" w:rsidRPr="00000000">
          <w:rPr>
            <w:rFonts w:ascii="Google Sans" w:cs="Google Sans" w:eastAsia="Google Sans" w:hAnsi="Google Sans"/>
            <w:color w:val="0000ee"/>
            <w:sz w:val="24"/>
            <w:szCs w:val="24"/>
            <w:u w:val="single"/>
            <w:rtl w:val="0"/>
          </w:rPr>
          <w:t xml:space="preserve">https://www.moonstone.co.za/sa-tops-global-fraud-charts-as-fsca-flags-social-media-investment-scams/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FSCA examining finfluencers' impact on consumer decisions, accessed April 3, 2026, </w:t>
      </w:r>
      <w:hyperlink r:id="rId11">
        <w:r w:rsidDel="00000000" w:rsidR="00000000" w:rsidRPr="00000000">
          <w:rPr>
            <w:rFonts w:ascii="Google Sans" w:cs="Google Sans" w:eastAsia="Google Sans" w:hAnsi="Google Sans"/>
            <w:color w:val="0000ee"/>
            <w:sz w:val="24"/>
            <w:szCs w:val="24"/>
            <w:u w:val="single"/>
            <w:rtl w:val="0"/>
          </w:rPr>
          <w:t xml:space="preserve">https://www.moonstone.co.za/fsca-examining-finfluencers-impact-on-consumer-decisions/</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FSCA REGULATORY ACTIONS REPORT, accessed April 3, 2026, </w:t>
      </w:r>
      <w:hyperlink r:id="rId12">
        <w:r w:rsidDel="00000000" w:rsidR="00000000" w:rsidRPr="00000000">
          <w:rPr>
            <w:rFonts w:ascii="Google Sans" w:cs="Google Sans" w:eastAsia="Google Sans" w:hAnsi="Google Sans"/>
            <w:color w:val="0000ee"/>
            <w:sz w:val="24"/>
            <w:szCs w:val="24"/>
            <w:u w:val="single"/>
            <w:rtl w:val="0"/>
          </w:rPr>
          <w:t xml:space="preserve">https://www2.fsca.co.za/Documents/FSCA%20Regulatory%20Actions%20Report_30%20June%202025.pdf</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FG24/1: Finalised guidance on financial promotions on social media - FCA, accessed April 3, 2026, </w:t>
      </w:r>
      <w:hyperlink r:id="rId13">
        <w:r w:rsidDel="00000000" w:rsidR="00000000" w:rsidRPr="00000000">
          <w:rPr>
            <w:rFonts w:ascii="Google Sans" w:cs="Google Sans" w:eastAsia="Google Sans" w:hAnsi="Google Sans"/>
            <w:color w:val="0000ee"/>
            <w:sz w:val="24"/>
            <w:szCs w:val="24"/>
            <w:u w:val="single"/>
            <w:rtl w:val="0"/>
          </w:rPr>
          <w:t xml:space="preserve">https://www.fca.org.uk/publication/finalised-guidance/fg24-1.pdf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Advertising Requirements - Masthead, accessed April 3, 2026, </w:t>
      </w:r>
      <w:hyperlink r:id="rId14">
        <w:r w:rsidDel="00000000" w:rsidR="00000000" w:rsidRPr="00000000">
          <w:rPr>
            <w:rFonts w:ascii="Google Sans" w:cs="Google Sans" w:eastAsia="Google Sans" w:hAnsi="Google Sans"/>
            <w:color w:val="0000ee"/>
            <w:sz w:val="24"/>
            <w:szCs w:val="24"/>
            <w:u w:val="single"/>
            <w:rtl w:val="0"/>
          </w:rPr>
          <w:t xml:space="preserve">https://www.masthead.co.za/newsletter/advertising-requirements/</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INTERPRETATION OF PARA 8(2)(F) OF BOARD NOTICE 92 OF 2014 - FSCA, accessed April 3, 2026, </w:t>
      </w:r>
      <w:hyperlink r:id="rId15">
        <w:r w:rsidDel="00000000" w:rsidR="00000000" w:rsidRPr="00000000">
          <w:rPr>
            <w:rFonts w:ascii="Google Sans" w:cs="Google Sans" w:eastAsia="Google Sans" w:hAnsi="Google Sans"/>
            <w:color w:val="0000ee"/>
            <w:sz w:val="24"/>
            <w:szCs w:val="24"/>
            <w:u w:val="single"/>
            <w:rtl w:val="0"/>
          </w:rPr>
          <w:t xml:space="preserve">https://www.fsca.co.za/_api/cr3ad_guidancenoteses(88dd8f5d-3ad3-f011-8544-000d3ab44730)/cr3ad_document/$value</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Conduct Standard for Banks and amended Code of Conduct: rules for advertising non-insurance financial services - ENS, accessed April 3, 2026, </w:t>
      </w:r>
      <w:hyperlink r:id="rId16">
        <w:r w:rsidDel="00000000" w:rsidR="00000000" w:rsidRPr="00000000">
          <w:rPr>
            <w:rFonts w:ascii="Google Sans" w:cs="Google Sans" w:eastAsia="Google Sans" w:hAnsi="Google Sans"/>
            <w:color w:val="0000ee"/>
            <w:sz w:val="24"/>
            <w:szCs w:val="24"/>
            <w:u w:val="single"/>
            <w:rtl w:val="0"/>
          </w:rPr>
          <w:t xml:space="preserve">https://www.ensafrica.com/news/detail/3057/conduct-standard-for-banks-and-amended-code-o</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advertising regulatory board, accessed April 3, 2026, </w:t>
      </w:r>
      <w:hyperlink r:id="rId17">
        <w:r w:rsidDel="00000000" w:rsidR="00000000" w:rsidRPr="00000000">
          <w:rPr>
            <w:rFonts w:ascii="Google Sans" w:cs="Google Sans" w:eastAsia="Google Sans" w:hAnsi="Google Sans"/>
            <w:color w:val="0000ee"/>
            <w:sz w:val="24"/>
            <w:szCs w:val="24"/>
            <w:u w:val="single"/>
            <w:rtl w:val="0"/>
          </w:rPr>
          <w:t xml:space="preserve">https://www.arb.org.za/</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constitutes 'advice' in terms of the FAIS Act? - FSCA, accessed April 3, 2026, </w:t>
      </w:r>
      <w:hyperlink r:id="rId18">
        <w:r w:rsidDel="00000000" w:rsidR="00000000" w:rsidRPr="00000000">
          <w:rPr>
            <w:rFonts w:ascii="Google Sans" w:cs="Google Sans" w:eastAsia="Google Sans" w:hAnsi="Google Sans"/>
            <w:color w:val="0000ee"/>
            <w:sz w:val="24"/>
            <w:szCs w:val="24"/>
            <w:u w:val="single"/>
            <w:rtl w:val="0"/>
          </w:rPr>
          <w:t xml:space="preserve">https://www.fsca.co.za/_api/cr3ad_newses(b311a379-badb-f011-8544-000d3ab44730)/cr3ad_document/$value</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Guide for Luxury Marketing in 2026 - Pimento, accessed April 3, 2026, </w:t>
      </w:r>
      <w:hyperlink r:id="rId19">
        <w:r w:rsidDel="00000000" w:rsidR="00000000" w:rsidRPr="00000000">
          <w:rPr>
            <w:rFonts w:ascii="Google Sans" w:cs="Google Sans" w:eastAsia="Google Sans" w:hAnsi="Google Sans"/>
            <w:color w:val="0000ee"/>
            <w:sz w:val="24"/>
            <w:szCs w:val="24"/>
            <w:u w:val="single"/>
            <w:rtl w:val="0"/>
          </w:rPr>
          <w:t xml:space="preserve">https://pimento.co.uk/practical-guide-for-luxury-marketing-in-2026/</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Quiet Luxury Branding: How Premium Brands Are Redefining Elegance in 2025 - TriVision, accessed April 3, 2026, </w:t>
      </w:r>
      <w:hyperlink r:id="rId20">
        <w:r w:rsidDel="00000000" w:rsidR="00000000" w:rsidRPr="00000000">
          <w:rPr>
            <w:rFonts w:ascii="Google Sans" w:cs="Google Sans" w:eastAsia="Google Sans" w:hAnsi="Google Sans"/>
            <w:color w:val="0000ee"/>
            <w:sz w:val="24"/>
            <w:szCs w:val="24"/>
            <w:u w:val="single"/>
            <w:rtl w:val="0"/>
          </w:rPr>
          <w:t xml:space="preserve">https://trivision.com/uncategorized/quiet-luxury-branding-trends-2025/</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Quiet Luxury Business Model in 2026 - Ayerhs Magazine, accessed April 3, 2026, </w:t>
      </w:r>
      <w:hyperlink r:id="rId21">
        <w:r w:rsidDel="00000000" w:rsidR="00000000" w:rsidRPr="00000000">
          <w:rPr>
            <w:rFonts w:ascii="Google Sans" w:cs="Google Sans" w:eastAsia="Google Sans" w:hAnsi="Google Sans"/>
            <w:color w:val="0000ee"/>
            <w:sz w:val="24"/>
            <w:szCs w:val="24"/>
            <w:u w:val="single"/>
            <w:rtl w:val="0"/>
          </w:rPr>
          <w:t xml:space="preserve">https://ayerhsmagazine.com/2025/11/20/the-quiet-luxury-business-model-in-2026/</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Markets in 2025 Part 1: Key Trends &amp; Strategic Insights - The Bowerman Group, accessed April 3, 2026, </w:t>
      </w:r>
      <w:hyperlink r:id="rId22">
        <w:r w:rsidDel="00000000" w:rsidR="00000000" w:rsidRPr="00000000">
          <w:rPr>
            <w:rFonts w:ascii="Google Sans" w:cs="Google Sans" w:eastAsia="Google Sans" w:hAnsi="Google Sans"/>
            <w:color w:val="0000ee"/>
            <w:sz w:val="24"/>
            <w:szCs w:val="24"/>
            <w:u w:val="single"/>
            <w:rtl w:val="0"/>
          </w:rPr>
          <w:t xml:space="preserve">https://bowermangroup.com/luxury-markets-in-2025-part-1-key-trends-strategic-insights/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Luxury Advertising: Marketing to Affluent &amp; Wealthy Customers | TEGNA, accessed April 3, 2026, </w:t>
      </w:r>
      <w:hyperlink r:id="rId23">
        <w:r w:rsidDel="00000000" w:rsidR="00000000" w:rsidRPr="00000000">
          <w:rPr>
            <w:rFonts w:ascii="Google Sans" w:cs="Google Sans" w:eastAsia="Google Sans" w:hAnsi="Google Sans"/>
            <w:color w:val="0000ee"/>
            <w:sz w:val="24"/>
            <w:szCs w:val="24"/>
            <w:u w:val="single"/>
            <w:rtl w:val="0"/>
          </w:rPr>
          <w:t xml:space="preserve">https://www.tegna.com/advertise/luxury-advertising</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Calculators as Lead Magnets to Grow Your Business - LPagery, accessed April 3, 2026, </w:t>
      </w:r>
      <w:hyperlink r:id="rId24">
        <w:r w:rsidDel="00000000" w:rsidR="00000000" w:rsidRPr="00000000">
          <w:rPr>
            <w:rFonts w:ascii="Google Sans" w:cs="Google Sans" w:eastAsia="Google Sans" w:hAnsi="Google Sans"/>
            <w:color w:val="0000ee"/>
            <w:sz w:val="24"/>
            <w:szCs w:val="24"/>
            <w:u w:val="single"/>
            <w:rtl w:val="0"/>
          </w:rPr>
          <w:t xml:space="preserve">https://lpagery.io/blog/how-to-use-calculators-as-leadmagnets/</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 Magnet Ideas That Work Best on Facebook and Instagram - LeadEnforce, accessed April 3, 2026, </w:t>
      </w:r>
      <w:hyperlink r:id="rId25">
        <w:r w:rsidDel="00000000" w:rsidR="00000000" w:rsidRPr="00000000">
          <w:rPr>
            <w:rFonts w:ascii="Google Sans" w:cs="Google Sans" w:eastAsia="Google Sans" w:hAnsi="Google Sans"/>
            <w:color w:val="0000ee"/>
            <w:sz w:val="24"/>
            <w:szCs w:val="24"/>
            <w:u w:val="single"/>
            <w:rtl w:val="0"/>
          </w:rPr>
          <w:t xml:space="preserve">https://leadenforce.com/blog/lead-magnet-ideas-that-work-best-on-facebook-and-instagram</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 Hooks: How to Grab and Keep Attention in 2025 - Buffer, accessed April 3, 2026, </w:t>
      </w:r>
      <w:hyperlink r:id="rId26">
        <w:r w:rsidDel="00000000" w:rsidR="00000000" w:rsidRPr="00000000">
          <w:rPr>
            <w:rFonts w:ascii="Google Sans" w:cs="Google Sans" w:eastAsia="Google Sans" w:hAnsi="Google Sans"/>
            <w:color w:val="0000ee"/>
            <w:sz w:val="24"/>
            <w:szCs w:val="24"/>
            <w:u w:val="single"/>
            <w:rtl w:val="0"/>
          </w:rPr>
          <w:t xml:space="preserve">https://buffer.com/resources/good-hooks/</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Hooks to Get Views on Your Next Financial Advisor Social Post - FMG Suite, accessed April 3, 2026, </w:t>
      </w:r>
      <w:hyperlink r:id="rId27">
        <w:r w:rsidDel="00000000" w:rsidR="00000000" w:rsidRPr="00000000">
          <w:rPr>
            <w:rFonts w:ascii="Google Sans" w:cs="Google Sans" w:eastAsia="Google Sans" w:hAnsi="Google Sans"/>
            <w:color w:val="0000ee"/>
            <w:sz w:val="24"/>
            <w:szCs w:val="24"/>
            <w:u w:val="single"/>
            <w:rtl w:val="0"/>
          </w:rPr>
          <w:t xml:space="preserve">https://fmgsuite.com/insights/hook-ideas-to-get-more-views-on-your-next-financial-advisor-social-post/</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Visual Hooks That Are Driving Sales Like Crazy - Primer, accessed April 3, 2026, </w:t>
      </w:r>
      <w:hyperlink r:id="rId28">
        <w:r w:rsidDel="00000000" w:rsidR="00000000" w:rsidRPr="00000000">
          <w:rPr>
            <w:rFonts w:ascii="Google Sans" w:cs="Google Sans" w:eastAsia="Google Sans" w:hAnsi="Google Sans"/>
            <w:color w:val="0000ee"/>
            <w:sz w:val="24"/>
            <w:szCs w:val="24"/>
            <w:u w:val="single"/>
            <w:rtl w:val="0"/>
          </w:rPr>
          <w:t xml:space="preserve">https://goprimer.com/blog/10-visual-hooks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Targeting actual high net-worth individuals on Meta Ads (not “aspiring” ones) - Reddit, accessed April 3, 2026, </w:t>
      </w:r>
      <w:hyperlink r:id="rId29">
        <w:r w:rsidDel="00000000" w:rsidR="00000000" w:rsidRPr="00000000">
          <w:rPr>
            <w:rFonts w:ascii="Google Sans" w:cs="Google Sans" w:eastAsia="Google Sans" w:hAnsi="Google Sans"/>
            <w:color w:val="0000ee"/>
            <w:sz w:val="24"/>
            <w:szCs w:val="24"/>
            <w:u w:val="single"/>
            <w:rtl w:val="0"/>
          </w:rPr>
          <w:t xml:space="preserve">https://www.reddit.com/r/FacebookAds/comments/1qqdpdc/targeting_actual_high_networth_individuals_on/</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Target High-Net-Worth Clients with Meta Ads in 2025, accessed April 3, 2026, </w:t>
      </w:r>
      <w:hyperlink r:id="rId30">
        <w:r w:rsidDel="00000000" w:rsidR="00000000" w:rsidRPr="00000000">
          <w:rPr>
            <w:rFonts w:ascii="Google Sans" w:cs="Google Sans" w:eastAsia="Google Sans" w:hAnsi="Google Sans"/>
            <w:color w:val="0000ee"/>
            <w:sz w:val="24"/>
            <w:szCs w:val="24"/>
            <w:u w:val="single"/>
            <w:rtl w:val="0"/>
          </w:rPr>
          <w:t xml:space="preserve">https://www.303.london/blog/how-to-target-high-net-worth-clients-with-meta-ads-in-2025</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African Cities are the Stars of African Luxury Real Estate - Henley &amp; Partners, accessed April 3, 2026, </w:t>
      </w:r>
      <w:hyperlink r:id="rId31">
        <w:r w:rsidDel="00000000" w:rsidR="00000000" w:rsidRPr="00000000">
          <w:rPr>
            <w:rFonts w:ascii="Google Sans" w:cs="Google Sans" w:eastAsia="Google Sans" w:hAnsi="Google Sans"/>
            <w:color w:val="0000ee"/>
            <w:sz w:val="24"/>
            <w:szCs w:val="24"/>
            <w:u w:val="single"/>
            <w:rtl w:val="0"/>
          </w:rPr>
          <w:t xml:space="preserve">https://www.henleyglobal.com/publications/africa-wealth-report-2024/south-african-cities-stars-african-luxury-real-estate</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These are the 27 most expensive suburbs in South Africa - BusinessTech, accessed April 3, 2026, </w:t>
      </w:r>
      <w:hyperlink r:id="rId32">
        <w:r w:rsidDel="00000000" w:rsidR="00000000" w:rsidRPr="00000000">
          <w:rPr>
            <w:rFonts w:ascii="Google Sans" w:cs="Google Sans" w:eastAsia="Google Sans" w:hAnsi="Google Sans"/>
            <w:color w:val="0000ee"/>
            <w:sz w:val="24"/>
            <w:szCs w:val="24"/>
            <w:u w:val="single"/>
            <w:rtl w:val="0"/>
          </w:rPr>
          <w:t xml:space="preserve">https://businesstech.co.za/news/property/809723/these-are-the-27-most-expensive-suburbs-in-south-africa/</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Reach Rich People on Facebook Ads? | SEO / SEM Agency - Delante, accessed April 3, 2026, </w:t>
      </w:r>
      <w:hyperlink r:id="rId33">
        <w:r w:rsidDel="00000000" w:rsidR="00000000" w:rsidRPr="00000000">
          <w:rPr>
            <w:rFonts w:ascii="Google Sans" w:cs="Google Sans" w:eastAsia="Google Sans" w:hAnsi="Google Sans"/>
            <w:color w:val="0000ee"/>
            <w:sz w:val="24"/>
            <w:szCs w:val="24"/>
            <w:u w:val="single"/>
            <w:rtl w:val="0"/>
          </w:rPr>
          <w:t xml:space="preserve">https://delante.co/how-to-reach-rich-people-on-facebook/</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Audiences to Target with Facebook Paid Advertising - SEOM Interactive, accessed April 3, 2026, </w:t>
      </w:r>
      <w:hyperlink r:id="rId34">
        <w:r w:rsidDel="00000000" w:rsidR="00000000" w:rsidRPr="00000000">
          <w:rPr>
            <w:rFonts w:ascii="Google Sans" w:cs="Google Sans" w:eastAsia="Google Sans" w:hAnsi="Google Sans"/>
            <w:color w:val="0000ee"/>
            <w:sz w:val="24"/>
            <w:szCs w:val="24"/>
            <w:u w:val="single"/>
            <w:rtl w:val="0"/>
          </w:rPr>
          <w:t xml:space="preserve">https://searchenginesmarketer.com/company/resources/facebook-ads-can-target/</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Facebook's Ad Targeting Options List - Digital Spotlight, accessed April 3, 2026, </w:t>
      </w:r>
      <w:hyperlink r:id="rId35">
        <w:r w:rsidDel="00000000" w:rsidR="00000000" w:rsidRPr="00000000">
          <w:rPr>
            <w:rFonts w:ascii="Google Sans" w:cs="Google Sans" w:eastAsia="Google Sans" w:hAnsi="Google Sans"/>
            <w:color w:val="0000ee"/>
            <w:sz w:val="24"/>
            <w:szCs w:val="24"/>
            <w:u w:val="single"/>
            <w:rtl w:val="0"/>
          </w:rPr>
          <w:t xml:space="preserve">https://www.digitalspotlight.com.au/facebooks-ad-targeting-options/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How to TARGET RICH PEOPLE on FB ads (Backed By Startup Research) - YouTube, accessed April 3,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https://www.youtube.com/watch?v=y79dCov0ZHI</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 Marketing Strategies for High-Net-Worth Individuals in FinTech, accessed April 3, 2026, </w:t>
      </w:r>
      <w:hyperlink r:id="rId37">
        <w:r w:rsidDel="00000000" w:rsidR="00000000" w:rsidRPr="00000000">
          <w:rPr>
            <w:rFonts w:ascii="Google Sans" w:cs="Google Sans" w:eastAsia="Google Sans" w:hAnsi="Google Sans"/>
            <w:color w:val="0000ee"/>
            <w:sz w:val="24"/>
            <w:szCs w:val="24"/>
            <w:u w:val="single"/>
            <w:rtl w:val="0"/>
          </w:rPr>
          <w:t xml:space="preserve">https://upgrowth.in/facebook-marketing-for-targeting-high-net-worth-individuals-in-the-fintech-industry/</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Ad Formats in 2025: Your Quick Guide to Picking the Right One - Dataslayer, accessed April 3, 2026, </w:t>
      </w:r>
      <w:hyperlink r:id="rId38">
        <w:r w:rsidDel="00000000" w:rsidR="00000000" w:rsidRPr="00000000">
          <w:rPr>
            <w:rFonts w:ascii="Google Sans" w:cs="Google Sans" w:eastAsia="Google Sans" w:hAnsi="Google Sans"/>
            <w:color w:val="0000ee"/>
            <w:sz w:val="24"/>
            <w:szCs w:val="24"/>
            <w:u w:val="single"/>
            <w:rtl w:val="0"/>
          </w:rPr>
          <w:t xml:space="preserve">https://www.dataslayer.ai/blog/meta-ad-formats-in-2025-guide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Facebook Ad Formats You Should Be Using - Pink Shark Marketing, accessed April 3, 2026, </w:t>
      </w:r>
      <w:hyperlink r:id="rId39">
        <w:r w:rsidDel="00000000" w:rsidR="00000000" w:rsidRPr="00000000">
          <w:rPr>
            <w:rFonts w:ascii="Google Sans" w:cs="Google Sans" w:eastAsia="Google Sans" w:hAnsi="Google Sans"/>
            <w:color w:val="0000ee"/>
            <w:sz w:val="24"/>
            <w:szCs w:val="24"/>
            <w:u w:val="single"/>
            <w:rtl w:val="0"/>
          </w:rPr>
          <w:t xml:space="preserve">https://pinksharkmarketing.com/top-facebook-ad-formats-you-should-be-using/</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Insurance Facebook Ad Examples in 2026 - Gethookd, accessed April 3, 2026, </w:t>
      </w:r>
      <w:hyperlink r:id="rId40">
        <w:r w:rsidDel="00000000" w:rsidR="00000000" w:rsidRPr="00000000">
          <w:rPr>
            <w:rFonts w:ascii="Google Sans" w:cs="Google Sans" w:eastAsia="Google Sans" w:hAnsi="Google Sans"/>
            <w:color w:val="0000ee"/>
            <w:sz w:val="24"/>
            <w:szCs w:val="24"/>
            <w:u w:val="single"/>
            <w:rtl w:val="0"/>
          </w:rPr>
          <w:t xml:space="preserve">https://www.gethookd.ai/blog/5-insurance-facebook-ad-examples-in-2026</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Likes to Leads: How Insurance Agents Can Win Clients Through Social Media, accessed April 3, 2026, </w:t>
      </w:r>
      <w:hyperlink r:id="rId41">
        <w:r w:rsidDel="00000000" w:rsidR="00000000" w:rsidRPr="00000000">
          <w:rPr>
            <w:rFonts w:ascii="Google Sans" w:cs="Google Sans" w:eastAsia="Google Sans" w:hAnsi="Google Sans"/>
            <w:color w:val="0000ee"/>
            <w:sz w:val="24"/>
            <w:szCs w:val="24"/>
            <w:u w:val="single"/>
            <w:rtl w:val="0"/>
          </w:rPr>
          <w:t xml:space="preserve">https://www.mibsga.com/from-likes-to-leads-how-insurance-agents-can-win-clients-through-social-media/</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your Return on Investment with Facebook and Instagram Ads, accessed April 3, 2026, </w:t>
      </w:r>
      <w:hyperlink r:id="rId42">
        <w:r w:rsidDel="00000000" w:rsidR="00000000" w:rsidRPr="00000000">
          <w:rPr>
            <w:rFonts w:ascii="Google Sans" w:cs="Google Sans" w:eastAsia="Google Sans" w:hAnsi="Google Sans"/>
            <w:color w:val="0000ee"/>
            <w:sz w:val="24"/>
            <w:szCs w:val="24"/>
            <w:u w:val="single"/>
            <w:rtl w:val="0"/>
          </w:rPr>
          <w:t xml:space="preserve">https://adsuncorked.com/understanding-your-return-on-investment-with-facebook-and-instagram-ads/</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 Ad Analytics: Metrics &amp; Insights to Track for Better ROI | Triple Whale, accessed April 3, 2026, </w:t>
      </w:r>
      <w:hyperlink r:id="rId43">
        <w:r w:rsidDel="00000000" w:rsidR="00000000" w:rsidRPr="00000000">
          <w:rPr>
            <w:rFonts w:ascii="Google Sans" w:cs="Google Sans" w:eastAsia="Google Sans" w:hAnsi="Google Sans"/>
            <w:color w:val="0000ee"/>
            <w:sz w:val="24"/>
            <w:szCs w:val="24"/>
            <w:u w:val="single"/>
            <w:rtl w:val="0"/>
          </w:rPr>
          <w:t xml:space="preserve">https://www.triplewhale.com/blog/facebook-ad-analytics</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10,000 Ads, These are the Money Making Hooks - YouTube, accessed April 3,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https://www.youtube.com/watch?v=opWKMc6iavo</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Facebook Ads Cost Calculator 2026: Estimate CPC, CPM &amp; Budget | Pipeboard Blog, accessed April 3, 2026, </w:t>
      </w:r>
      <w:hyperlink r:id="rId45">
        <w:r w:rsidDel="00000000" w:rsidR="00000000" w:rsidRPr="00000000">
          <w:rPr>
            <w:rFonts w:ascii="Google Sans" w:cs="Google Sans" w:eastAsia="Google Sans" w:hAnsi="Google Sans"/>
            <w:color w:val="0000ee"/>
            <w:sz w:val="24"/>
            <w:szCs w:val="24"/>
            <w:u w:val="single"/>
            <w:rtl w:val="0"/>
          </w:rPr>
          <w:t xml:space="preserve">https://pipeboard.co/blog/facebook-advertising-cost-calculator</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Facebook Ads Cost? Budget Calculator (2022) - Common Thread Collective, accessed April 3, 2026, </w:t>
      </w:r>
      <w:hyperlink r:id="rId46">
        <w:r w:rsidDel="00000000" w:rsidR="00000000" w:rsidRPr="00000000">
          <w:rPr>
            <w:rFonts w:ascii="Google Sans" w:cs="Google Sans" w:eastAsia="Google Sans" w:hAnsi="Google Sans"/>
            <w:color w:val="0000ee"/>
            <w:sz w:val="24"/>
            <w:szCs w:val="24"/>
            <w:u w:val="single"/>
            <w:rtl w:val="0"/>
          </w:rPr>
          <w:t xml:space="preserve">https://commonthreadco.com/blogs/coachs-corner/facebook-ads-cost-budget-calculator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ethookd.ai/blog/5-insurance-facebook-ad-examples-in-2026" TargetMode="External"/><Relationship Id="rId20" Type="http://schemas.openxmlformats.org/officeDocument/2006/relationships/hyperlink" Target="https://trivision.com/uncategorized/quiet-luxury-branding-trends-2025/" TargetMode="External"/><Relationship Id="rId42" Type="http://schemas.openxmlformats.org/officeDocument/2006/relationships/hyperlink" Target="https://adsuncorked.com/understanding-your-return-on-investment-with-facebook-and-instagram-ads/" TargetMode="External"/><Relationship Id="rId41" Type="http://schemas.openxmlformats.org/officeDocument/2006/relationships/hyperlink" Target="https://www.mibsga.com/from-likes-to-leads-how-insurance-agents-can-win-clients-through-social-media/" TargetMode="External"/><Relationship Id="rId22" Type="http://schemas.openxmlformats.org/officeDocument/2006/relationships/hyperlink" Target="https://bowermangroup.com/luxury-markets-in-2025-part-1-key-trends-strategic-insights/" TargetMode="External"/><Relationship Id="rId44" Type="http://schemas.openxmlformats.org/officeDocument/2006/relationships/hyperlink" Target="https://www.youtube.com/watch?v=opWKMc6iavo" TargetMode="External"/><Relationship Id="rId21" Type="http://schemas.openxmlformats.org/officeDocument/2006/relationships/hyperlink" Target="https://ayerhsmagazine.com/2025/11/20/the-quiet-luxury-business-model-in-2026/" TargetMode="External"/><Relationship Id="rId43" Type="http://schemas.openxmlformats.org/officeDocument/2006/relationships/hyperlink" Target="https://www.triplewhale.com/blog/facebook-ad-analytics" TargetMode="External"/><Relationship Id="rId24" Type="http://schemas.openxmlformats.org/officeDocument/2006/relationships/hyperlink" Target="https://lpagery.io/blog/how-to-use-calculators-as-leadmagnets/" TargetMode="External"/><Relationship Id="rId46" Type="http://schemas.openxmlformats.org/officeDocument/2006/relationships/hyperlink" Target="https://commonthreadco.com/blogs/coachs-corner/facebook-ads-cost-budget-calculator" TargetMode="External"/><Relationship Id="rId23" Type="http://schemas.openxmlformats.org/officeDocument/2006/relationships/hyperlink" Target="https://www.tegna.com/advertise/luxury-advertising" TargetMode="External"/><Relationship Id="rId45" Type="http://schemas.openxmlformats.org/officeDocument/2006/relationships/hyperlink" Target="https://pipeboard.co/blog/facebook-advertising-cost-calcul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sca.co.za/" TargetMode="External"/><Relationship Id="rId26" Type="http://schemas.openxmlformats.org/officeDocument/2006/relationships/hyperlink" Target="https://buffer.com/resources/good-hooks/" TargetMode="External"/><Relationship Id="rId25" Type="http://schemas.openxmlformats.org/officeDocument/2006/relationships/hyperlink" Target="https://leadenforce.com/blog/lead-magnet-ideas-that-work-best-on-facebook-and-instagram" TargetMode="External"/><Relationship Id="rId28" Type="http://schemas.openxmlformats.org/officeDocument/2006/relationships/hyperlink" Target="https://goprimer.com/blog/10-visual-hooks" TargetMode="External"/><Relationship Id="rId27" Type="http://schemas.openxmlformats.org/officeDocument/2006/relationships/hyperlink" Target="https://fmgsuite.com/insights/hook-ideas-to-get-more-views-on-your-next-financial-advisor-social-post/" TargetMode="External"/><Relationship Id="rId5" Type="http://schemas.openxmlformats.org/officeDocument/2006/relationships/styles" Target="styles.xml"/><Relationship Id="rId6" Type="http://schemas.openxmlformats.org/officeDocument/2006/relationships/hyperlink" Target="https://www.santam.co.za/blog/business-advice/business-insurance-for-smes-in-south-africa-protecting-your-business/" TargetMode="External"/><Relationship Id="rId29" Type="http://schemas.openxmlformats.org/officeDocument/2006/relationships/hyperlink" Target="https://www.reddit.com/r/FacebookAds/comments/1qqdpdc/targeting_actual_high_networth_individuals_on/" TargetMode="External"/><Relationship Id="rId7" Type="http://schemas.openxmlformats.org/officeDocument/2006/relationships/hyperlink" Target="https://bi-me.co.za/blog/best-marketing-strategies-for-small-south-african-businesses/" TargetMode="External"/><Relationship Id="rId8" Type="http://schemas.openxmlformats.org/officeDocument/2006/relationships/hyperlink" Target="https://www.studioyellow.xyz/article/quiet-luxury-branding-how-premium-agencies-translate-stealth-wealth-into-strategic-advantage" TargetMode="External"/><Relationship Id="rId31" Type="http://schemas.openxmlformats.org/officeDocument/2006/relationships/hyperlink" Target="https://www.henleyglobal.com/publications/africa-wealth-report-2024/south-african-cities-stars-african-luxury-real-estate" TargetMode="External"/><Relationship Id="rId30" Type="http://schemas.openxmlformats.org/officeDocument/2006/relationships/hyperlink" Target="https://www.303.london/blog/how-to-target-high-net-worth-clients-with-meta-ads-in-2025" TargetMode="External"/><Relationship Id="rId11" Type="http://schemas.openxmlformats.org/officeDocument/2006/relationships/hyperlink" Target="https://www.moonstone.co.za/fsca-examining-finfluencers-impact-on-consumer-decisions/" TargetMode="External"/><Relationship Id="rId33" Type="http://schemas.openxmlformats.org/officeDocument/2006/relationships/hyperlink" Target="https://delante.co/how-to-reach-rich-people-on-facebook/" TargetMode="External"/><Relationship Id="rId10" Type="http://schemas.openxmlformats.org/officeDocument/2006/relationships/hyperlink" Target="https://www.moonstone.co.za/sa-tops-global-fraud-charts-as-fsca-flags-social-media-investment-scams/" TargetMode="External"/><Relationship Id="rId32" Type="http://schemas.openxmlformats.org/officeDocument/2006/relationships/hyperlink" Target="https://businesstech.co.za/news/property/809723/these-are-the-27-most-expensive-suburbs-in-south-africa/" TargetMode="External"/><Relationship Id="rId13" Type="http://schemas.openxmlformats.org/officeDocument/2006/relationships/hyperlink" Target="https://www.fca.org.uk/publication/finalised-guidance/fg24-1.pdf" TargetMode="External"/><Relationship Id="rId35" Type="http://schemas.openxmlformats.org/officeDocument/2006/relationships/hyperlink" Target="https://www.digitalspotlight.com.au/facebooks-ad-targeting-options/" TargetMode="External"/><Relationship Id="rId12" Type="http://schemas.openxmlformats.org/officeDocument/2006/relationships/hyperlink" Target="https://www2.fsca.co.za/Documents/FSCA%20Regulatory%20Actions%20Report_30%20June%202025.pdf" TargetMode="External"/><Relationship Id="rId34" Type="http://schemas.openxmlformats.org/officeDocument/2006/relationships/hyperlink" Target="https://searchenginesmarketer.com/company/resources/facebook-ads-can-target/" TargetMode="External"/><Relationship Id="rId15" Type="http://schemas.openxmlformats.org/officeDocument/2006/relationships/hyperlink" Target="https://www.fsca.co.za/_api/cr3ad_guidancenoteses(88dd8f5d-3ad3-f011-8544-000d3ab44730)/cr3ad_document/$value" TargetMode="External"/><Relationship Id="rId37" Type="http://schemas.openxmlformats.org/officeDocument/2006/relationships/hyperlink" Target="https://upgrowth.in/facebook-marketing-for-targeting-high-net-worth-individuals-in-the-fintech-industry/" TargetMode="External"/><Relationship Id="rId14" Type="http://schemas.openxmlformats.org/officeDocument/2006/relationships/hyperlink" Target="https://www.masthead.co.za/newsletter/advertising-requirements/" TargetMode="External"/><Relationship Id="rId36" Type="http://schemas.openxmlformats.org/officeDocument/2006/relationships/hyperlink" Target="https://www.youtube.com/watch?v=y79dCov0ZHI" TargetMode="External"/><Relationship Id="rId17" Type="http://schemas.openxmlformats.org/officeDocument/2006/relationships/hyperlink" Target="https://www.arb.org.za/" TargetMode="External"/><Relationship Id="rId39" Type="http://schemas.openxmlformats.org/officeDocument/2006/relationships/hyperlink" Target="https://pinksharkmarketing.com/top-facebook-ad-formats-you-should-be-using/" TargetMode="External"/><Relationship Id="rId16" Type="http://schemas.openxmlformats.org/officeDocument/2006/relationships/hyperlink" Target="https://www.ensafrica.com/news/detail/3057/conduct-standard-for-banks-and-amended-code-o" TargetMode="External"/><Relationship Id="rId38" Type="http://schemas.openxmlformats.org/officeDocument/2006/relationships/hyperlink" Target="https://www.dataslayer.ai/blog/meta-ad-formats-in-2025-guide" TargetMode="External"/><Relationship Id="rId19" Type="http://schemas.openxmlformats.org/officeDocument/2006/relationships/hyperlink" Target="https://pimento.co.uk/practical-guide-for-luxury-marketing-in-2026/" TargetMode="External"/><Relationship Id="rId18" Type="http://schemas.openxmlformats.org/officeDocument/2006/relationships/hyperlink" Target="https://www.fsca.co.za/_api/cr3ad_newses(b311a379-badb-f011-8544-000d3ab44730)/cr3ad_document/$val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