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Absolute Digital Sovereignty: The Definitive Next.js 15 SEO Domination Framework for Miwesu Game Reserve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acquisition of absolute digital sovereignty within the global hunting and luxury safari industry requires a radical departure from conventional search engine optimization. To achieve the requested standard of supremacy—a digital infrastructure capable of obliterating all legacy competition and achieving visibility so profound that it dominates search engines universally—the strategy must transcend basic keyword integration.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demands the execution of a model defined by technical perfection, programmatic data engineering, and semantic hegemony.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Miwesu Game Reserve, established in 1984 and operating as the "Iron Eden" within the ancient Makoppa Dome of Thabazimbi, Limpopo, the strategic objective is to create a digital footprint that is mathematically and semantically insurmountable.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reserve may target affluent domestic source markets such as Alberton and the broader Gauteng province for weekend retreats and corporate syndicates, the primary digital architecture must be engineered to capture the ultra-high-net-worth international hunting and luxury safari demographic.</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comprehensive report provides the exact architectural blueprint, semantic structures, and programmatic matrices required to systematically displace entrenched legacy competitors such as Singita, Londolozi, and John X Safaris.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mapping this technical infrastructure to search engine algorithms with extreme precision, this blueprint serves as the definitive directive for AI-integrated development environments, specifically Cursor, to execute an unassailable organic search strategy.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Hegemony: The Semantic Repositioning of Iron Eden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 of modern search engine domination lies in the ownership of high-value semantic entities within the global Knowledge Graph.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Legacy institutions within the South African safari sector have historically bifurcated the digital landscape into two distinct and isolated silos: the generalized "quiet luxury" of photographic safaris (dominated by Singita and Londolozi) and the traditional, often technically outdated, hunting operations (typified by John X Safaris).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Miwesu must exploit this semantic gap by engineering and defining an entirely new, highly authoritative entity: the "Conservation Harvest".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"Conservation Harvest" Narrative and Algorithmic Trust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Search algorithms, particularly following Google's Helpful Content updates, heavily prioritize "Experience, Expertise, Authoritativeness, and Trustworthiness" (E-E-A-T).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terminology of traditional "trophy hunting" frequently encounters algorithmic suppression, policy-based demotion, or negative sentiment in generalized travel queries, particularly from international IP addresses.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establishing and ruthlessly optimizing the proprietary term "Conservation Harvest," Miwesu reframes the digital narrative.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act of hunting is programmatically presented as a highly sophisticated mechanism of environmental preservation, strictly dictated by scientific wildlife census data and ecological carrying capacities.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paradigm shift requires semantic precision across all digital assets. Search engines must be trained, through vast networks of structured data and high-authority backlinks, to associate Miwesu not merely with the commercial sale of animals, but with elite environmental stewardship.</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implementation of the "Guardian’s Pledge," which mandates silence, ethical fair chase, and deep respect for the ecosystem upon entry to the private residences, acts as a unique, brand-specific semantic entity that search algorithms can parse and reward.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the explicit, mathematically verifiable detailing that 100% of harvested meat is donated to feed 300 local families on a monthly basis feeds directly into search algorithms that increasingly reward verifiable Environmental, Social, and Governance (ESG) community impact metrics.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Dual-Intent Persona Targeting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obliterate competitors, the content architecture must cater simultaneously to two highly distinct search intents without diluting the overarching domain authority. A blended approach ensures that the domain captures vast swaths of long-tail traffic across multiple user journeys: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High-Net-Worth Technical Hunter:</w:t>
      </w:r>
      <w:r w:rsidDel="00000000" w:rsidR="00000000" w:rsidRPr="00000000">
        <w:rPr>
          <w:rFonts w:ascii="Google Sans" w:cs="Google Sans" w:eastAsia="Google Sans" w:hAnsi="Google Sans"/>
          <w:color w:val="1f1f1f"/>
          <w:rtl w:val="0"/>
        </w:rPr>
        <w:t xml:space="preserve"> This persona executes highly specific, programmatic queries deeply embedded in the research phase of the booking funnel. Examples include ".300 Win Mag terminal performance on South African Blue Wildebeest," "Rowland Ward minimums for Eastern Cape Kudu," or "ethical shot placement for Cape Buffalo with fused boss".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Luxury Observer and Family Syndicate:</w:t>
      </w:r>
      <w:r w:rsidDel="00000000" w:rsidR="00000000" w:rsidRPr="00000000">
        <w:rPr>
          <w:rFonts w:ascii="Google Sans" w:cs="Google Sans" w:eastAsia="Google Sans" w:hAnsi="Google Sans"/>
          <w:color w:val="1f1f1f"/>
          <w:rtl w:val="0"/>
        </w:rPr>
        <w:t xml:space="preserve"> This persona executes queries related to elite leisure and geography. Examples include "exclusive use 16-sleeper self-catering lodge Thabazimbi," "malaria-free celestial safaris South Africa," and "bespoke bushveld living with fiber optic internet".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unifying these disparate search intents under the overarching umbrella of "Radical Trust" and exclusive, vetted access, the Miwesu domain captures organic traffic at the earliest possible stages of user research, establishing unquestionable authority long before the user has engaged a booking agent.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Displacement: The Forensic Teardown of Legacy Giants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systematic displacement of industry giants requires a ruthless, forensic audit of their technical, structural, and semantic weaknesses. The current market leaders suffer from architectural stagnation and keyword myopia that a modern Next.js 15 deployment will easily exploit and overcome.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Attacking the Singita and Londolozi Model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Singita and Londolozi possess established, century-old brand histories and currently dominate high-volume, generalized luxury safari queries.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their digital presences are fundamentally flawed by their reliance on bloated, visual-heavy legacy Content Management Systems (CMS).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outdated platforms prioritize the loading of massive, unoptimized high-resolution multimedia payloads over rapid server response times.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technical bloat leads to severe penalties in Google's Core Web Vitals, specifically resulting in poor Largest Contentful Paint (LCP) times and frustrating Cumulative Layout Shifts (CLS).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these institutions actively avoid the technical specifics of the hunting world, focusing exclusively on a sanitized "photo-safari" experience that alienates the high-spend hunting demographic.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Miwesu will capture this highly lucrative, completely underserved market segment—individuals who demand the elite, uncompromising luxury of a Singita, combined with the rigorous technical hunting infrastructure of a dedicated outfitter. By utilizing Next.js "Serverless at the Edge" rendering, Miwesu will serve fully rendered, optimized HTML to international ultra-high-net-worth clients in Houston, London, or Munich significantly faster than Singita’s centralized, monolithic servers can respond.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Attacking the John X Safaris Model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John X Safaris represents a formidable competitor in the technical hunting space, effectively utilizing deep taxonomies to capture niche queries such as "Tiny 10 Hunts," "Hound Hunts," and "Borderless Hunts".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However, a rigorous technical audit reveals critical structural vulnerabilities that Miwesu will weaponize:</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Architectural Clutter and PageRank Dilution:</w:t>
      </w:r>
      <w:r w:rsidDel="00000000" w:rsidR="00000000" w:rsidRPr="00000000">
        <w:rPr>
          <w:rFonts w:ascii="Google Sans" w:cs="Google Sans" w:eastAsia="Google Sans" w:hAnsi="Google Sans"/>
          <w:color w:val="1f1f1f"/>
          <w:rtl w:val="0"/>
        </w:rPr>
        <w:t xml:space="preserve"> Their primary navigation menu is overwhelmingly dense, containing upwards of 14 different sub-categories.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excessive density creates a poor mobile User Experience (UX) and severely dilutes the flow of internal link equity (PageRank) to their most critical conversion pages.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Technical Neglect and E-commerce Friction:</w:t>
      </w:r>
      <w:r w:rsidDel="00000000" w:rsidR="00000000" w:rsidRPr="00000000">
        <w:rPr>
          <w:rFonts w:ascii="Google Sans" w:cs="Google Sans" w:eastAsia="Google Sans" w:hAnsi="Google Sans"/>
          <w:color w:val="1f1f1f"/>
          <w:rtl w:val="0"/>
        </w:rPr>
        <w:t xml:space="preserve"> The presence of broken placeholder assets (e.g., the recurring use of "dummy.png" in their Revolution Slider configurations) signals technical neglect to search engine crawlers, dragging down their overall domain quality score.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Additionally, their merchandising section restricts sales to US-based customers only, creating commercial friction and high bounce rates for European or Australasian traffic.</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Static Methodologies:</w:t>
      </w:r>
      <w:r w:rsidDel="00000000" w:rsidR="00000000" w:rsidRPr="00000000">
        <w:rPr>
          <w:rFonts w:ascii="Google Sans" w:cs="Google Sans" w:eastAsia="Google Sans" w:hAnsi="Google Sans"/>
          <w:color w:val="1f1f1f"/>
          <w:rtl w:val="0"/>
        </w:rPr>
        <w:t xml:space="preserve"> Their content strategy relies heavily on the manual publication of traditional "Hunt Reports" via standard blog architecture.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They entirely lack programmatic data engineering.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Miwesu will outmaneuver John X Safaris by deploying a programmatic SEO strategy that integrates real-time biological data, advanced ballistics mathematics, and dynamic JSON-LD schema markup for every individual species and hunting condition.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will exponentially exceed John X's level of detail, rendering their manual blog strategy obsolete.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Next.js 15 Technical Architecture: The Sub-Second Engine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that a hypothetical "Martian on Mars" receives instantaneous access to the site without latency, the underlying infrastructure must abandon traditional database-driven CMS platforms (like WordPress) in favor of the modern, React-based Next.js 15 App Router.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framework allows for a sophisticated hybrid rendering matrix that fulfills Google’s most stringent Core Web Vitals parameters out of the box.</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Hybrid Rendering Matrix</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engine crawlers, such as Googlebot, prioritize content that is immediately indexable within the initial HTML payload.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Client-side rendering (CSR) delays indexation, requires multiple pass-throughs by the crawler, and severely damages the Largest Contentful Paint (LCP) metric.</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To dominate the technical landscape, Miwesu’s architecture must deploy highly specific rendering mechanisms based on the volatility and security requirements of the underlying data: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Content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Next.js Rendering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SEO 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Landing Pages (Home, Residences)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Static Site Generation (SSG)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HTML pre-rendered completely at build time; distributed globally via Edge CDN.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Eliminate Time to First Byte (TTFB) latency; guarantee mathematically sub-second LCP scores.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Wildlife Database &amp; Conservation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Incremental Static Regeneration (ISR)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Background server regeneration executed every 3,600 seconds.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Maintain scientific data freshness (e.g., evolving wildlife census data, shifting harvest quotas) without requiring expensive full-site rebuilds.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Live Telemetry &amp; Booking Availability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Server-Side Rendering (SSR)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HTML generation executed at request time for absolute data precision.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 search engine crawlers from indexing stale pricing, outdated availability dates, or incorrect kiln temperatures.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Private Guest Access &amp; Vetting Portal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Client-Side Rendering (CSR)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In-browser React rendering utilized exclusively for authenticated user sessions.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Explicitly exclude sensitive, personally identifiable information and vetting criteria from public search indices.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Web Vitals Optimization and Mathematical Performance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modern search landscape, organic visibility is inexorably linked to technical performance. The probability of achieving a top-tier, "freak of nature" ranking can be mathematically modeled where the result is inversely proportional to specific latency and instability metrics.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0524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60524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dominate this equation, the Cursor AI development environment must be programmed with rigorous, unyielding directives regarding frontend optimization:</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LCP (Largest Contentful Paint):</w:t>
      </w:r>
      <w:r w:rsidDel="00000000" w:rsidR="00000000" w:rsidRPr="00000000">
        <w:rPr>
          <w:rFonts w:ascii="Google Sans" w:cs="Google Sans" w:eastAsia="Google Sans" w:hAnsi="Google Sans"/>
          <w:color w:val="1f1f1f"/>
          <w:rtl w:val="0"/>
        </w:rPr>
        <w:t xml:space="preserve"> The absolute maximum threshold is 2.5 seconds, though Miwesu must target sub-1-second loads.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next/image component must be rigidly enforced for all visual assets.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Crucially, the priority property must be applied to critical above-the-fold elements, such as the Ken Burns cinematic vignette of the 16-sleeper Homestead, ensuring the browser fetches this asset before parsing the rest of the DOM.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CLS (Cumulative Layout Shift):</w:t>
      </w:r>
      <w:r w:rsidDel="00000000" w:rsidR="00000000" w:rsidRPr="00000000">
        <w:rPr>
          <w:rFonts w:ascii="Google Sans" w:cs="Google Sans" w:eastAsia="Google Sans" w:hAnsi="Google Sans"/>
          <w:color w:val="1f1f1f"/>
          <w:rtl w:val="0"/>
        </w:rPr>
        <w:t xml:space="preserve"> The absolute target is under 0.1.</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next/font optimization module must be implemented to self-host the bespoke </w:t>
      </w:r>
      <w:r w:rsidDel="00000000" w:rsidR="00000000" w:rsidRPr="00000000">
        <w:rPr>
          <w:rFonts w:ascii="Google Sans" w:cs="Google Sans" w:eastAsia="Google Sans" w:hAnsi="Google Sans"/>
          <w:i w:val="1"/>
          <w:iCs w:val="1"/>
          <w:color w:val="1f1f1f"/>
          <w:rtl w:val="0"/>
        </w:rPr>
        <w:t xml:space="preserve">Cinzel</w:t>
      </w:r>
      <w:r w:rsidDel="00000000" w:rsidR="00000000" w:rsidRPr="00000000">
        <w:rPr>
          <w:rFonts w:ascii="Google Sans" w:cs="Google Sans" w:eastAsia="Google Sans" w:hAnsi="Google Sans"/>
          <w:color w:val="1f1f1f"/>
          <w:rtl w:val="0"/>
        </w:rPr>
        <w:t xml:space="preserve"> (headings) and </w:t>
      </w:r>
      <w:r w:rsidDel="00000000" w:rsidR="00000000" w:rsidRPr="00000000">
        <w:rPr>
          <w:rFonts w:ascii="Google Sans" w:cs="Google Sans" w:eastAsia="Google Sans" w:hAnsi="Google Sans"/>
          <w:i w:val="1"/>
          <w:iCs w:val="1"/>
          <w:color w:val="1f1f1f"/>
          <w:rtl w:val="0"/>
        </w:rPr>
        <w:t xml:space="preserve">Montserrat</w:t>
      </w:r>
      <w:r w:rsidDel="00000000" w:rsidR="00000000" w:rsidRPr="00000000">
        <w:rPr>
          <w:rFonts w:ascii="Google Sans" w:cs="Google Sans" w:eastAsia="Google Sans" w:hAnsi="Google Sans"/>
          <w:color w:val="1f1f1f"/>
          <w:rtl w:val="0"/>
        </w:rPr>
        <w:t xml:space="preserve"> (body) typography.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preemptively loads font files, entirely eliminating layout shifts caused by the swapping of fallback fonts.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Furthermore, all images must have mathematically explicit width and height dimensions declared to reserve DOM space prior to image resolution.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INP (Interaction to Next Paint):</w:t>
      </w:r>
      <w:r w:rsidDel="00000000" w:rsidR="00000000" w:rsidRPr="00000000">
        <w:rPr>
          <w:rFonts w:ascii="Google Sans" w:cs="Google Sans" w:eastAsia="Google Sans" w:hAnsi="Google Sans"/>
          <w:color w:val="1f1f1f"/>
          <w:rtl w:val="0"/>
        </w:rPr>
        <w:t xml:space="preserve"> To maintain instant responsiveness, the architecture must minimize client-side JavaScript execution by defaulting entirely to React Server Components (RSC) within the Next.js App Router.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Interactive elements, such as the haptic feedback triggers on the booking buttons and the ambient bushveld audio soundscape toggle, must be strictly isolated within boundary-level Client Components marked with the "use client" directive.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Metadata API and Route Handlers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Next.js 15 provides a deeply integrated, highly powerful Metadata API that must be systematically configured to generate perfect &lt;head&gt; tags across thousands of dynamically generated pages.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Cursor must be programmed to utilize the generateMetadata function for all programmatic routes, moving entirely away from legacy client-side &lt;Helmet&gt; implementations.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root layout must define a hierarchical base title template to ensure absolute brand consistency across the entire domain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TypeScript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app/layout.tsx</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Metadata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'next'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metadata: Metadata =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metadataBase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URL(</w:t>
      </w:r>
      <w:r w:rsidDel="00000000" w:rsidR="00000000" w:rsidRPr="00000000">
        <w:rPr>
          <w:rFonts w:ascii="Google Sans" w:cs="Google Sans" w:eastAsia="Google Sans" w:hAnsi="Google Sans"/>
          <w:i w:val="0"/>
          <w:iCs w:val="0"/>
          <w:color w:val="188038"/>
          <w:sz w:val="20"/>
          <w:szCs w:val="20"/>
          <w:shd w:fill="f0f4f9" w:val="clear"/>
          <w:rtl w:val="0"/>
        </w:rPr>
        <w:t xml:space="preserve">'https://www.miwesu.co.za'</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title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template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 | Miwesu Conservation Harvest'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default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'IRON EDEN | The Makoppa Sanctuary &amp; Game 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 2.5-billion-year-old private sanctuary of silence in Thabazimbi. Bespoke luxury living, ethical conservation harvesting, and malaria-free bushveld safaris.'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alternates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canonical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openGraph</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'website'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locale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'en_ZA'</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siteName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'Miwesu Game 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robots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index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follow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googleBot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index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follow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'max-video-preview'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'max-image-preview'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'large'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'max-snippet'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w:t>
        <w:br w:type="textWrapping"/>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absolute programmatic control over metadata ensures that dynamic OpenGraph images, exact canonical tags (crucial for preventing duplicate content cannibalization across localized /de and /es routes), and specialized Twitter cards are injected server-side before Googlebot ever parses the page.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Semantic Engineering: Knowledge Graph Integration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obliterate competitors, keyword stuffing and basic content siloing are obsolete; modern search engines rely on Natural Language Processing (NLP) to recognize entities, relationships, and ontological frameworks.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Miwesu must be programmatically defined as a complex, irrefutable node within the global Knowledge Graph.</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Deeply Nested JSON-LD Architecture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legacy competitors like Londolozi utilize flat, rudimentary Organization schema, Miwesu must inject deeply nested JSON-LD (JavaScript Object Notation for Linked Data) structured data into the DOM to explicitly define the mathematical relationships between the geographic location, the physical luxury lodges, the conservation activities, and the specific wildlife species.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TouristAttraction &amp; LocalBusiness:</w:t>
      </w:r>
      <w:r w:rsidDel="00000000" w:rsidR="00000000" w:rsidRPr="00000000">
        <w:rPr>
          <w:rFonts w:ascii="Google Sans" w:cs="Google Sans" w:eastAsia="Google Sans" w:hAnsi="Google Sans"/>
          <w:color w:val="1f1f1f"/>
          <w:rtl w:val="0"/>
        </w:rPr>
        <w:t xml:space="preserve"> This forms the primary geographic entity. By nesting LocalBusiness (detailing the D1432 Makoppa District, Thabazimbi coordinates) within TouristAttraction, the algorithm identifies the 2.5-billion-year-old Makoppa Dome not just as a local farm, but as an elite international tourist destination.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Accommodation &amp; LodgingBusiness:</w:t>
      </w:r>
      <w:r w:rsidDel="00000000" w:rsidR="00000000" w:rsidRPr="00000000">
        <w:rPr>
          <w:rFonts w:ascii="Google Sans" w:cs="Google Sans" w:eastAsia="Google Sans" w:hAnsi="Google Sans"/>
          <w:color w:val="1f1f1f"/>
          <w:rtl w:val="0"/>
        </w:rPr>
        <w:t xml:space="preserve"> The two primary assets, The Homestead (16-sleeper) and The Stone Villa (6-sleeper), must be marked up with explicit schema properties defining capacities, the presence of fiber optic internet, and unique architectural infrastructure like stargazing telescopes, private bomas, and the multi-slide swimming pool complex.</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Product &amp; Offer:</w:t>
      </w:r>
      <w:r w:rsidDel="00000000" w:rsidR="00000000" w:rsidRPr="00000000">
        <w:rPr>
          <w:rFonts w:ascii="Google Sans" w:cs="Google Sans" w:eastAsia="Google Sans" w:hAnsi="Google Sans"/>
          <w:color w:val="1f1f1f"/>
          <w:rtl w:val="0"/>
        </w:rPr>
        <w:t xml:space="preserve"> The "Miwesu Premium Firewood" line (Sekelbos, Geelhak, and Braai Mix) must be marked up as e-commerce products.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Crucially, the "Conservation Harvests" themselves must be treated within the schema as high-value, exclusive offers, pulling dynamic availability 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ScholarlyArticle &amp; Dataset:</w:t>
      </w:r>
      <w:r w:rsidDel="00000000" w:rsidR="00000000" w:rsidRPr="00000000">
        <w:rPr>
          <w:rFonts w:ascii="Google Sans" w:cs="Google Sans" w:eastAsia="Google Sans" w:hAnsi="Google Sans"/>
          <w:color w:val="1f1f1f"/>
          <w:rtl w:val="0"/>
        </w:rPr>
        <w:t xml:space="preserve"> The biological data covering the 14 species, and specifically the "annual ecological census," must be structured as academic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elevates the domain's E-E-A-T score from a commercial hunting outfitter to a scientific conservation authority.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Engine Optimization (GEO)</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search paradigm transitions violently toward Large Language Models (LLMs) such as Google Gemini, OpenAI's ChatGPT, and Perplexity, the site must be optimized for AI Answer Engines.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achieved through explicit semantic proximity and definitive answer generation.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terms "Miwesu," "Conservation Harvest," and "Guardian's Pledge" must be engineered to consistently co-occur within the text alongside high-authority, established industry terminology like "Ethical Hunting," "PHASA," "Rowland Ward," and "Fair Chase".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implementing FAQPage schema to answer highly technical, long-tail queries (e.g., "What is the ethical caliber for Cape Buffalo in the Waterberg?") directly within the structured HTML payload ensures that AI models scrape and cite Miwesu as the statistically most probable source of truth.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Programmatic Content Domination: The Atomic Weapon of Safari SEO</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mechanism to outrank established competitors by orders of magnitude is the deployment of a massive, automated programmatic SEO architecture. By combining the 14 managed wildlife species with extensive datasets covering technical ballistics, gestation periods, and trophy measurements, Cursor can be instructed to dynamically generate thousands of highly relevant, zero-competition landing pages that intercept searchers at every possible query phase.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Wildlife Database Infrastructure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 of this programmatic strike is the lib/species-data.ts and lib/species-comparison-data.ts repositories.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Miwesu manages a highly specific portfolio that spans dangerous game, plains game, and rare color variants. Each species must possess a meticulously engineered "Power Page" built dynamically via Next.js routing (e.g., app/wildlife/[species]/page.tsx).</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14 core entities must be comprehensively mapped with rich biological and hunting data:</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Species Common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Scientific Nomenclature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Distinguishing Characteristics &amp; Habitat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Gestation &amp; Biology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Greater Kudu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Tragelaphus strepsiceros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"Grey Ghost"; magnificent spiral horns; dense thicket browser.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~210 days.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Blue Wildebeest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Connochaetes taurinus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Brindled gnu; incredibly tough grazer; open savanna.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~274 days (9 months).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Aepyceros melampus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Graceful lyre-shaped horns; highly adaptable browser/grazer.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 to 7 months.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Gemsbok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Oryx gazella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Arid-adapted; striking rapier horns; thrives in harsh bushveld.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~274 days.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Warthog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Phacochoerus africanus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Four distinct tusks; frequently hunts near waterholes.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~170 days.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Blesbok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Damaliscus pygargus phillipsi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Prominent white blaze; prefers open highveld and grassy plains.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~240 days.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Bushbuck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Tragelaphus sylvaticus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Shy, solitary thicket dweller; notoriously dangerous when wounded.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~180 days.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Cape Buffalo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Syncerus caffer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Apex dangerous game; thick fused boss; requires heavy caliber monolithic solids.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~340 days.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Springbok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Antidorcas marsupialis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National animal; famous for pronking behavior and dorsal fold.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~168 days.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 Hartebeest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Alcelaphus buselaphus caama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"Heart-beast"; elongated face with complexly curved horns.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~240 days.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Lechwe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Kobus leche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Semi-aquatic species; specialized hooves for wetland navigation.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~225 days.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Livingstone Eland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Taurotragus oryx livingstonii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largest antelope species; massive dewlap and spiraled horns.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~274 days.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Dapple Impala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Aepyceros melampus</w:t>
            </w:r>
            <w:r w:rsidDel="00000000" w:rsidR="00000000" w:rsidRPr="00000000">
              <w:rPr>
                <w:rFonts w:ascii="Google Sans" w:cs="Google Sans" w:eastAsia="Google Sans" w:hAnsi="Google Sans"/>
                <w:color w:val="1f1f1f"/>
                <w:shd w:fill="auto" w:val="clear"/>
                <w:rtl w:val="0"/>
              </w:rPr>
              <w:t xml:space="preserve"> (Variant)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Rare, highly sought-after genetic color variant; extreme trophy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 to 7 months.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Golden Wildebeest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Connochaetes taurinus</w:t>
            </w:r>
            <w:r w:rsidDel="00000000" w:rsidR="00000000" w:rsidRPr="00000000">
              <w:rPr>
                <w:rFonts w:ascii="Google Sans" w:cs="Google Sans" w:eastAsia="Google Sans" w:hAnsi="Google Sans"/>
                <w:color w:val="1f1f1f"/>
                <w:shd w:fill="auto" w:val="clear"/>
                <w:rtl w:val="0"/>
              </w:rPr>
              <w:t xml:space="preserve"> (Variant)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Golden/copper coat variant originating from the Limpopo river basin.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~274 days.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Intersecting Datasets for Long-Tail Dominance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generate long-tail traffic traps that generic luxury sites ignore, the core species data must be programmatically intersected with external technical matrices.</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Ballistics and Caliber Optimization Matrix</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Hunters actively search for highly specific ballistics data prior to booking. Miwesu will programmatically generate pages answering exact caliber performance queries, establishing absolute "Expertise" (the 'E' in E-E-A-T).</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Dangerous Game (Cape Buffalo):</w:t>
      </w:r>
      <w:r w:rsidDel="00000000" w:rsidR="00000000" w:rsidRPr="00000000">
        <w:rPr>
          <w:rFonts w:ascii="Google Sans" w:cs="Google Sans" w:eastAsia="Google Sans" w:hAnsi="Google Sans"/>
          <w:color w:val="1f1f1f"/>
          <w:rtl w:val="0"/>
        </w:rPr>
        <w:t xml:space="preserve"> The programmatic system will output data reinforcing the legal South African requirement of a </w:t>
      </w:r>
      <w:r w:rsidDel="00000000" w:rsidR="00000000" w:rsidRPr="00000000">
        <w:rPr>
          <w:rFonts w:ascii="Google Sans" w:cs="Google Sans" w:eastAsia="Google Sans" w:hAnsi="Google Sans"/>
          <w:b w:val="1"/>
          <w:bCs w:val="1"/>
          <w:color w:val="1f1f1f"/>
          <w:rtl w:val="0"/>
        </w:rPr>
        <w:t xml:space="preserve">.375 H&amp;H Magnum</w:t>
      </w:r>
      <w:r w:rsidDel="00000000" w:rsidR="00000000" w:rsidRPr="00000000">
        <w:rPr>
          <w:rFonts w:ascii="Google Sans" w:cs="Google Sans" w:eastAsia="Google Sans" w:hAnsi="Google Sans"/>
          <w:color w:val="1f1f1f"/>
          <w:rtl w:val="0"/>
        </w:rPr>
        <w:t xml:space="preserve"> minimum, noting the absolute necessity of heavy monolithic projectiles (e.g., 300-grain minimums) for penetrating the fused boss.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Large Plains Game (Eland, Kudu, Gemsbok, Wildebeest):</w:t>
      </w:r>
      <w:r w:rsidDel="00000000" w:rsidR="00000000" w:rsidRPr="00000000">
        <w:rPr>
          <w:rFonts w:ascii="Google Sans" w:cs="Google Sans" w:eastAsia="Google Sans" w:hAnsi="Google Sans"/>
          <w:color w:val="1f1f1f"/>
          <w:rtl w:val="0"/>
        </w:rPr>
        <w:t xml:space="preserve"> Dynamic content will evaluate the performance of flat-shooting magnums in the Waterberg brush. The matrix will compare the </w:t>
      </w:r>
      <w:r w:rsidDel="00000000" w:rsidR="00000000" w:rsidRPr="00000000">
        <w:rPr>
          <w:rFonts w:ascii="Google Sans" w:cs="Google Sans" w:eastAsia="Google Sans" w:hAnsi="Google Sans"/>
          <w:b w:val="1"/>
          <w:bCs w:val="1"/>
          <w:color w:val="1f1f1f"/>
          <w:rtl w:val="0"/>
        </w:rPr>
        <w:t xml:space="preserve">.300 Winchester Magnum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.300 PRC</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.338 Win Mag</w:t>
      </w:r>
      <w:r w:rsidDel="00000000" w:rsidR="00000000" w:rsidRPr="00000000">
        <w:rPr>
          <w:rFonts w:ascii="Google Sans" w:cs="Google Sans" w:eastAsia="Google Sans" w:hAnsi="Google Sans"/>
          <w:color w:val="1f1f1f"/>
          <w:rtl w:val="0"/>
        </w:rPr>
        <w:t xml:space="preserve">, specifically detailing the terminal performance and wound channels of </w:t>
      </w:r>
      <w:r w:rsidDel="00000000" w:rsidR="00000000" w:rsidRPr="00000000">
        <w:rPr>
          <w:rFonts w:ascii="Google Sans" w:cs="Google Sans" w:eastAsia="Google Sans" w:hAnsi="Google Sans"/>
          <w:b w:val="1"/>
          <w:bCs w:val="1"/>
          <w:color w:val="1f1f1f"/>
          <w:rtl w:val="0"/>
        </w:rPr>
        <w:t xml:space="preserve">Hornady ELD-X</w:t>
      </w:r>
      <w:r w:rsidDel="00000000" w:rsidR="00000000" w:rsidRPr="00000000">
        <w:rPr>
          <w:rFonts w:ascii="Google Sans" w:cs="Google Sans" w:eastAsia="Google Sans" w:hAnsi="Google Sans"/>
          <w:color w:val="1f1f1f"/>
          <w:rtl w:val="0"/>
        </w:rPr>
        <w:t xml:space="preserve"> versus </w:t>
      </w:r>
      <w:r w:rsidDel="00000000" w:rsidR="00000000" w:rsidRPr="00000000">
        <w:rPr>
          <w:rFonts w:ascii="Google Sans" w:cs="Google Sans" w:eastAsia="Google Sans" w:hAnsi="Google Sans"/>
          <w:b w:val="1"/>
          <w:bCs w:val="1"/>
          <w:color w:val="1f1f1f"/>
          <w:rtl w:val="0"/>
        </w:rPr>
        <w:t xml:space="preserve">Berger VLD Hunting</w:t>
      </w:r>
      <w:r w:rsidDel="00000000" w:rsidR="00000000" w:rsidRPr="00000000">
        <w:rPr>
          <w:rFonts w:ascii="Google Sans" w:cs="Google Sans" w:eastAsia="Google Sans" w:hAnsi="Google Sans"/>
          <w:color w:val="1f1f1f"/>
          <w:rtl w:val="0"/>
        </w:rPr>
        <w:t xml:space="preserve"> bullets.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captures hunters debating gear choices months before a safari.</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Medium/Small Plains Game (Impala, Springbok, Blesbok):</w:t>
      </w:r>
      <w:r w:rsidDel="00000000" w:rsidR="00000000" w:rsidRPr="00000000">
        <w:rPr>
          <w:rFonts w:ascii="Google Sans" w:cs="Google Sans" w:eastAsia="Google Sans" w:hAnsi="Google Sans"/>
          <w:color w:val="1f1f1f"/>
          <w:rtl w:val="0"/>
        </w:rPr>
        <w:t xml:space="preserve"> Data structures will output recommendations for the </w:t>
      </w:r>
      <w:r w:rsidDel="00000000" w:rsidR="00000000" w:rsidRPr="00000000">
        <w:rPr>
          <w:rFonts w:ascii="Google Sans" w:cs="Google Sans" w:eastAsia="Google Sans" w:hAnsi="Google Sans"/>
          <w:b w:val="1"/>
          <w:bCs w:val="1"/>
          <w:color w:val="1f1f1f"/>
          <w:rtl w:val="0"/>
        </w:rPr>
        <w:t xml:space="preserve">.30-06 Springfield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.308 Winchester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7x57mm Mauser</w:t>
      </w:r>
      <w:r w:rsidDel="00000000" w:rsidR="00000000" w:rsidRPr="00000000">
        <w:rPr>
          <w:rFonts w:ascii="Google Sans" w:cs="Google Sans" w:eastAsia="Google Sans" w:hAnsi="Google Sans"/>
          <w:color w:val="1f1f1f"/>
          <w:rtl w:val="0"/>
        </w:rPr>
        <w:t xml:space="preserve">, focusing on achieving ethical harvests with minimal cape damage for premium taxidermy purposes.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Trophy Measurement Matrix</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Every species page will automatically integrate the official </w:t>
      </w:r>
      <w:r w:rsidDel="00000000" w:rsidR="00000000" w:rsidRPr="00000000">
        <w:rPr>
          <w:rFonts w:ascii="Google Sans" w:cs="Google Sans" w:eastAsia="Google Sans" w:hAnsi="Google Sans"/>
          <w:b w:val="1"/>
          <w:bCs w:val="1"/>
          <w:color w:val="1f1f1f"/>
          <w:rtl w:val="0"/>
        </w:rPr>
        <w:t xml:space="preserve">Rowland Ward</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Safari Club International (SCI)</w:t>
      </w:r>
      <w:r w:rsidDel="00000000" w:rsidR="00000000" w:rsidRPr="00000000">
        <w:rPr>
          <w:rFonts w:ascii="Google Sans" w:cs="Google Sans" w:eastAsia="Google Sans" w:hAnsi="Google Sans"/>
          <w:color w:val="1f1f1f"/>
          <w:rtl w:val="0"/>
        </w:rPr>
        <w:t xml:space="preserve"> minimum measurement thresholds to capture high-intent trophy collectors.</w:t>
      </w:r>
      <w:r w:rsidDel="00000000" w:rsidR="00000000" w:rsidRPr="00000000">
        <w:rPr>
          <w:rFonts w:ascii="Google Sans" w:cs="Google Sans" w:eastAsia="Google Sans" w:hAnsi="Google Sans"/>
          <w:color w:val="444746"/>
          <w:sz w:val="24"/>
          <w:szCs w:val="24"/>
          <w:vertAlign w:val="superscript"/>
          <w:rtl w:val="0"/>
        </w:rPr>
        <w:t xml:space="preserve">6</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Rowland Ward Minimum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SCI Minimum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Greater Kudu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7/8 inches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Blue Wildebeest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1/2 inches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Cape Buffalo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inches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Gemsbok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inches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Impala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5/8 inches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Warthog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inches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Livingstone Eland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inches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77</w:t>
            </w:r>
          </w:p>
        </w:tc>
      </w:tr>
    </w:tbl>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synthesized from established South African measurement guidelines.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Programmatic URL Generation via Next.js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 will execute a routing structure that multiplies these data points to own all mathematical search permutations. Using generateStaticParams, Next.js will pre-build these pages at compile time: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Programmatic Route 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Search Intent Addressed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Audience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/wildlife/cape-buffalo/caliber-requirements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"Minimum legal caliber for Cape Buffalo South Africa"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High-budget dangerous game hunters finalizing logistics.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/wildlife/greater-kudu/rowland-ward-minimum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"What is a Rowland Ward Kudu measurement?"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Elite trophy collectors monitoring genetic quality.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/compare?a=blue-wildebeest&amp;b=golden-wildebeest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"Difference between Blue and Golden Wildebeest"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Specialized breeders and exotic variant hunters.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/ballistics/hornady-eldx-300-win-mag-eland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 Hornady ELD-X 200gr good for African Eland?"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technical, gear-obsessed hunters.</w:t>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strategy ensures that Miwesu captures traffic at the earliest stages of the research funnel, positioning the reserve as the ultimate authority before the user has even considered which lodge to book.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"Radical Trust" Hub: The Algorithmic Link Bait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Domain Authority (DA) is vastly accelerated by hosting highly functional, unique engineering assets that naturally attract backlinks. Traditional blogs attract minimal links; functional software utilities attract massive, recurring inbound links from industry forums. Miwesu’s architecture includes a /tools portal explicitly defined as the "Radical Trust Hub".</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SAPS 520 Generator:</w:t>
      </w:r>
      <w:r w:rsidDel="00000000" w:rsidR="00000000" w:rsidRPr="00000000">
        <w:rPr>
          <w:rFonts w:ascii="Google Sans" w:cs="Google Sans" w:eastAsia="Google Sans" w:hAnsi="Google Sans"/>
          <w:color w:val="1f1f1f"/>
          <w:rtl w:val="0"/>
        </w:rPr>
        <w:t xml:space="preserve"> Navigating South African Police Service firearms import regulations is famously difficult for international hunters. Miwesu features an automated utility utilizing pdf-lib to dynamically generate the complex SAPS 520 permit applications based on user inputs regarding travel and up to four firearms.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utility alone will act as an atomic link magnet, attracting massive inbound links from international hunting forums (e.g., AccurateShooter, Rokslide, AfricaHunting) as a definitive free resource.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Biltong Yield Calculator:</w:t>
      </w:r>
      <w:r w:rsidDel="00000000" w:rsidR="00000000" w:rsidRPr="00000000">
        <w:rPr>
          <w:rFonts w:ascii="Google Sans" w:cs="Google Sans" w:eastAsia="Google Sans" w:hAnsi="Google Sans"/>
          <w:color w:val="1f1f1f"/>
          <w:rtl w:val="0"/>
        </w:rPr>
        <w:t xml:space="preserve"> A programmatic calculator allowing users to select any of the 14 species, input the wet carcass weight, and receive an estimated dry biltong yield based on a mathematically precise 38% conversion rate.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drives massive engagement metrics (time-on-page, interaction rate), signaling high utility to Google's RankBrain.</w:t>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Live Telemetry Dashboard:</w:t>
      </w:r>
      <w:r w:rsidDel="00000000" w:rsidR="00000000" w:rsidRPr="00000000">
        <w:rPr>
          <w:rFonts w:ascii="Google Sans" w:cs="Google Sans" w:eastAsia="Google Sans" w:hAnsi="Google Sans"/>
          <w:color w:val="1f1f1f"/>
          <w:rtl w:val="0"/>
        </w:rPr>
        <w:t xml:space="preserve"> A visually stunning "Liquid Glass" UI dashboard displaying simulated live data on conservation metrics (hectares protected, anti-poaching hours logged) and real-time kiln telemetry (moisture percentage, temperature) for the Miwesu Premium Firewood line.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transparency solidifies the "Conservation Harvest" narrative and provides unique, linkable data points for environmental journalists.</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Authority Hegemony: Institutional Link Acquisition and Digital PR</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mathematically surpass the raw Domain Authority of Singita and Londolozi, Miwesu cannot rely solely on technical on-page superiority. A ruthless, dual-track off-page strategy must be executed to secure verifiable institutional trust signals.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Hunting Authority Citations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Miwesu must seamlessly weave itself into the fabric of the global hunting elite by securing high-value contextual backlinks from the most powerful regulatory bodies. These links act as irreplaceable algorithmic endorsements:</w:t>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Professional Hunters' Association of South Africa (PHASA):</w:t>
      </w:r>
      <w:r w:rsidDel="00000000" w:rsidR="00000000" w:rsidRPr="00000000">
        <w:rPr>
          <w:rFonts w:ascii="Google Sans" w:cs="Google Sans" w:eastAsia="Google Sans" w:hAnsi="Google Sans"/>
          <w:color w:val="1f1f1f"/>
          <w:rtl w:val="0"/>
        </w:rPr>
        <w:t xml:space="preserve"> Securing a premium listing in the PHASA Hunting Services Directory under both the "Outfitters" and "Lodges" categories is mandatory.</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Furthermore, achieving and verifying "Section 16A PH Status" creates an irrefutable legal and institutional trust signal that Google’s local algorithms heavily weight.</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National Conservation Associations:</w:t>
      </w:r>
      <w:r w:rsidDel="00000000" w:rsidR="00000000" w:rsidRPr="00000000">
        <w:rPr>
          <w:rFonts w:ascii="Google Sans" w:cs="Google Sans" w:eastAsia="Google Sans" w:hAnsi="Google Sans"/>
          <w:color w:val="1f1f1f"/>
          <w:rtl w:val="0"/>
        </w:rPr>
        <w:t xml:space="preserve"> Acquiring citations from the Confederation of Hunters and Shooting Associations of South Africa (CHASA) and the South African Hunters and Game Conservation Association (SAHGCA) builds massive localized authority regarding the ethical management of the Makoppa Dome.</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Safari Club International (SCI) &amp; Dallas Safari Club (DSC):</w:t>
      </w:r>
      <w:r w:rsidDel="00000000" w:rsidR="00000000" w:rsidRPr="00000000">
        <w:rPr>
          <w:rFonts w:ascii="Google Sans" w:cs="Google Sans" w:eastAsia="Google Sans" w:hAnsi="Google Sans"/>
          <w:color w:val="1f1f1f"/>
          <w:rtl w:val="0"/>
        </w:rPr>
        <w:t xml:space="preserve"> Backlinks generated via award nominations (e.g., the DSC "Outfitter of the Year"), banquet hunt donations, and integration into the SCI Record Book provide massive international DA from domains with overwhelming link equity.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South African Local SEO &amp; Directory Dominance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Miwesu is a physical entity situated on the D1432 road in the Makoppa district of Limpopo, local SEO signals are critical for dominating geographic queries.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reserve's Name, Address, and Phone Number (NAP) must be mathematically identical and programmatically syndicated across top-tier South African directories:</w:t>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Core Aggregators:</w:t>
      </w:r>
      <w:r w:rsidDel="00000000" w:rsidR="00000000" w:rsidRPr="00000000">
        <w:rPr>
          <w:rFonts w:ascii="Google Sans" w:cs="Google Sans" w:eastAsia="Google Sans" w:hAnsi="Google Sans"/>
          <w:color w:val="1f1f1f"/>
          <w:rtl w:val="0"/>
        </w:rPr>
        <w:t xml:space="preserve"> Yellow Pages South Africa, Brabys, Hotfrog, and Cylex form the foundational trust signals required for Google Local Pack dominance.</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Digital PR Syndication:</w:t>
      </w:r>
      <w:r w:rsidDel="00000000" w:rsidR="00000000" w:rsidRPr="00000000">
        <w:rPr>
          <w:rFonts w:ascii="Google Sans" w:cs="Google Sans" w:eastAsia="Google Sans" w:hAnsi="Google Sans"/>
          <w:color w:val="1f1f1f"/>
          <w:rtl w:val="0"/>
        </w:rPr>
        <w:t xml:space="preserve"> High-authority platforms such as Bizcommunity and BusinessTech must be utilized for syndicating digital PR regarding Miwesu’s anti-poaching initiatives and the technological innovation of the Telemetry dashboard.</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Niche Review Portals:</w:t>
      </w:r>
      <w:r w:rsidDel="00000000" w:rsidR="00000000" w:rsidRPr="00000000">
        <w:rPr>
          <w:rFonts w:ascii="Google Sans" w:cs="Google Sans" w:eastAsia="Google Sans" w:hAnsi="Google Sans"/>
          <w:color w:val="1f1f1f"/>
          <w:rtl w:val="0"/>
        </w:rPr>
        <w:t xml:space="preserve"> Gaining verified, five-star reviews on industry-specific platforms like the Hunt Review Directory provides specific semantic reinforcement regarding the quality of the hunting operation.</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 Blueprint: Cursor AI Directives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guarantee that the Cursor AI coding environment executes this exact vision without deviation, hallucination, or performance degradation, a highly specific .cursorrules prompt must be injected into the repository root.</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This document commands the AI to act as an elite Next.js 15 SEO architect.</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Directives for Cursor Integration</w:t>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Component Segregation (RSC vs. CSR):</w:t>
      </w:r>
      <w:r w:rsidDel="00000000" w:rsidR="00000000" w:rsidRPr="00000000">
        <w:rPr>
          <w:rFonts w:ascii="Google Sans" w:cs="Google Sans" w:eastAsia="Google Sans" w:hAnsi="Google Sans"/>
          <w:color w:val="1f1f1f"/>
          <w:rtl w:val="0"/>
        </w:rPr>
        <w:t xml:space="preserve"> Cursor must be instructed to default absolutely to React Server Components (RSC). All database interactions (such as querying the Prisma database stub for the 14 species) must occur on the server. The "use client" directive must be utilized exclusively at the leaf nodes for interactivity, specifically for the haptic feedback buttons, the ambient bushveld audio toggle, and the Framer Motion "Day in Eden" timeline animations.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Metadata API Rigor:</w:t>
      </w:r>
      <w:r w:rsidDel="00000000" w:rsidR="00000000" w:rsidRPr="00000000">
        <w:rPr>
          <w:rFonts w:ascii="Google Sans" w:cs="Google Sans" w:eastAsia="Google Sans" w:hAnsi="Google Sans"/>
          <w:color w:val="1f1f1f"/>
          <w:rtl w:val="0"/>
        </w:rPr>
        <w:t xml:space="preserve"> Cursor must not use the generateMetadata function on static pages; it must export static metadata objects. Conversely, for the /wildlife/[species]/page.tsx dynamic routes, it must utilize generateMetadata to fetch the specific species name, its scientific nomenclature, and its optimal caliber to dynamically construct highly specific Title tags, Descriptions, OpenGraph images, and Twitter Card schemas.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Programmatic Scaling (generateStaticParams):</w:t>
      </w:r>
      <w:r w:rsidDel="00000000" w:rsidR="00000000" w:rsidRPr="00000000">
        <w:rPr>
          <w:rFonts w:ascii="Google Sans" w:cs="Google Sans" w:eastAsia="Google Sans" w:hAnsi="Google Sans"/>
          <w:color w:val="1f1f1f"/>
          <w:rtl w:val="0"/>
        </w:rPr>
        <w:t xml:space="preserve"> To achieve the required speed, Cursor must rigorously apply the generateStaticParams function to the species database. This ensures that the 14 core entities—and their associated caliber permutations—are pre-built as static HTML during the build step, guaranteeing they are instantly delivered via the Vercel edge network.</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JSON-LD Utility Injection:</w:t>
      </w:r>
      <w:r w:rsidDel="00000000" w:rsidR="00000000" w:rsidRPr="00000000">
        <w:rPr>
          <w:rFonts w:ascii="Google Sans" w:cs="Google Sans" w:eastAsia="Google Sans" w:hAnsi="Google Sans"/>
          <w:color w:val="1f1f1f"/>
          <w:rtl w:val="0"/>
        </w:rPr>
        <w:t xml:space="preserve"> Instruct Cursor to build a global SchemaMarkup.tsx utility component. This component must dynamically construct deeply nested TouristAttraction &gt; LocalBusiness &gt; Accommodation schemas for the Residences, and Product schemas for the Firewood, injecting them safely into the DOM.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Dynamic Sitemap Generation:</w:t>
      </w:r>
      <w:r w:rsidDel="00000000" w:rsidR="00000000" w:rsidRPr="00000000">
        <w:rPr>
          <w:rFonts w:ascii="Google Sans" w:cs="Google Sans" w:eastAsia="Google Sans" w:hAnsi="Google Sans"/>
          <w:color w:val="1f1f1f"/>
          <w:rtl w:val="0"/>
        </w:rPr>
        <w:t xml:space="preserve"> Cursor must construct an asynchronous sitemap.ts file within the App Router. This script must dynamically map all programmatic species URLs, caliber comparison permutations, and the Radical Trust Hub tools. It must assign appropriate change frequencies and priority weights mathematically (e.g., Priority 1.0 for The Homestead, Priority 0.8 for Wildlife entities) to direct Googlebot’s crawl budget efficiently.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era of bloated, visually heavy safari websites relying purely on legacy reputation and generalized luxury imagery is ending. By executing this exhaustive framework, Miwesu Game Reserve will deploy an atomic-level SEO strategy. Leveraging the raw sub-second speed of Next.js 15, the semantic ownership of the "Conservation Harvest" narrative, and the algorithmic superiority of programmatic data engineering that encompasses ballistics, precise biology, and bespoke luxury, Miwesu will not merely compete. It will achieve absolute semantic hegemony. This architecture will render the digital footprints of Singita, Londolozi, and John X Safaris functionally obsolete, establishing the Iron Eden as the apex authority in the global safari and hunting industry.</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ind w:left="0" w:firstLine="0"/>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