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Technical SEO Implementation Plan for AS Brokers CC Digital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Architectural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and deployment of the digital platform for AS Brokers CC represents a sophisticated intersection of highly regulated South African financial services and advanced modern web architecture. Operating from Alberton in the East Rand of Gauteng, AS Brokers CC functions as an independent, authorized financial services provider operating under the regulatory oversight of the Financial Sector Conduct Authority with the license identifier FSP 17273.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defining competitive advantage and institutional differentiator for the brokerage is its possession of an FSCA Category 1.8 (Securities and Instruments: Shares) license.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specific regulatory classification legally permits the brokerage to distribute unlisted alternative private equity products, specifically aligning with the specialized portfolios managed by Everest Wealth Management under FSP 795.</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capture high-net-worth market share and establish algorithmic dominance within the South African wealth management sector, the platform's infrastructure is engineered utilizing the Next.js 15 framework via the App Router paradigm. The visual and interactive layers are constructed using Tailwind CSS v4 for utility-first, highly performant styling, Framer Motion for fluid layout animations, and Recharts for complex data visualization within the interactive calculator modules.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engineering mandate dictates an elite technical search engine optimization (SEO) strategy that ruthlessly prioritizes Googlebot crawlability, structured data integrity, and strict adherence to the React Server Components (RSC) architecture to optimize the First Contentful Paint (FCP) and the broader spectrum of Core Web Vitals.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the exhaustive, step-by-step implementation plan required prior to code execution. It details the precise file paths, component hierarchies, dynamic metadata configurations, and highly specialized compliance copy required to execute the platform's architectural strategy. The plan aligns strictly with the regulatory framework of the Financial Sector Conduct Authority (FSCA) and the tax codes governed by the South African Revenue Service (SARS), ensuring that all digital artifacts simultaneously build institutional trust and authoritative search engine visibility.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Landscape and Category 1.8 License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digital platform's authority rests on its compliance with South African financial regulations. Search engines, particularly in the post-Helpful Content Update era, apply rigorous "Your Money or Your Life" (YMYL) algorithms to financial websites. Trust is established not merely through content, but through verifiable, machine-readable regulatory credentials.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FSCA mandates stringent experience and qualification requirements for financial service providers operating under different license categories. The Category 1.8 license is specifically designated for "Securities and Instruments: Shares," which requires a minimum of two years of advice experience and one year of intermediary services experience.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license is the critical operational mechanism that allows AS Brokers CC to intermediate unlisted shares, a subcategory of financial products that typical Category I and Category II brokers are often not permitted to handle.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relationship with Everest Wealth Management (FSP 795) is central to the platform's product offering. Everest Wealth operates private equity vehicles, utilizing unlisted preference shares to distribute returns to investors.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digital architecture must systematically highlight this regulatory capacity, utilizing the Category 1.8 license as a primary keyword target and trust signal throughout the site's taxonomy.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Digital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FSP 17273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Brokers 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Category 1.8 (Securities &amp; Instruments: Shares)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domain trust signal, embedded in global JSON-LD schemas and site-wide footers.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FSP 795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Everest Wealth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Category I, II &amp; IIA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Third-party product authority signal, utilized on specific alternative investment product pages.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Albert Schuurman &amp; Johnny Farinha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Authorship and entity verification signals for Google's Knowledge Graph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Alberton, Gauteng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SEO anchoring for "independent financial advisor" queries within the East Rand.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Structured Data and Institutional Trust Engineering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highly scrutinized financial services sector, algorithmic crawlers rely extensively on structured data to verify the legitimacy, geographical footprint, and regulatory standing of an entity. To establish local SEO dominance in the East Rand and the broader Gauteng economic hub, the architecture mandates the programmatic implementation of global Organization and FinancialService JSON-LD schemas. These schemas must be injected at the highest level of the component tree, specifically within the Next.js 15 root layout.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Payload Specifications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schema acts as the definitive digital fingerprint for the institution. The payload will be constructed as a reusable, decoupled React Server Component. To ensure absolute security against Cross-Site Scripting (XSS) vulnerabilities, the implementation will utilize the dangerouslySetInnerHTML attribute while mathematically scrubbing malicious inputs by replacing the standard HTML bracket character with its Unicode equivalent.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structured data module, mapped to the filepath /components/seo/GlobalSchema.tsx, will be engineered to contain a highly specific array of verified data points. The legal name must be strictly encoded as AS Brokers CC, avoiding colloquial abbreviations to maintain exact-match consistency with the FSCA registry.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regulatory identifier, FSP 17273, serves as a non-negotiable trust parameter.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license number will be mapped to the schema's identifier and sameAs properties, establishing a direct semantic link to the official regulatory databases. Furthermore, the geographical coordinates and physical address localized to Alberton, East Rand, Gauteng, South Africa, will be embedded to capture high-intent, location-based search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founders, Albert Schuurman and Johnny Farinha, will be instantiated within the founder property, establishing personal entity authority that passes PageRank down to their authored insight articles.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Strategy via Root Layout Injection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pathway strictly utilizes TypeScript interfaces provided by community definition packages to ensure compile-time type safety for the JSON-LD structures.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enforcing the rendering of the schema purely on the server within the Next.js root layout, the JSON-LD payload is serialized directly into the initial HTML document payload. This architectural decision circumvents the reliance on search engine rendering engines to execute client-side JavaScript before discovering the firm's regulatory standing, thereby significantly accelerating the indexing phase.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directive requires that the GlobalSchema.tsx component is imported and evaluated directly within the DOM structure of the RootLayout function. This integration ensures an inherited baseline of institutional trust across every dynamic and static route generated by the application, systematically fortifying the domain's topical authority as a licensed South African financial entity.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Compliance-Driven Content Engineering and FAQPage Schemas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search algorithms disproportionately reward platforms that answer user queries with high precision, depth, and factual accuracy. To capture localized long-tail search traffic and provide absolute regulatory clarity, dynamic FAQPage JSON-LD schemas will be generated for the /calculators, /retirement, and individual Everest Wealth product routes.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copywriting strategy for these sections must transcend generic financial platitudes; it must anchor itself deeply in the macroeconomic realities of South Africa, complex tax legislation, and strict FSCA marketing guidelines.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Everest Wealth Tax Advantages: Dividends Withholding Tax vs. Marginal Rates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conversion driver for Everest Wealth's unlisted private equity products is the inherent tax efficiency of the underlying corporate structure. The FAQ schema specifically engineered for the Everest Wealth product landing page (designated at the filepath /app/products/everest-wealth/page.tsx) must explicitly and accurately contrast the taxation of corporate dividends against standard interest-bearing financial instruments.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engineered copy will directly address the taxation mechanisms applicable to these alternative investments. Returns generated from Everest Wealth's unlisted private equity portfolios are legally classified and distributed to investors in the form of dividends. Under current South African revenue laws, dividends paid to resident individuals by resident companies are subject to a flat 20% Dividends Withholding Tax (DWT).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narrative must highlight that this presents a profound tax arbitrage opportunity for high-net-worth individuals. Standard interest income, beyond the annual exemption thresholds, as well as salary remuneration, are taxed at the individual's marginal income tax rate, which scales up to a maximum bracket of 45%.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utilizing preference shares within the private equity legal structure, the net capital received post-DWT remains highly tax-efficient, legally preserving a larger portion of the investor's yield.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Income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Effective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Marginal Income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45%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Subject to R23,800 / R34,500 annual exemptions.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Excess is heavily taxed.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Private Equity Dividends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Dividends Withholding 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Flat 20%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Tax is withheld at source. Net receipts carry no further income tax liability.</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Gains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Gains Tax (CGT)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 to 18% (Individuals)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Applicable upon disposal of the asset, subject to annual exclusions.</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Constraints, Risk Mitigation, and Capital Preservation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Unlisted alternative private equity carries inherent structural liquidity constraints. To remain strictly compliant with FSCA marketing guidelines and prevent regulatory censure, these constraints must be transparently and explicitly documented. The FAQ infrastructure must outline the protective mechanisms that govern capital withdrawals, framing the illiquidity not as a detriment, but as a deliberate structural feature designed to protect the underlying physical and operational assets of the fund.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copy will explicitly state that Everest Wealth investment portfolios are engineered for long-term capital growth and utilize unlisted private equity instruments, which are, by definition, illiquid assets.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platform must clarify that redemptions on voluntary capital products are not an automatic investor right; rather, they are subject to the absolute discretion of the security issuer. If an exceptional early withdrawal is approved by the holding company, the investor is subject to a mandatory, non-negotiable 120-day notice period.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to protect the financial integrity of the fund and prevent sudden liquidity crunches that could harm remaining shareholders, a punitive early exit penalty of up to 15% of the capital amount will be legally applied to all premature redemptions.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Embedding these exact figures into the FAQPage schema ensures that Google surfaces these critical disclaimers directly in the search engine results pages (SERPs), establishing unparalleled transparency.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Investment Thresholds and Programmatic Validation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the sales pipeline, ensure lead qualification, and maintain regulatory compliance, the minimum investment thresholds must be explicitly communicated in the frontend copy and enforced programmatically on the backend. The narrative must state that participation in the Everest Wealth Strategic Growth or Onyx Income portfolios requires a strict minimum lump-sum investment threshold of R100,000.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technical implementation layer, the contact interfaces and lead generation forms, centrally located at /components/forms/InvestmentLeadForm.tsx, will utilize a Zod validation schema. This mathematical validation layer will ensure that the investmentAmount integer field evaluates to false and blocks submission if it receives values below 100000. This seamless integration between front-end user experience, server-side validation, and SEO-facing structured data ensures absolute consistency across the digital ecosystem, preventing the sales team from dedicating resources to unqualified leads.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Metadata and High-Value Keyword Targeting Strategy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Next.js 15 architecture provides a highly robust generateMetadata API specifically designed for integration with React Server Components. This API allows for the programmatic and dynamic injection of title tags, meta descriptions, canonical URLs, and Open Graph parameters based on real-time data fetching.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architectural plan dictates the orchestration of this API across all dynamic routes to intercept high-value, industry-specific long-tail keywords identified during the market research phase.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Keyword Mapping and Intent Interception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queries within the South African wealth management sector exhibit distinct, high-intent patterns. The metadata configuration must be systematically engineered to capture these localized and highly sophisticated search strings.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localized target is the phrase "independent financial advisor Alberton".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keyword will be the core focus of the static metadata objects exported from the /app/about/page.tsx and /app/contact/page.tsx routes. By explicitly featuring this exact-match string in the &lt;title&gt; and &lt;meta name="description"&gt; tags, the platform will signal hyper-relevance to Google's local search algorithms, securing visibility for users seeking in-person financial consultations within the East Rand.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specialized product offerings, the metadata strategy shifts to targeting "alternative private equity investments South Africa" and "Everest Wealth brokers".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generateMetadata function governing the /app/products/everest-wealth/page.tsx route will construct titles that position AS Brokers CC as the premier, licensed conduit for these specific unlisted alternative assets. This leverages the established brand recognition of Everest Wealth while simultaneously capturing broader queries related to South African private equity.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attract sophisticated investors conducting deep due diligence, the architecture incorporates the highly technical keyword "Code 1.8 FSP license broker".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phrasing will be embedded within the metadata of the /app/regulatory-compliance/page.tsx route and the foundational homepage layout. The presence of this technical identifier signals to both search engines and institutional clients that the brokerage possesses the advanced legal capacity required to distribute unlisted shares.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Semigration Demographic and Western Cape Property Dynamics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massive, sustained demographic shift is currently altering the distribution of wealth in South Africa. Referred to colloquially as "semigration," large numbers of high-net-worth individuals (HNWIs) and affluent families are permanently relocating from the inland economic hub of Gauteng to the coastal municipalities of the Western Cape.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migration is driven by desires for superior municipal governance, lifestyle upgrades, and energy resilience, and it represents a massive transfer of investable capital.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metadata and content strategy for the retirement planning pages must be aggressively engineered to intercept queries from this specific demographic. By targeting keywords such as "semigration" and "retirement villages western cape", the platform capitalizes on the research phase of this life transition.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routes /app/insights/semigration-retirement/page.tsx and /app/retirement/page.tsx will utilize dynamic metadata to position AS Brokers CC as the essential financial bridge for clients transitioning their assets from Gauteng to coastal retirement estates in nodes like Hermanus, George, and the Cape Winelands.</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Keyword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Search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Application Route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Implementation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"independent financial advisor Alberton"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high-intent consultation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/app/about/page.tsx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export; embedded in &lt;title&gt; and localized Open Graph descriptions.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"alternative private equity investments South Africa"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Research and product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/app/products/everest-wealth/page.tsx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generation; combined with specific yield data to drive SERP click-through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1.8 FSP license broker"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Institutional and advanced due diligence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/app/regulatory-compliance/page.tsx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export; utilized as a primary authority signal in the meta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"semigration retirement villages western 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HNWI lifestyle transition and capital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/app/retirement/page.tsx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generation; integrated into insight articles discussing the financial mechanics of coastal relocation.</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SEO, Rendering Performance, and Core Web Vitals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architecture of Next.js 15 represents a paradigm shift in web development by utilizing React Server Components (RSCs) as the absolute default rendering state.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technical evolution is paramount for enterprise-grade SEO, as it eliminates the massive client-side rendering tax that traditionally impaired the crawlability and indexing speed of highly interactive Single Page Applications.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Enforcement of React Server Components (RSC)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directive mandates that all application pages containing heavy text payloads, regulatory disclosures, comprehensive FAQs, and JSON-LD structured data schemas must default entirely to the React Server Component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executing the rendering logic on the server infrastructure, the application delivers a fully formed, completely serialized HTML document directly to the client browser.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server-first strategy guarantees that the Googlebot crawler immediately parses the institutional trust signals, FAQ schemas, and keyword-rich copy upon the initial HTTP request, entirely bypassing the need to queue the page for expensive JavaScript execution. Furthermore, this approach drastically reduces the main thread blocking time on the user's device, thereby optimizing critical performance metrics. Specifically, the First Contentful Paint (FCP) and the Largest Contentful Paint (LCP)—both of which are core components of the Core Web Vitals algorithms that heavily dictate search rankings—are dramatically accelerated.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Delineation of Client Component Boundaries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server-side rendering is optimal for SEO, a modern financial platform requires rich interactivity to engage users. The architecture therefore demands a highly disciplined, surgical approach to the 'use client' directive. Client boundaries must be pushed to the absolute furthest leaf nodes of the React component tree.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 layouts, primary navigation wrappers, heavy typographical bodies, and FAQPage structured data components will remain strictly server-rendered. The 'use client' directive will be isolated exclusively to highly interactive, state-dependent micro-modules. Specifically, this applies to the Recharts graph components utilized within the /calculators routes to visually model compound interest trajectories and nuanced annuity drawdown rates. It also applies to the specific Framer Motion wrapper components responsible for executing layout transitions and interactive hover states.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isolating the client boundaries, the total JavaScript bundle size compiled and shipped over the network to the user's browser is fundamentally minimized. This critical architectural constraint ensures that the heavy execution dependencies of libraries like Recharts do not pollute the rendering critical path of the primary SEO landing pages, thereby maintaining peak Lighthouse performance scores across the entire digital platform.</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Performance, and Vestibular Sensitivities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Achieving a perfect Lighthouse accessibility score is no longer merely an ethical objective; it is a baseline technical requirement for modern digital platforms, directly impacting both user retention and algorithmic SEO rankings. The integration of Tailwind CSS v4 alongside Framer Motion provides the engineering team with powerful aesthetic capabilities, enabling the creation of continuous ambient gradient orbs and complex parallax scrolling animations. However, these advanced visual effects present a significant physiological risk: they can trigger severe discomfort for users diagnosed with vestibular spectrum disorders, leading to acute motion sickness, dizziness, and spatial disorientation.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Implementation of prefers-reduced-motion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rigorous accessibility compliance and protect the user experience, all animated components across the AS Brokers CC platform must natively detect and respect the operating system's prefers-reduced-motion settings.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architecture will utilize Framer Motion's global &lt;MotionConfig&gt; provider at the highest level of the component tree within the root layout. By explicitly setting the reducedMotion property to the "user" parameter, the framework intercepts the user's system preferences.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import { MotionConfig } from "framer-motion";</w:t>
        <w:br w:type="textWrapping"/>
        <w:br w:type="textWrapping"/>
        <w:t xml:space="preserve">export function Providers({ children }) {</w:t>
        <w:br w:type="textWrapping"/>
        <w:t xml:space="preserve">  return (</w:t>
        <w:br w:type="textWrapping"/>
        <w:t xml:space="preserve">    &lt;MotionConfig reducedMotion="user"&gt;</w:t>
        <w:br w:type="textWrapping"/>
        <w:t xml:space="preserve">      {children}</w:t>
        <w:br w:type="textWrapping"/>
        <w:t xml:space="preserve">    &lt;/MotionConfig&gt;</w:t>
        <w:br w:type="textWrapping"/>
        <w:t xml:space="preserve">  );</w:t>
        <w:br w:type="textWrapping"/>
        <w:t xml:space="preserve">}</w:t>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configuration automatically and programmatically disables complex layout recalculations and spatial transform animations for any user who has flagged a preference for reduced motion at the OS level (e.g., via Windows Accessibility settings, macOS Display settings, or iOS Motion settings). The interface will seamlessly fall back to simple, instantaneous opacity transitions. This ensures that the platform remains fully functional and visually coherent without causing vestibular distress.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purely CSS-driven animations, particularly the continuous, slow-moving ambient gradient orbs designed to provide a modern background aesthetic, Tailwind CSS v4's native motion-reduce utility variants will be deployed.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Alternatively, a global CSS override utilizing the standard @media (prefers-reduced-motion: reduce) query will be implemented in the global stylesheet.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@media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prefers-reduced-motion</w:t>
      </w:r>
      <w:r w:rsidDel="00000000" w:rsidR="00000000" w:rsidRPr="00000000">
        <w:rPr>
          <w:rFonts w:ascii="Google Sans" w:cs="Google Sans" w:eastAsia="Google Sans" w:hAnsi="Google Sans"/>
          <w:color w:val="1f1f1f"/>
          <w:shd w:fill="f0f4f9" w:val="clear"/>
          <w:rtl w:val="0"/>
        </w:rPr>
        <w:t xml:space="preserve">: reduce)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.ambient-orb-animation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none</w:t>
      </w:r>
      <w:r w:rsidDel="00000000" w:rsidR="00000000" w:rsidRPr="00000000">
        <w:rPr>
          <w:rFonts w:ascii="Google Sans" w:cs="Google Sans" w:eastAsia="Google Sans" w:hAnsi="Google Sans"/>
          <w:i w:val="0"/>
          <w:iCs w:val="0"/>
          <w:color w:val="1967d2"/>
          <w:sz w:val="20"/>
          <w:szCs w:val="20"/>
          <w:shd w:fill="f0f4f9" w:val="clear"/>
          <w:rtl w:val="0"/>
        </w:rPr>
        <w:t xml:space="preserve">!important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transform</w:t>
      </w:r>
      <w:r w:rsidDel="00000000" w:rsidR="00000000" w:rsidRPr="00000000">
        <w:rPr>
          <w:rFonts w:ascii="Google Sans" w:cs="Google Sans" w:eastAsia="Google Sans" w:hAnsi="Google Sans"/>
          <w:color w:val="1f1f1f"/>
          <w:shd w:fill="f0f4f9" w:val="clear"/>
          <w:rtl w:val="0"/>
        </w:rPr>
        <w:t xml:space="preserve">: none</w:t>
      </w:r>
      <w:r w:rsidDel="00000000" w:rsidR="00000000" w:rsidRPr="00000000">
        <w:rPr>
          <w:rFonts w:ascii="Google Sans" w:cs="Google Sans" w:eastAsia="Google Sans" w:hAnsi="Google Sans"/>
          <w:i w:val="0"/>
          <w:iCs w:val="0"/>
          <w:color w:val="1967d2"/>
          <w:sz w:val="20"/>
          <w:szCs w:val="20"/>
          <w:shd w:fill="f0f4f9" w:val="clear"/>
          <w:rtl w:val="0"/>
        </w:rPr>
        <w:t xml:space="preserve">!important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none</w:t>
      </w:r>
      <w:r w:rsidDel="00000000" w:rsidR="00000000" w:rsidRPr="00000000">
        <w:rPr>
          <w:rFonts w:ascii="Google Sans" w:cs="Google Sans" w:eastAsia="Google Sans" w:hAnsi="Google Sans"/>
          <w:i w:val="0"/>
          <w:iCs w:val="0"/>
          <w:color w:val="1967d2"/>
          <w:sz w:val="20"/>
          <w:szCs w:val="20"/>
          <w:shd w:fill="f0f4f9" w:val="clear"/>
          <w:rtl w:val="0"/>
        </w:rPr>
        <w:t xml:space="preserve">!important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aggressively and programmatically disabling non-essential decorative animations and respecting user preferences at the hardware level, the platform secures flawless accessibility scores, mitigates high bounce rates caused by physiological discomfort, and aligns completely with elite, inclusive web development standards.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Siloing and Internal Linking Taxonomy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deep, unassailable topical authority within the highly competitive South African financial services niche, the platform architecture employs a strategic internal linking taxonomy known as semantic siloing. This methodology connects top-of-funnel, highly interactive educational tools (such as financial calculators) directly to bottom-of-funnel, high-conversion service pages. This programmatic structure efficiently passes PageRank throughout the domain and establishes dense contextual relevance for algorithmic crawlers.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Silo 1: Retirement Planning to the Amethyst Living Annuity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will feature a highly interactive "Retirement Reality Calculator" located at the filepath /app/calculators/retirement/page.tsx. This client-side tool allows users to manipulate inputs regarding their current accumulated savings, expected inflation metrics, and desired monthly income to visually project the longevity of their retirement capital using Recharts.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results interface of this calculator will feature a dynamically generated call-to-action that bridges the user directly to the Everest Wealth "Amethyst Living Annuity" product page (/app/products/amethyst-living-annuity/page.tsx). The anchor text and surrounding contextual copy will explicitly detail the specific regulatory mechanics of the product to establish immediate semantic relevance.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contextual bridge copy will articulate that, unlike pre-retirement preservation funds which are strictly governed by Regulation 28 of the Pension Funds Act, the Amethyst Living Annuity operates under the Long-term Insurance Act and FSCA regulations.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Consequently, the annuity is not restricted by mandated offshore allocation limits (previously capped at 45%) or maximum equity exposure caps.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narrative will emphasize that the product provides total investment flexibility, allowing the retiree to legally select an annual income drawdown rate situated anywhere between the statutory minimum of 2.5% and the maximum ceiling of 17.5% of their remaining capital value.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linking strategy connects the abstract concept of a retirement cash-flow shortfall directly to a highly specific, regulatory-compliant product solution, signaling to search engines that AS Brokers CC provides comprehensive wealth management architecture.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Silo 2: Estate Duty Mitigation to Annual Reduction Strategies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semantic silo centers around the complexities of generational wealth transfer. The "Estate Duty Calculator" (/app/calculators/estate-duty/page.tsx) will allow high-net-worth users to estimate the severe tax liabilities payable to SARS upon death.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theoretical liability is calculated and visualized, the user interface will present a strategic mitigation pathway, seamlessly linking to the "Annual Estate Reduction Strategy" advisory page (/app/services/fiduciary/estate-planning/page.tsx).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contextual bridge copy will explain that mitigating severe estate duty liabilities requires systematic, proactive capital reduction during the client's lifetime. A highly effective and fully legal mechanism is the utilization of the SARS annual donations tax exemption. The copy will explicitly state that South African tax residents are permitted to donate up to R100,000 per individual, or R200,000 per married couple, every single tax year entirely free from the punitive flat 20% donations tax.</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to demonstrate elite domain expertise and forward-looking financial awareness, the copy will note the recent legislative adjustments proposed in the 2026 National Budget, which seek to increase the individual annual exemption threshold to R150,000.</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weaving these highly specific numerical thresholds (R100,000 / R200,000) and upcoming 2026 legislative shifts directly into the linking context, the architecture establishes deep semantic relevance for search queries related to "SARS donations tax exemptions" and "estate planning strategies South Africa," capturing users at the highest point of commercial intent.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Origin (Top of Funnel)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Bridge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Destination (Bottom of Funnel)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SEO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/calculators/retirement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Non-Regulation 28; 2.5% to 17.5% drawdown flexibility.</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/products/amethyst-living-annuity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Links retirement longevity queries directly to specific annuity products.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/calculators/estate-duty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SARS R100,000/R200,000 donations tax exemptions; 2026 budget updates.</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/services/fiduciary/estate-planning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Connects tax liability fears to actionable, legally compliant fiduciary services.</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Implementation and File Generation Plan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architecture flawlessly within the strict parameters of the Next.js 15 App Router environment, the following comprehensive, phased file generation plan must be approved before any code is synthesized. This plan maps exactly to the project constraints and the required operational taxonomy.</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Global Configuration and Algorithmic Trust Signals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/app/layout.tsx</w:t>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Implement the root HTML document shell. Configure the base Metadata object utilizing the new Next.js 15 API, specifically implementing the %s | AS Brokers CC title template to ensure brand consistency across all dynamically generated routes. Wrap the application children in the Framer Motion &lt;MotionConfig reducedMotion="user"&gt; provider to globally enforce vestibular accessibility standards.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/components/seo/GlobalSchema.tsx</w:t>
      </w:r>
    </w:p>
    <w:p w:rsidR="00000000" w:rsidDel="00000000" w:rsidP="00000000" w:rsidRDefault="00000000" w:rsidRPr="00000000" w14:paraId="0000009A">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Construct the reusable React Server Component returning the overarching Organization and FinancialService JSON-LD payload. Implement strict HTML entity escaping (\u003c) to permanently neutralize XSS injection vectors.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Hardcode the required FSP 17273 identifier, founder entities, and Alberton locational data to establish the foundational SEO trust baseline.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Dynamic Metadata and Top-Level Routing</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/app/about/page.tsx</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Implement a static metadata export specifically engineering the &lt;title&gt; and Open Graph descriptors to target the "independent financial advisor Alberton" search query, capturing local East Rand traffic.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/app/regulatory-compliance/page.tsx</w:t>
      </w:r>
    </w:p>
    <w:p w:rsidR="00000000" w:rsidDel="00000000" w:rsidP="00000000" w:rsidRDefault="00000000" w:rsidRPr="00000000" w14:paraId="0000009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Implement static metadata aggressively targeting the "Code 1.8 FSP license broker" keyword. The on-page content must detail the specific legal capacity of the brokerage to distribute unlisted shares, satisfying institutional due diligence requirements.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/app/insights/semigration-retirement/page.tsx</w:t>
      </w:r>
    </w:p>
    <w:p w:rsidR="00000000" w:rsidDel="00000000" w:rsidP="00000000" w:rsidRDefault="00000000" w:rsidRPr="00000000" w14:paraId="000000A1">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Utilize the asynchronous generateMetadata API to construct dynamic title tags targeting "semigration" and "retirement villages western cape". The associated content will capitalize on the documented demographic shift of HNWIs moving from Gauteng to coastal regions, positioning the firm to capture migrating capital.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Product Architectures, FAQ Schemas, and Zod Validations</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/app/products/everest-wealth/page.tsx</w:t>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Build the highly optimized, server-rendered landing page detailing unlisted alternative private equity.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Programmatically generate and inject the specific FAQPage JSON-LD schema. This schema must explicitly outline the 20% DWT tax advantage over the 45% marginal rates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strictly document the 120-day notice period alongside the 15% early exit penalty for voluntary products to ensure FSCA compliance.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/app/products/amethyst-living-annuity/page.tsx</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Detail the specific advantages of the product's non-compliance with Regulation 28, the statutory 2.5% to 17.5% flexible drawdown rates, and the targeted return metrics.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Include the corresponding, precisely mapped FAQPage schema to dominate SERP real estate for annuity-related queries.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/lib/validations/investmentSchema.ts</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Create the core TypeScript Zod validation schema. This file will ensure the R100,000 minimum investment threshold is mathematically enforced on all Everest Wealth lead generation forms, rejecting non-compliant inputs before they reach the server execution context.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Interactive Client Boundaries and Semantic Siloing</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/app/calculators/retirement/page.tsx</w:t>
      </w:r>
    </w:p>
    <w:p w:rsidR="00000000" w:rsidDel="00000000" w:rsidP="00000000" w:rsidRDefault="00000000" w:rsidRPr="00000000" w14:paraId="000000A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Implement the "Retirement Reality Calculator". Ensure the heavy Recharts visualization logic is strictly isolated within a child component marked with the 'use client' directive to protect the FCP of the parent route.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Implement the semantic internal link bridging directly to the Amethyst Living Annuity product page.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/app/calculators/estate-duty/page.tsx</w:t>
      </w:r>
    </w:p>
    <w:p w:rsidR="00000000" w:rsidDel="00000000" w:rsidP="00000000" w:rsidRDefault="00000000" w:rsidRPr="00000000" w14:paraId="000000AD">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Implement the interactive Estate Duty calculator. Inject the contextual bridge copy linking to the estate reduction strategy, explicitly detailing the R100,000/R200,000 SARS annual donations tax exemptions to finalize the semantic silo.</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Global CSS and Accessibility Auditing</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File:</w:t>
      </w:r>
      <w:r w:rsidDel="00000000" w:rsidR="00000000" w:rsidRPr="00000000">
        <w:rPr>
          <w:rFonts w:ascii="Google Sans" w:cs="Google Sans" w:eastAsia="Google Sans" w:hAnsi="Google Sans"/>
          <w:color w:val="1f1f1f"/>
          <w:rtl w:val="0"/>
        </w:rPr>
        <w:t xml:space="preserve"> /styles/globals.css (or equivalent Tailwind CSS v4 root configuration)</w:t>
      </w:r>
    </w:p>
    <w:p w:rsidR="00000000" w:rsidDel="00000000" w:rsidP="00000000" w:rsidRDefault="00000000" w:rsidRPr="00000000" w14:paraId="000000B0">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1110" w:hanging="360"/>
      </w:pPr>
      <w:r w:rsidDel="00000000" w:rsidR="00000000" w:rsidRPr="00000000">
        <w:rPr>
          <w:rFonts w:ascii="Google Sans" w:cs="Google Sans" w:eastAsia="Google Sans" w:hAnsi="Google Sans"/>
          <w:b w:val="1"/>
          <w:bCs w:val="1"/>
          <w:color w:val="1f1f1f"/>
          <w:rtl w:val="0"/>
        </w:rPr>
        <w:t xml:space="preserve">Architectural Action:</w:t>
      </w:r>
      <w:r w:rsidDel="00000000" w:rsidR="00000000" w:rsidRPr="00000000">
        <w:rPr>
          <w:rFonts w:ascii="Google Sans" w:cs="Google Sans" w:eastAsia="Google Sans" w:hAnsi="Google Sans"/>
          <w:color w:val="1f1f1f"/>
          <w:rtl w:val="0"/>
        </w:rPr>
        <w:t xml:space="preserve"> Implement the global @media (prefers-reduced-motion: reduce) overrides. Ensure all complex Framer Motion ambient gradient orbs and decorative layout shifts are hooked into CSS variables that immediately and ruthlessly disable their visual execution for users with vestibular sensitivities, securing a flawless technical audit score.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architectural blueprint ensures that AS Brokers CC will possess a digital infrastructure that is not only incredibly fast, highly accessible, and visually compelling, but deeply, systematically integrated with South African financial regulations and elite technical SEO strategies. Await approval of this phased plan before initiating the multi-file code generation sequence.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AS Brokers, accessed March 6, 2026, </w:t>
      </w:r>
      <w:hyperlink r:id="rId6">
        <w:r w:rsidDel="00000000" w:rsidR="00000000" w:rsidRPr="00000000">
          <w:rPr>
            <w:rFonts w:ascii="Google Sans" w:cs="Google Sans" w:eastAsia="Google Sans" w:hAnsi="Google Sans"/>
            <w:color w:val="0000ee"/>
            <w:sz w:val="24"/>
            <w:szCs w:val="24"/>
            <w:u w:val="single"/>
            <w:rtl w:val="0"/>
          </w:rPr>
          <w:t xml:space="preserve">https://www.asbrokers.co.za/contact-8</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Registered FSPs - Council for Medical Schemes, accessed March 6, 2026, </w:t>
      </w:r>
      <w:hyperlink r:id="rId7">
        <w:r w:rsidDel="00000000" w:rsidR="00000000" w:rsidRPr="00000000">
          <w:rPr>
            <w:rFonts w:ascii="Google Sans" w:cs="Google Sans" w:eastAsia="Google Sans" w:hAnsi="Google Sans"/>
            <w:color w:val="0000ee"/>
            <w:sz w:val="24"/>
            <w:szCs w:val="24"/>
            <w:u w:val="single"/>
            <w:rtl w:val="0"/>
          </w:rPr>
          <w:t xml:space="preserve">https://www.medicalschemes.com/files/Guidelines%20and%20Manuals/RgstrFSPs20161122.xlsx</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FSP 2 - Page 1 of 3 - LICENCE CATEGORIES, accessed March 6, 2026, </w:t>
      </w:r>
      <w:hyperlink r:id="rId8">
        <w:r w:rsidDel="00000000" w:rsidR="00000000" w:rsidRPr="00000000">
          <w:rPr>
            <w:rFonts w:ascii="Google Sans" w:cs="Google Sans" w:eastAsia="Google Sans" w:hAnsi="Google Sans"/>
            <w:color w:val="0000ee"/>
            <w:sz w:val="24"/>
            <w:szCs w:val="24"/>
            <w:u w:val="single"/>
            <w:rtl w:val="0"/>
          </w:rPr>
          <w:t xml:space="preserve">https://fais-compliance.co.za/doc/FSP2_-_2011.pdf</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by financial services providers for authorisation - South African Government,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https://www.gov.za/sites/default/files/gcis_document/201409/33730163.pdf</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Growth Portfolio - Everest Wealth,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https://everestwealth.co.za/wp-content/uploads/2024/02/Strategic-Growth-Portfolio-March-2024.pdf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Onyx_Brochure_A3 V3 09-05_Print - Everest Wealth,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https://everestwealth.co.za/wp-content/uploads/2024/05/Onyx_Brochure_A3-V3-09-05_Print.pdf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Server and Client Components - Next.js,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https://nextjs.org/docs/app/getting-started/server-and-client-components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Modern Application 2025: A Complete Guide for Next.js 15, React 19, Tailwind CSS v4, and Shadcn. - Medium,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https://medium.com/@dilit/building-a-modern-application-2025-a-complete-guide-for-next-js-1b9f278df10c</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SEO: Complete Guide to Metadata &amp; Optimization,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https://www.digitalapplied.com/blog/nextjs-seo-guide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 Documents Template - FSCA,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https://www.fsca.co.za/_api/cr3ad_regulatedentitiesdocuments(6046899c-cadf-f011-8544-7ced8d771bb0)/cr3ad_document/$value</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Experience Requirements - Masthead,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https://www.masthead.co.za/wp-content/uploads/2018/02/MINIMUM-EXPERIENCE.pdf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JSON-LD - Next.js,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https://nextjs.org/docs/app/guides/json-ld</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Aghefendi/nextjs-jsonld-schema - GitHub,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https://github.com/Aghefendi/nextjs-jsonld-schema</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Dividends vs Interests digital - Everest Wealth,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https://everestwealth.co.za/wp-content/uploads/2025/07/Dividends-vs-Interests-digital.pdf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Interest and Dividends | South African Revenue Service,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https://www.sars.gov.za/tax-rates/income-tax/interest-and-dividends/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 Corporate - Withholding taxes - Worldwide Tax Summaries Online,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https://taxsummaries.pwc.com/south-africa/corporate/withholding-taxes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Dividend Taxation in South Africa | Rates, Rules &amp; Examples,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https://anlo.co.za/blogs-and-articles/understanding-dividend-taxation-in-south-africa</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 KPMG agentic corporate services,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https://assets.kpmg.com/content/dam/kpmg/za/pdf/2017/12/South%20Africa%20Fiscal%20Guide%202017_18.pdf</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INVESTMENT - Everest Wealth,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https://everestwealth.co.za/wp-content/uploads/2025/07/FAQ.pdf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Budget Guide 2026/2027 - KPMG agentic corporate services,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https://assets.kpmg.com/content/dam/kpmgsites/za/pdf/2026/02/SA%20Budget%20Guide%202026.pdf</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Everest Wealth Takes a Different Path — And Why It Works - AS Brokers,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https://www.asbrokers.co.za/post/why-everest-wealth-takes-a-different-path-and-why-it-works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generateMetadata - Next.js,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https://nextjs.org/docs/app/api-reference/functions/generate-metadata</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Semigration into the Western Cape bodes well for the property market - Property24,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https://www.property24.com/articles/semigration-into-the-western-cape-bodes-well-for-the-property-market/32154</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Millionaire Moves | Africa Wealth Report 2025 - Henley &amp; Partners,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https://www.henleyglobal.com/publications/africa-wealth-report-2025/what-moves-millionaires-africa</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Goodbye Cape Town – reverse semigration shift gaining momentum - BusinessTech,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https://businesstech.co.za/news/property/849951/goodbye-cape-town-reverse-semigration-shift-gaining-momentum/</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Semigration - GTC,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https://gtc.co.za/asset-management-semigration/</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Retirement Property in the Western Cape: What Buyers Are Looking for in 2026,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https://darlinggreen.co.za/retirement-property-in-the-western-cape-what-buyers-are-looking-for-in-2026/</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dynamics and uniqueness of semigration to hermanus from across South Africa,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https://www.researchgate.net/publication/371953029_The_dynamics_and_uniqueness_of_semigration_to_hermanus_from_across_South_Africa</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 foreigners are flocking to these South African towns for retirement – and here's why - BusinessTech,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https://businesstech.co.za/news/lifestyle/808262/rich-foreigners-are-flocking-to-these-south-african-towns-for-retirement-and-heres-why/</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prefers-reduced-motion - CSS | MDN - Mozilla,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https://developer.mozilla.org/en-US/docs/Web/CSS/Reference/At-rules/@media/prefers-reduced-motion</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prefers-reduced-motion: Sometimes less movement is more | Articles - web.dev,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https://web.dev/articles/prefers-reduced-motion</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accessible animations in React — Guide - Motion,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https://motion.dev/docs/react-accessibility</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change the `prefers-reduced-motion` setting in browsers? - Stack Overflow,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https://stackoverflow.com/questions/59708960/how-do-i-change-the-prefers-reduced-motion-setting-in-browsers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accessible animation and movement with code examples - Pope Tech Blog,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https://blog.pope.tech/2025/12/08/design-accessible-animation-and-movement/</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Smooth Motion Animations with Tailwind CSS - Strapi,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https://strapi.io/blog/create-strapi-motion-animations-tailwind-css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Living Annuities | 10X Investments,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https://www.10x.co.za/library/faq-living-annuities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Annuities: Adjust Your Drawdown Rate to Maximise Retirement Income,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https://www.10x.co.za/blog/living-annuities-adjust-your-drawdown-rate-to-maximise-retirement-income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Retiring With Control And Flexibility: Living Annuities In A Nutshell - 10X Investments,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https://www.10x.co.za/blog/retiring-with-control-and-flexibility-living-annuities-in-a-nutshell</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Amethyst Living Annuity - Everest Wealth,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https://everestwealth.co.za/wp-content/uploads/2024/05/Amethyst_Brochure_v4_20_05.pdf</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Annuity - Everest Wealth,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https://everestwealth.co.za/wp-content/uploads/2023/05/EVEREST_Living-Annuity-Booklet_2022_7-Pages.pdf</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donations and exemptions - Crue Invest, accessed March 6, 2026, </w:t>
      </w:r>
      <w:hyperlink r:id="rId46">
        <w:r w:rsidDel="00000000" w:rsidR="00000000" w:rsidRPr="00000000">
          <w:rPr>
            <w:rFonts w:ascii="Google Sans" w:cs="Google Sans" w:eastAsia="Google Sans" w:hAnsi="Google Sans"/>
            <w:color w:val="0000ee"/>
            <w:sz w:val="24"/>
            <w:szCs w:val="24"/>
            <w:u w:val="single"/>
            <w:rtl w:val="0"/>
          </w:rPr>
          <w:t xml:space="preserve">https://crue.co.za/understanding-donations-and-exemptions/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Donations and Tax | TaxTim Blog SA, accessed March 6, 2026, </w:t>
      </w:r>
      <w:hyperlink r:id="rId47">
        <w:r w:rsidDel="00000000" w:rsidR="00000000" w:rsidRPr="00000000">
          <w:rPr>
            <w:rFonts w:ascii="Google Sans" w:cs="Google Sans" w:eastAsia="Google Sans" w:hAnsi="Google Sans"/>
            <w:color w:val="0000ee"/>
            <w:sz w:val="24"/>
            <w:szCs w:val="24"/>
            <w:u w:val="single"/>
            <w:rtl w:val="0"/>
          </w:rPr>
          <w:t xml:space="preserve">https://www.taxtim.com/za/blog/faqs-donations-and-tax</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donations tax and tax exemptions work - Crue Invest, accessed March 6, 2026, </w:t>
      </w:r>
      <w:hyperlink r:id="rId48">
        <w:r w:rsidDel="00000000" w:rsidR="00000000" w:rsidRPr="00000000">
          <w:rPr>
            <w:rFonts w:ascii="Google Sans" w:cs="Google Sans" w:eastAsia="Google Sans" w:hAnsi="Google Sans"/>
            <w:color w:val="0000ee"/>
            <w:sz w:val="24"/>
            <w:szCs w:val="24"/>
            <w:u w:val="single"/>
            <w:rtl w:val="0"/>
          </w:rPr>
          <w:t xml:space="preserve">https://crue.co.za/donations-tax-and-tax-exemptions-heres-how-it-works/</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Budget: A good news story - Allan Gray, accessed March 6, 2026, </w:t>
      </w:r>
      <w:hyperlink r:id="rId49">
        <w:r w:rsidDel="00000000" w:rsidR="00000000" w:rsidRPr="00000000">
          <w:rPr>
            <w:rFonts w:ascii="Google Sans" w:cs="Google Sans" w:eastAsia="Google Sans" w:hAnsi="Google Sans"/>
            <w:color w:val="0000ee"/>
            <w:sz w:val="24"/>
            <w:szCs w:val="24"/>
            <w:u w:val="single"/>
            <w:rtl w:val="0"/>
          </w:rPr>
          <w:t xml:space="preserve">https://www.allangray.co.za/latest-insights/personal-investing/2026-budget-a-good-news-story/</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Highlights from the budget speech - FISA, accessed March 6, 2026, </w:t>
      </w:r>
      <w:hyperlink r:id="rId50">
        <w:r w:rsidDel="00000000" w:rsidR="00000000" w:rsidRPr="00000000">
          <w:rPr>
            <w:rFonts w:ascii="Google Sans" w:cs="Google Sans" w:eastAsia="Google Sans" w:hAnsi="Google Sans"/>
            <w:color w:val="0000ee"/>
            <w:sz w:val="24"/>
            <w:szCs w:val="24"/>
            <w:u w:val="single"/>
            <w:rtl w:val="0"/>
          </w:rPr>
          <w:t xml:space="preserve">https://www.fisa.net.za/highlights-from-the-budget-speech/</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to CGT, tax-free savings, retirement contributions, and donations, accessed March 6, 2026, </w:t>
      </w:r>
      <w:hyperlink r:id="rId51">
        <w:r w:rsidDel="00000000" w:rsidR="00000000" w:rsidRPr="00000000">
          <w:rPr>
            <w:rFonts w:ascii="Google Sans" w:cs="Google Sans" w:eastAsia="Google Sans" w:hAnsi="Google Sans"/>
            <w:color w:val="0000ee"/>
            <w:sz w:val="24"/>
            <w:szCs w:val="24"/>
            <w:u w:val="single"/>
            <w:rtl w:val="0"/>
          </w:rPr>
          <w:t xml:space="preserve">https://www.moonstone.co.za/changes-to-cgt-tax-free-savings-retirement-contributions-and-donations/</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Metadata and OG images - Next.js, accessed March 6, 2026, </w:t>
      </w:r>
      <w:hyperlink r:id="rId52">
        <w:r w:rsidDel="00000000" w:rsidR="00000000" w:rsidRPr="00000000">
          <w:rPr>
            <w:rFonts w:ascii="Google Sans" w:cs="Google Sans" w:eastAsia="Google Sans" w:hAnsi="Google Sans"/>
            <w:color w:val="0000ee"/>
            <w:sz w:val="24"/>
            <w:szCs w:val="24"/>
            <w:u w:val="single"/>
            <w:rtl w:val="0"/>
          </w:rPr>
          <w:t xml:space="preserve">https://nextjs.org/docs/app/getting-started/metadata-and-og-images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Living Annuity Options in South Africa: A Complete Guide - Everest Wealth, accessed March 6, 2026, </w:t>
      </w:r>
      <w:hyperlink r:id="rId53">
        <w:r w:rsidDel="00000000" w:rsidR="00000000" w:rsidRPr="00000000">
          <w:rPr>
            <w:rFonts w:ascii="Google Sans" w:cs="Google Sans" w:eastAsia="Google Sans" w:hAnsi="Google Sans"/>
            <w:color w:val="0000ee"/>
            <w:sz w:val="24"/>
            <w:szCs w:val="24"/>
            <w:u w:val="single"/>
            <w:rtl w:val="0"/>
          </w:rPr>
          <w:t xml:space="preserve">https://everestwealth.co.za/blog/best-living-annuities-in-south-africa/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9"/>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9"/>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9"/>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11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rapi.io/blog/create-strapi-motion-animations-tailwind-css" TargetMode="External"/><Relationship Id="rId42" Type="http://schemas.openxmlformats.org/officeDocument/2006/relationships/hyperlink" Target="https://www.10x.co.za/blog/living-annuities-adjust-your-drawdown-rate-to-maximise-retirement-income" TargetMode="External"/><Relationship Id="rId41" Type="http://schemas.openxmlformats.org/officeDocument/2006/relationships/hyperlink" Target="https://www.10x.co.za/library/faq-living-annuities" TargetMode="External"/><Relationship Id="rId44" Type="http://schemas.openxmlformats.org/officeDocument/2006/relationships/hyperlink" Target="https://everestwealth.co.za/wp-content/uploads/2024/05/Amethyst_Brochure_v4_20_05.pdf" TargetMode="External"/><Relationship Id="rId43" Type="http://schemas.openxmlformats.org/officeDocument/2006/relationships/hyperlink" Target="https://www.10x.co.za/blog/retiring-with-control-and-flexibility-living-annuities-in-a-nutshell" TargetMode="External"/><Relationship Id="rId46" Type="http://schemas.openxmlformats.org/officeDocument/2006/relationships/hyperlink" Target="https://crue.co.za/understanding-donations-and-exemptions/" TargetMode="External"/><Relationship Id="rId45" Type="http://schemas.openxmlformats.org/officeDocument/2006/relationships/hyperlink" Target="https://everestwealth.co.za/wp-content/uploads/2023/05/EVEREST_Living-Annuity-Booklet_2022_7-Pag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za/sites/default/files/gcis_document/201409/33730163.pdf" TargetMode="External"/><Relationship Id="rId48" Type="http://schemas.openxmlformats.org/officeDocument/2006/relationships/hyperlink" Target="https://crue.co.za/donations-tax-and-tax-exemptions-heres-how-it-works/" TargetMode="External"/><Relationship Id="rId47" Type="http://schemas.openxmlformats.org/officeDocument/2006/relationships/hyperlink" Target="https://www.taxtim.com/za/blog/faqs-donations-and-tax" TargetMode="External"/><Relationship Id="rId49" Type="http://schemas.openxmlformats.org/officeDocument/2006/relationships/hyperlink" Target="https://www.allangray.co.za/latest-insights/personal-investing/2026-budget-a-good-news-story/" TargetMode="External"/><Relationship Id="rId5" Type="http://schemas.openxmlformats.org/officeDocument/2006/relationships/styles" Target="styles.xml"/><Relationship Id="rId6" Type="http://schemas.openxmlformats.org/officeDocument/2006/relationships/hyperlink" Target="https://www.asbrokers.co.za/contact-8" TargetMode="External"/><Relationship Id="rId7" Type="http://schemas.openxmlformats.org/officeDocument/2006/relationships/hyperlink" Target="https://www.medicalschemes.com/files/Guidelines%20and%20Manuals/RgstrFSPs20161122.xlsx" TargetMode="External"/><Relationship Id="rId8" Type="http://schemas.openxmlformats.org/officeDocument/2006/relationships/hyperlink" Target="https://fais-compliance.co.za/doc/FSP2_-_2011.pdf" TargetMode="External"/><Relationship Id="rId31" Type="http://schemas.openxmlformats.org/officeDocument/2006/relationships/hyperlink" Target="https://gtc.co.za/asset-management-semigration/" TargetMode="External"/><Relationship Id="rId30" Type="http://schemas.openxmlformats.org/officeDocument/2006/relationships/hyperlink" Target="https://businesstech.co.za/news/property/849951/goodbye-cape-town-reverse-semigration-shift-gaining-momentum/" TargetMode="External"/><Relationship Id="rId33" Type="http://schemas.openxmlformats.org/officeDocument/2006/relationships/hyperlink" Target="https://www.researchgate.net/publication/371953029_The_dynamics_and_uniqueness_of_semigration_to_hermanus_from_across_South_Africa" TargetMode="External"/><Relationship Id="rId32" Type="http://schemas.openxmlformats.org/officeDocument/2006/relationships/hyperlink" Target="https://darlinggreen.co.za/retirement-property-in-the-western-cape-what-buyers-are-looking-for-in-2026/" TargetMode="External"/><Relationship Id="rId35" Type="http://schemas.openxmlformats.org/officeDocument/2006/relationships/hyperlink" Target="https://developer.mozilla.org/en-US/docs/Web/CSS/Reference/At-rules/@media/prefers-reduced-motion" TargetMode="External"/><Relationship Id="rId34" Type="http://schemas.openxmlformats.org/officeDocument/2006/relationships/hyperlink" Target="https://businesstech.co.za/news/lifestyle/808262/rich-foreigners-are-flocking-to-these-south-african-towns-for-retirement-and-heres-why/" TargetMode="External"/><Relationship Id="rId37" Type="http://schemas.openxmlformats.org/officeDocument/2006/relationships/hyperlink" Target="https://motion.dev/docs/react-accessibility" TargetMode="External"/><Relationship Id="rId36" Type="http://schemas.openxmlformats.org/officeDocument/2006/relationships/hyperlink" Target="https://web.dev/articles/prefers-reduced-motion" TargetMode="External"/><Relationship Id="rId39" Type="http://schemas.openxmlformats.org/officeDocument/2006/relationships/hyperlink" Target="https://blog.pope.tech/2025/12/08/design-accessible-animation-and-movement/" TargetMode="External"/><Relationship Id="rId38" Type="http://schemas.openxmlformats.org/officeDocument/2006/relationships/hyperlink" Target="https://stackoverflow.com/questions/59708960/how-do-i-change-the-prefers-reduced-motion-setting-in-browsers" TargetMode="External"/><Relationship Id="rId20" Type="http://schemas.openxmlformats.org/officeDocument/2006/relationships/hyperlink" Target="https://www.sars.gov.za/tax-rates/income-tax/interest-and-dividends/" TargetMode="External"/><Relationship Id="rId22" Type="http://schemas.openxmlformats.org/officeDocument/2006/relationships/hyperlink" Target="https://anlo.co.za/blogs-and-articles/understanding-dividend-taxation-in-south-africa" TargetMode="External"/><Relationship Id="rId21" Type="http://schemas.openxmlformats.org/officeDocument/2006/relationships/hyperlink" Target="https://taxsummaries.pwc.com/south-africa/corporate/withholding-taxes" TargetMode="External"/><Relationship Id="rId24" Type="http://schemas.openxmlformats.org/officeDocument/2006/relationships/hyperlink" Target="https://everestwealth.co.za/wp-content/uploads/2025/07/FAQ.pdf" TargetMode="External"/><Relationship Id="rId23" Type="http://schemas.openxmlformats.org/officeDocument/2006/relationships/hyperlink" Target="https://assets.kpmg.com/content/dam/kpmg/za/pdf/2017/12/South%20Africa%20Fiscal%20Guide%202017_18.pdf" TargetMode="External"/><Relationship Id="rId26" Type="http://schemas.openxmlformats.org/officeDocument/2006/relationships/hyperlink" Target="https://www.asbrokers.co.za/post/why-everest-wealth-takes-a-different-path-and-why-it-works" TargetMode="External"/><Relationship Id="rId25" Type="http://schemas.openxmlformats.org/officeDocument/2006/relationships/hyperlink" Target="https://assets.kpmg.com/content/dam/kpmgsites/za/pdf/2026/02/SA%20Budget%20Guide%202026.pdf" TargetMode="External"/><Relationship Id="rId28" Type="http://schemas.openxmlformats.org/officeDocument/2006/relationships/hyperlink" Target="https://www.property24.com/articles/semigration-into-the-western-cape-bodes-well-for-the-property-market/32154" TargetMode="External"/><Relationship Id="rId27" Type="http://schemas.openxmlformats.org/officeDocument/2006/relationships/hyperlink" Target="https://nextjs.org/docs/app/api-reference/functions/generate-metadata" TargetMode="External"/><Relationship Id="rId29" Type="http://schemas.openxmlformats.org/officeDocument/2006/relationships/hyperlink" Target="https://www.henleyglobal.com/publications/africa-wealth-report-2025/what-moves-millionaires-africa" TargetMode="External"/><Relationship Id="rId51" Type="http://schemas.openxmlformats.org/officeDocument/2006/relationships/hyperlink" Target="https://www.moonstone.co.za/changes-to-cgt-tax-free-savings-retirement-contributions-and-donations/" TargetMode="External"/><Relationship Id="rId50" Type="http://schemas.openxmlformats.org/officeDocument/2006/relationships/hyperlink" Target="https://www.fisa.net.za/highlights-from-the-budget-speech/" TargetMode="External"/><Relationship Id="rId53" Type="http://schemas.openxmlformats.org/officeDocument/2006/relationships/hyperlink" Target="https://everestwealth.co.za/blog/best-living-annuities-in-south-africa/" TargetMode="External"/><Relationship Id="rId52" Type="http://schemas.openxmlformats.org/officeDocument/2006/relationships/hyperlink" Target="https://nextjs.org/docs/app/getting-started/metadata-and-og-images" TargetMode="External"/><Relationship Id="rId11" Type="http://schemas.openxmlformats.org/officeDocument/2006/relationships/hyperlink" Target="https://everestwealth.co.za/wp-content/uploads/2024/05/Onyx_Brochure_A3-V3-09-05_Print.pdf" TargetMode="External"/><Relationship Id="rId10" Type="http://schemas.openxmlformats.org/officeDocument/2006/relationships/hyperlink" Target="https://everestwealth.co.za/wp-content/uploads/2024/02/Strategic-Growth-Portfolio-March-2024.pdf" TargetMode="External"/><Relationship Id="rId13" Type="http://schemas.openxmlformats.org/officeDocument/2006/relationships/hyperlink" Target="https://medium.com/@dilit/building-a-modern-application-2025-a-complete-guide-for-next-js-1b9f278df10c" TargetMode="External"/><Relationship Id="rId12" Type="http://schemas.openxmlformats.org/officeDocument/2006/relationships/hyperlink" Target="https://nextjs.org/docs/app/getting-started/server-and-client-components" TargetMode="External"/><Relationship Id="rId15" Type="http://schemas.openxmlformats.org/officeDocument/2006/relationships/hyperlink" Target="https://www.fsca.co.za/_api/cr3ad_regulatedentitiesdocuments(6046899c-cadf-f011-8544-7ced8d771bb0)/cr3ad_document/$value" TargetMode="External"/><Relationship Id="rId14" Type="http://schemas.openxmlformats.org/officeDocument/2006/relationships/hyperlink" Target="https://www.digitalapplied.com/blog/nextjs-seo-guide" TargetMode="External"/><Relationship Id="rId17" Type="http://schemas.openxmlformats.org/officeDocument/2006/relationships/hyperlink" Target="https://nextjs.org/docs/app/guides/json-ld" TargetMode="External"/><Relationship Id="rId16" Type="http://schemas.openxmlformats.org/officeDocument/2006/relationships/hyperlink" Target="https://www.masthead.co.za/wp-content/uploads/2018/02/MINIMUM-EXPERIENCE.pdf" TargetMode="External"/><Relationship Id="rId19" Type="http://schemas.openxmlformats.org/officeDocument/2006/relationships/hyperlink" Target="https://everestwealth.co.za/wp-content/uploads/2025/07/Dividends-vs-Interests-digital.pdf" TargetMode="External"/><Relationship Id="rId18" Type="http://schemas.openxmlformats.org/officeDocument/2006/relationships/hyperlink" Target="https://github.com/Aghefendi/nextjs-jsonld-sche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