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5041" w14:textId="77777777" w:rsidR="00B96A18" w:rsidRDefault="00B96A18" w:rsidP="00B96A18">
      <w:pPr>
        <w:spacing w:before="100" w:beforeAutospacing="1" w:after="0" w:line="240" w:lineRule="auto"/>
        <w:jc w:val="center"/>
        <w:rPr>
          <w:rFonts w:ascii="Poppins" w:hAnsi="Poppins" w:cs="Poppins"/>
          <w:color w:val="4F81BD"/>
          <w:spacing w:val="5"/>
          <w:sz w:val="32"/>
          <w:szCs w:val="32"/>
          <w:shd w:val="clear" w:color="auto" w:fill="FFFFFF"/>
          <w:lang w:val="en-US"/>
        </w:rPr>
      </w:pPr>
      <w:r w:rsidRPr="00B96A18">
        <w:rPr>
          <w:noProof/>
          <w:sz w:val="28"/>
          <w:szCs w:val="28"/>
        </w:rPr>
        <w:drawing>
          <wp:inline distT="0" distB="0" distL="0" distR="0" wp14:anchorId="778CF4EE" wp14:editId="3FD91CD4">
            <wp:extent cx="2204085" cy="885825"/>
            <wp:effectExtent l="0" t="0" r="0" b="0"/>
            <wp:docPr id="1934353781" name="Drawing 0" descr="0821b7c0491b28378d541b84536abd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53781" name="Drawing 0" descr="0821b7c0491b28378d541b84536abd9e.png"/>
                    <pic:cNvPicPr>
                      <a:picLocks noChangeAspect="1"/>
                    </pic:cNvPicPr>
                  </pic:nvPicPr>
                  <pic:blipFill>
                    <a:blip r:embed="rId5"/>
                    <a:srcRect t="13176" b="24831"/>
                    <a:stretch>
                      <a:fillRect/>
                    </a:stretch>
                  </pic:blipFill>
                  <pic:spPr>
                    <a:xfrm>
                      <a:off x="0" y="0"/>
                      <a:ext cx="2228074" cy="895466"/>
                    </a:xfrm>
                    <a:prstGeom prst="rect">
                      <a:avLst/>
                    </a:prstGeom>
                  </pic:spPr>
                </pic:pic>
              </a:graphicData>
            </a:graphic>
          </wp:inline>
        </w:drawing>
      </w:r>
    </w:p>
    <w:p w14:paraId="6915D12D" w14:textId="69FAB6CA" w:rsidR="00B96A18" w:rsidRPr="00B96A18" w:rsidRDefault="00973292" w:rsidP="00B96A18">
      <w:pPr>
        <w:spacing w:before="100" w:beforeAutospacing="1" w:after="0" w:line="240" w:lineRule="auto"/>
        <w:jc w:val="center"/>
        <w:rPr>
          <w:rFonts w:ascii="Poppins" w:hAnsi="Poppins" w:cs="Poppins"/>
          <w:color w:val="4F81BD"/>
          <w:spacing w:val="5"/>
          <w:sz w:val="52"/>
          <w:szCs w:val="52"/>
          <w:shd w:val="clear" w:color="auto" w:fill="FFFFFF"/>
          <w:lang w:val="en-US"/>
        </w:rPr>
      </w:pPr>
      <w:r w:rsidRPr="00B96A18">
        <w:rPr>
          <w:rFonts w:ascii="Poppins" w:hAnsi="Poppins" w:cs="Poppins"/>
          <w:color w:val="4F81BD"/>
          <w:spacing w:val="5"/>
          <w:sz w:val="52"/>
          <w:szCs w:val="52"/>
          <w:shd w:val="clear" w:color="auto" w:fill="FFFFFF"/>
          <w:lang w:val="en-US"/>
        </w:rPr>
        <w:t>Ubuntu</w:t>
      </w:r>
      <w:r w:rsidRPr="00B96A18">
        <w:rPr>
          <w:rFonts w:ascii="Poppins" w:hAnsi="Poppins" w:cs="Poppins"/>
          <w:color w:val="4CAF50"/>
          <w:spacing w:val="5"/>
          <w:sz w:val="52"/>
          <w:szCs w:val="52"/>
          <w:shd w:val="clear" w:color="auto" w:fill="FFFFFF"/>
          <w:lang w:val="en-US"/>
        </w:rPr>
        <w:t> </w:t>
      </w:r>
      <w:r w:rsidRPr="00B96A18">
        <w:rPr>
          <w:rFonts w:ascii="Poppins" w:hAnsi="Poppins" w:cs="Poppins"/>
          <w:i/>
          <w:iCs/>
          <w:color w:val="4CAF50"/>
          <w:spacing w:val="5"/>
          <w:sz w:val="52"/>
          <w:szCs w:val="52"/>
          <w:shd w:val="clear" w:color="auto" w:fill="FFFFFF"/>
          <w:lang w:val="en-US"/>
        </w:rPr>
        <w:t>Life</w:t>
      </w:r>
      <w:r w:rsidRPr="00B96A18">
        <w:rPr>
          <w:rFonts w:ascii="Poppins" w:hAnsi="Poppins" w:cs="Poppins"/>
          <w:i/>
          <w:iCs/>
          <w:color w:val="17365D"/>
          <w:spacing w:val="5"/>
          <w:sz w:val="52"/>
          <w:szCs w:val="52"/>
          <w:shd w:val="clear" w:color="auto" w:fill="FFFFFF"/>
          <w:lang w:val="en-US"/>
        </w:rPr>
        <w:t> </w:t>
      </w:r>
      <w:r w:rsidRPr="00B96A18">
        <w:rPr>
          <w:rFonts w:ascii="Poppins" w:hAnsi="Poppins" w:cs="Poppins"/>
          <w:color w:val="989800"/>
          <w:spacing w:val="5"/>
          <w:sz w:val="52"/>
          <w:szCs w:val="52"/>
          <w:shd w:val="clear" w:color="auto" w:fill="FFFFFF"/>
          <w:lang w:val="en-US"/>
        </w:rPr>
        <w:t>Resources</w:t>
      </w:r>
    </w:p>
    <w:p w14:paraId="562DDB9B" w14:textId="0EC9A6EF" w:rsidR="007C73F0" w:rsidRPr="00B96A18" w:rsidRDefault="007C73F0" w:rsidP="00B96A18">
      <w:pPr>
        <w:spacing w:before="100" w:beforeAutospacing="1" w:after="0" w:line="240" w:lineRule="auto"/>
        <w:jc w:val="center"/>
        <w:rPr>
          <w:rFonts w:ascii="Poppins" w:hAnsi="Poppins" w:cs="Poppins"/>
          <w:color w:val="4F81BD"/>
          <w:spacing w:val="5"/>
          <w:sz w:val="20"/>
          <w:szCs w:val="20"/>
          <w:shd w:val="clear" w:color="auto" w:fill="FFFFFF"/>
          <w:lang w:val="en-US"/>
        </w:rPr>
      </w:pPr>
      <w:r w:rsidRPr="00B96A18">
        <w:rPr>
          <w:rFonts w:ascii="Poppins" w:eastAsia="Times New Roman" w:hAnsi="Poppins" w:cs="Poppins"/>
          <w:kern w:val="0"/>
          <w:sz w:val="20"/>
          <w:szCs w:val="20"/>
          <w:lang w:eastAsia="en-ZA"/>
          <w14:ligatures w14:val="none"/>
        </w:rPr>
        <w:t>Registration Number: 2026/215685/07</w:t>
      </w:r>
    </w:p>
    <w:p w14:paraId="384EB462" w14:textId="77777777" w:rsidR="007C73F0" w:rsidRPr="00B96A18" w:rsidRDefault="00000000" w:rsidP="00B96A18">
      <w:pPr>
        <w:spacing w:after="0" w:line="240" w:lineRule="auto"/>
        <w:jc w:val="center"/>
        <w:rPr>
          <w:rFonts w:ascii="Poppins" w:eastAsia="Times New Roman" w:hAnsi="Poppins" w:cs="Poppins"/>
          <w:color w:val="787800"/>
          <w:kern w:val="0"/>
          <w:sz w:val="20"/>
          <w:szCs w:val="20"/>
          <w:lang w:eastAsia="en-ZA"/>
          <w14:ligatures w14:val="none"/>
        </w:rPr>
      </w:pPr>
      <w:r>
        <w:rPr>
          <w:rFonts w:ascii="Poppins" w:eastAsia="Times New Roman" w:hAnsi="Poppins" w:cs="Poppins"/>
          <w:color w:val="787800"/>
          <w:kern w:val="0"/>
          <w:sz w:val="20"/>
          <w:szCs w:val="20"/>
          <w:lang w:eastAsia="en-ZA"/>
          <w14:ligatures w14:val="none"/>
        </w:rPr>
        <w:pict w14:anchorId="174390B8">
          <v:rect id="_x0000_i1025" style="width:0;height:1.5pt" o:hralign="center" o:hrstd="t" o:hr="t" fillcolor="#a0a0a0" stroked="f"/>
        </w:pict>
      </w:r>
    </w:p>
    <w:p w14:paraId="6BAFACAF" w14:textId="77777777" w:rsidR="00A961AD" w:rsidRDefault="00A961AD" w:rsidP="002401F2">
      <w:pPr>
        <w:spacing w:before="100" w:beforeAutospacing="1" w:after="100" w:afterAutospacing="1" w:line="240" w:lineRule="auto"/>
        <w:rPr>
          <w:rFonts w:ascii="Poppins" w:eastAsia="Times New Roman" w:hAnsi="Poppins" w:cs="Poppins"/>
          <w:i/>
          <w:iCs/>
          <w:kern w:val="0"/>
          <w:sz w:val="18"/>
          <w:szCs w:val="18"/>
          <w:lang w:eastAsia="en-ZA"/>
          <w14:ligatures w14:val="none"/>
        </w:rPr>
      </w:pPr>
    </w:p>
    <w:p w14:paraId="3B854762" w14:textId="0564413D" w:rsidR="00A961AD" w:rsidRPr="00A961AD" w:rsidRDefault="00A961AD" w:rsidP="00A961AD">
      <w:pPr>
        <w:spacing w:before="100" w:beforeAutospacing="1" w:after="100" w:afterAutospacing="1" w:line="240" w:lineRule="auto"/>
        <w:rPr>
          <w:rFonts w:ascii="Poppins" w:eastAsia="Times New Roman" w:hAnsi="Poppins" w:cs="Poppins"/>
          <w:kern w:val="0"/>
          <w:sz w:val="18"/>
          <w:szCs w:val="18"/>
          <w:lang w:eastAsia="en-ZA"/>
          <w14:ligatures w14:val="none"/>
        </w:rPr>
      </w:pPr>
      <w:r w:rsidRPr="00A961AD">
        <w:rPr>
          <w:rFonts w:ascii="Poppins" w:eastAsia="Times New Roman" w:hAnsi="Poppins" w:cs="Poppins"/>
          <w:kern w:val="0"/>
          <w:sz w:val="18"/>
          <w:szCs w:val="18"/>
          <w:lang w:eastAsia="en-ZA"/>
          <w14:ligatures w14:val="none"/>
        </w:rPr>
        <w:t>Prepared by:</w:t>
      </w:r>
      <w:r w:rsidRPr="00A961AD">
        <w:rPr>
          <w:rFonts w:ascii="Poppins" w:eastAsia="Times New Roman" w:hAnsi="Poppins" w:cs="Poppins"/>
          <w:kern w:val="0"/>
          <w:sz w:val="18"/>
          <w:szCs w:val="18"/>
          <w:lang w:eastAsia="en-ZA"/>
          <w14:ligatures w14:val="none"/>
        </w:rPr>
        <w:br/>
        <w:t>Ubuntu Life Resources</w:t>
      </w:r>
    </w:p>
    <w:p w14:paraId="540A7373" w14:textId="77777777" w:rsidR="00141C44" w:rsidRPr="00141C44" w:rsidRDefault="00141C44" w:rsidP="00141C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141C44">
        <w:rPr>
          <w:rFonts w:ascii="Times New Roman" w:eastAsia="Times New Roman" w:hAnsi="Times New Roman" w:cs="Times New Roman"/>
          <w:b/>
          <w:bCs/>
          <w:kern w:val="36"/>
          <w:sz w:val="48"/>
          <w:szCs w:val="48"/>
          <w:lang w:eastAsia="en-ZA"/>
          <w14:ligatures w14:val="none"/>
        </w:rPr>
        <w:t>Emergency Preparedness &amp; Outbreak Response Support</w:t>
      </w:r>
    </w:p>
    <w:p w14:paraId="2FFBDD11"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t>Strengthening Environmental Hygiene, Biosecurity &amp; Infection-Control Readiness Across Africa</w:t>
      </w:r>
    </w:p>
    <w:p w14:paraId="6C5CAA4B"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Public health emergencies can place significant pressure on healthcare systems, public institutions, transport infrastructure, and communities.</w:t>
      </w:r>
    </w:p>
    <w:p w14:paraId="39FDE646"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Disease outbreaks, flooding events, population displacement, water contamination, and sanitation challenges require rapid, practical, and scalable hygiene solutions that can support preparedness and response efforts.</w:t>
      </w:r>
    </w:p>
    <w:p w14:paraId="5C77DBFA"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Ubuntu Life Resources supports organisations across Africa through environmental hygiene, sanitation, biosecurity, and infection-control solutions designed to strengthen operational readiness and public health resilience.</w:t>
      </w:r>
    </w:p>
    <w:p w14:paraId="7D3EE9C5" w14:textId="77777777" w:rsidR="00141C44" w:rsidRPr="00141C44" w:rsidRDefault="00141C44" w:rsidP="00141C44">
      <w:pPr>
        <w:spacing w:after="0"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pict w14:anchorId="50E93A68">
          <v:rect id="_x0000_i1091" style="width:0;height:1.5pt" o:hralign="center" o:hrstd="t" o:hr="t" fillcolor="#a0a0a0" stroked="f"/>
        </w:pict>
      </w:r>
    </w:p>
    <w:p w14:paraId="719B369B"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t>Why Preparedness Matters</w:t>
      </w:r>
    </w:p>
    <w:p w14:paraId="6A8AC4E1"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Preparedness begins before an emergency occurs.</w:t>
      </w:r>
    </w:p>
    <w:p w14:paraId="68AFCD38"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Strong outbreak readiness requires more than treatment capacity alone.</w:t>
      </w:r>
    </w:p>
    <w:p w14:paraId="3B60C33F"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It also depends on:</w:t>
      </w:r>
    </w:p>
    <w:p w14:paraId="0A2F22EE"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lastRenderedPageBreak/>
        <w:t>• Environmental hygiene</w:t>
      </w:r>
      <w:r w:rsidRPr="00141C44">
        <w:rPr>
          <w:rFonts w:ascii="Times New Roman" w:eastAsia="Times New Roman" w:hAnsi="Times New Roman" w:cs="Times New Roman"/>
          <w:kern w:val="0"/>
          <w:lang w:eastAsia="en-ZA"/>
          <w14:ligatures w14:val="none"/>
        </w:rPr>
        <w:br/>
        <w:t>• Infection-control infrastructure</w:t>
      </w:r>
      <w:r w:rsidRPr="00141C44">
        <w:rPr>
          <w:rFonts w:ascii="Times New Roman" w:eastAsia="Times New Roman" w:hAnsi="Times New Roman" w:cs="Times New Roman"/>
          <w:kern w:val="0"/>
          <w:lang w:eastAsia="en-ZA"/>
          <w14:ligatures w14:val="none"/>
        </w:rPr>
        <w:br/>
        <w:t>• Institutional sanitation</w:t>
      </w:r>
      <w:r w:rsidRPr="00141C44">
        <w:rPr>
          <w:rFonts w:ascii="Times New Roman" w:eastAsia="Times New Roman" w:hAnsi="Times New Roman" w:cs="Times New Roman"/>
          <w:kern w:val="0"/>
          <w:lang w:eastAsia="en-ZA"/>
          <w14:ligatures w14:val="none"/>
        </w:rPr>
        <w:br/>
        <w:t>• Border health preparedness</w:t>
      </w:r>
      <w:r w:rsidRPr="00141C44">
        <w:rPr>
          <w:rFonts w:ascii="Times New Roman" w:eastAsia="Times New Roman" w:hAnsi="Times New Roman" w:cs="Times New Roman"/>
          <w:kern w:val="0"/>
          <w:lang w:eastAsia="en-ZA"/>
          <w14:ligatures w14:val="none"/>
        </w:rPr>
        <w:br/>
        <w:t>• Public facility hygiene</w:t>
      </w:r>
      <w:r w:rsidRPr="00141C44">
        <w:rPr>
          <w:rFonts w:ascii="Times New Roman" w:eastAsia="Times New Roman" w:hAnsi="Times New Roman" w:cs="Times New Roman"/>
          <w:kern w:val="0"/>
          <w:lang w:eastAsia="en-ZA"/>
          <w14:ligatures w14:val="none"/>
        </w:rPr>
        <w:br/>
        <w:t>• Community-level preparedness</w:t>
      </w:r>
      <w:r w:rsidRPr="00141C44">
        <w:rPr>
          <w:rFonts w:ascii="Times New Roman" w:eastAsia="Times New Roman" w:hAnsi="Times New Roman" w:cs="Times New Roman"/>
          <w:kern w:val="0"/>
          <w:lang w:eastAsia="en-ZA"/>
          <w14:ligatures w14:val="none"/>
        </w:rPr>
        <w:br/>
        <w:t>• Emergency response capability</w:t>
      </w:r>
      <w:r w:rsidRPr="00141C44">
        <w:rPr>
          <w:rFonts w:ascii="Times New Roman" w:eastAsia="Times New Roman" w:hAnsi="Times New Roman" w:cs="Times New Roman"/>
          <w:kern w:val="0"/>
          <w:lang w:eastAsia="en-ZA"/>
          <w14:ligatures w14:val="none"/>
        </w:rPr>
        <w:br/>
        <w:t>• Safe water and sanitation support</w:t>
      </w:r>
    </w:p>
    <w:p w14:paraId="4D5BAC2C"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The ability to deploy practical hygiene and sanitation solutions rapidly can play an important role in supporting operational environments during public health emergencies.</w:t>
      </w:r>
    </w:p>
    <w:p w14:paraId="50E8F82A" w14:textId="77777777" w:rsidR="00141C44" w:rsidRPr="00141C44" w:rsidRDefault="00141C44" w:rsidP="00141C44">
      <w:pPr>
        <w:spacing w:after="0"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pict w14:anchorId="1E727FD3">
          <v:rect id="_x0000_i1092" style="width:0;height:1.5pt" o:hralign="center" o:hrstd="t" o:hr="t" fillcolor="#a0a0a0" stroked="f"/>
        </w:pict>
      </w:r>
    </w:p>
    <w:p w14:paraId="1485377B"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t>Areas of Support</w:t>
      </w:r>
    </w:p>
    <w:p w14:paraId="55AE2374"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Healthcare Facilities</w:t>
      </w:r>
    </w:p>
    <w:p w14:paraId="1492F4B5"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Supporting hospitals, clinics, laboratories, treatment centres, and healthcare environments through environmental hygiene and disinfection solutions.</w:t>
      </w:r>
    </w:p>
    <w:p w14:paraId="64C275E1"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Government &amp; Public Institutions</w:t>
      </w:r>
    </w:p>
    <w:p w14:paraId="13312670"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Supporting schools, government buildings, border facilities, transport infrastructure, and public environments through sanitation preparedness initiatives.</w:t>
      </w:r>
    </w:p>
    <w:p w14:paraId="5F9C472A"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Humanitarian &amp; NGO Operations</w:t>
      </w:r>
    </w:p>
    <w:p w14:paraId="0963041B"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Providing practical hygiene and sanitation support solutions suitable for emergency response, disaster recovery, and community-based interventions.</w:t>
      </w:r>
    </w:p>
    <w:p w14:paraId="36A13E3A"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Community Health &amp; Public Environments</w:t>
      </w:r>
    </w:p>
    <w:p w14:paraId="62DCF64F"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Supporting hygiene awareness, environmental sanitation, and public health resilience across communities and high-contact environments.</w:t>
      </w:r>
    </w:p>
    <w:p w14:paraId="51E21A3A" w14:textId="77777777" w:rsidR="00141C44" w:rsidRPr="00141C44" w:rsidRDefault="00141C44" w:rsidP="00141C44">
      <w:pPr>
        <w:spacing w:after="0"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pict w14:anchorId="299E858A">
          <v:rect id="_x0000_i1093" style="width:0;height:1.5pt" o:hralign="center" o:hrstd="t" o:hr="t" fillcolor="#a0a0a0" stroked="f"/>
        </w:pict>
      </w:r>
    </w:p>
    <w:p w14:paraId="6A1501A1"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t>Environmental Hygiene Solutions</w:t>
      </w:r>
    </w:p>
    <w:p w14:paraId="42EC602B"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SANI-99™</w:t>
      </w:r>
    </w:p>
    <w:p w14:paraId="013233EE"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SANI-99™ is a medical-grade surface and hand disinfectant developed to support advanced environmental hygiene and infection-control programmes.</w:t>
      </w:r>
    </w:p>
    <w:p w14:paraId="7DFEF0EC"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Key Features:</w:t>
      </w:r>
    </w:p>
    <w:p w14:paraId="386D882B"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t>✔</w:t>
      </w:r>
      <w:r w:rsidRPr="00141C44">
        <w:rPr>
          <w:rFonts w:ascii="Times New Roman" w:eastAsia="Times New Roman" w:hAnsi="Times New Roman" w:cs="Times New Roman"/>
          <w:kern w:val="0"/>
          <w:lang w:eastAsia="en-ZA"/>
          <w14:ligatures w14:val="none"/>
        </w:rPr>
        <w:t xml:space="preserve"> LOG 7 efficacy (99.99995%)</w:t>
      </w:r>
    </w:p>
    <w:p w14:paraId="5D0DB75B"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lastRenderedPageBreak/>
        <w:t>✔</w:t>
      </w:r>
      <w:r w:rsidRPr="00141C44">
        <w:rPr>
          <w:rFonts w:ascii="Times New Roman" w:eastAsia="Times New Roman" w:hAnsi="Times New Roman" w:cs="Times New Roman"/>
          <w:kern w:val="0"/>
          <w:lang w:eastAsia="en-ZA"/>
          <w14:ligatures w14:val="none"/>
        </w:rPr>
        <w:t xml:space="preserve"> Tested against enveloped viruses, including Filoviridae (e.g. Ebola)</w:t>
      </w:r>
    </w:p>
    <w:p w14:paraId="724000D0"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t>✔</w:t>
      </w:r>
      <w:r w:rsidRPr="00141C44">
        <w:rPr>
          <w:rFonts w:ascii="Times New Roman" w:eastAsia="Times New Roman" w:hAnsi="Times New Roman" w:cs="Times New Roman"/>
          <w:kern w:val="0"/>
          <w:lang w:eastAsia="en-ZA"/>
          <w14:ligatures w14:val="none"/>
        </w:rPr>
        <w:t xml:space="preserve"> Chlorine-free and alcohol-free</w:t>
      </w:r>
    </w:p>
    <w:p w14:paraId="1C6C14D7"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t>✔</w:t>
      </w:r>
      <w:r w:rsidRPr="00141C44">
        <w:rPr>
          <w:rFonts w:ascii="Times New Roman" w:eastAsia="Times New Roman" w:hAnsi="Times New Roman" w:cs="Times New Roman"/>
          <w:kern w:val="0"/>
          <w:lang w:eastAsia="en-ZA"/>
          <w14:ligatures w14:val="none"/>
        </w:rPr>
        <w:t xml:space="preserve"> Safe on surfaces and skin</w:t>
      </w:r>
    </w:p>
    <w:p w14:paraId="79683785"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t>✔</w:t>
      </w:r>
      <w:r w:rsidRPr="00141C44">
        <w:rPr>
          <w:rFonts w:ascii="Times New Roman" w:eastAsia="Times New Roman" w:hAnsi="Times New Roman" w:cs="Times New Roman"/>
          <w:kern w:val="0"/>
          <w:lang w:eastAsia="en-ZA"/>
          <w14:ligatures w14:val="none"/>
        </w:rPr>
        <w:t xml:space="preserve"> Suitable for spraying and fogging applications</w:t>
      </w:r>
    </w:p>
    <w:p w14:paraId="2E26EB18"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t>✔</w:t>
      </w:r>
      <w:r w:rsidRPr="00141C44">
        <w:rPr>
          <w:rFonts w:ascii="Times New Roman" w:eastAsia="Times New Roman" w:hAnsi="Times New Roman" w:cs="Times New Roman"/>
          <w:kern w:val="0"/>
          <w:lang w:eastAsia="en-ZA"/>
          <w14:ligatures w14:val="none"/>
        </w:rPr>
        <w:t xml:space="preserve"> Lightweight powder formulation</w:t>
      </w:r>
    </w:p>
    <w:p w14:paraId="2615C246"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t>✔</w:t>
      </w:r>
      <w:r w:rsidRPr="00141C44">
        <w:rPr>
          <w:rFonts w:ascii="Times New Roman" w:eastAsia="Times New Roman" w:hAnsi="Times New Roman" w:cs="Times New Roman"/>
          <w:kern w:val="0"/>
          <w:lang w:eastAsia="en-ZA"/>
          <w14:ligatures w14:val="none"/>
        </w:rPr>
        <w:t xml:space="preserve"> Easy transportation and storage</w:t>
      </w:r>
    </w:p>
    <w:p w14:paraId="2BCAC701"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Symbol" w:eastAsia="Times New Roman" w:hAnsi="Segoe UI Symbol" w:cs="Segoe UI Symbol"/>
          <w:kern w:val="0"/>
          <w:lang w:eastAsia="en-ZA"/>
          <w14:ligatures w14:val="none"/>
        </w:rPr>
        <w:t>✔</w:t>
      </w:r>
      <w:r w:rsidRPr="00141C44">
        <w:rPr>
          <w:rFonts w:ascii="Times New Roman" w:eastAsia="Times New Roman" w:hAnsi="Times New Roman" w:cs="Times New Roman"/>
          <w:kern w:val="0"/>
          <w:lang w:eastAsia="en-ZA"/>
          <w14:ligatures w14:val="none"/>
        </w:rPr>
        <w:t xml:space="preserve"> Suitable for healthcare, institutional, transport, humanitarian, and public environments</w:t>
      </w:r>
    </w:p>
    <w:p w14:paraId="1D414775" w14:textId="77777777" w:rsidR="00141C44" w:rsidRPr="00141C44" w:rsidRDefault="00141C44" w:rsidP="00141C44">
      <w:pPr>
        <w:spacing w:after="0"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pict w14:anchorId="4175C857">
          <v:rect id="_x0000_i1094" style="width:0;height:1.5pt" o:hralign="center" o:hrstd="t" o:hr="t" fillcolor="#a0a0a0" stroked="f"/>
        </w:pict>
      </w:r>
    </w:p>
    <w:p w14:paraId="6C5F2207"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t>Strategic Preparedness Advantages</w:t>
      </w:r>
    </w:p>
    <w:p w14:paraId="18A94E2C"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SANI-99™ has been designed to support scalable deployment and preparedness planning.</w:t>
      </w:r>
    </w:p>
    <w:p w14:paraId="3228A98E"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Benefits include:</w:t>
      </w:r>
    </w:p>
    <w:p w14:paraId="5CFD6F92"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 Reduced transport requirements</w:t>
      </w:r>
      <w:r w:rsidRPr="00141C44">
        <w:rPr>
          <w:rFonts w:ascii="Times New Roman" w:eastAsia="Times New Roman" w:hAnsi="Times New Roman" w:cs="Times New Roman"/>
          <w:kern w:val="0"/>
          <w:lang w:eastAsia="en-ZA"/>
          <w14:ligatures w14:val="none"/>
        </w:rPr>
        <w:br/>
        <w:t>• Lower storage requirements</w:t>
      </w:r>
      <w:r w:rsidRPr="00141C44">
        <w:rPr>
          <w:rFonts w:ascii="Times New Roman" w:eastAsia="Times New Roman" w:hAnsi="Times New Roman" w:cs="Times New Roman"/>
          <w:kern w:val="0"/>
          <w:lang w:eastAsia="en-ZA"/>
          <w14:ligatures w14:val="none"/>
        </w:rPr>
        <w:br/>
        <w:t>• Strategic stockpiling capability</w:t>
      </w:r>
      <w:r w:rsidRPr="00141C44">
        <w:rPr>
          <w:rFonts w:ascii="Times New Roman" w:eastAsia="Times New Roman" w:hAnsi="Times New Roman" w:cs="Times New Roman"/>
          <w:kern w:val="0"/>
          <w:lang w:eastAsia="en-ZA"/>
          <w14:ligatures w14:val="none"/>
        </w:rPr>
        <w:br/>
        <w:t>• Rapid deployment potential</w:t>
      </w:r>
      <w:r w:rsidRPr="00141C44">
        <w:rPr>
          <w:rFonts w:ascii="Times New Roman" w:eastAsia="Times New Roman" w:hAnsi="Times New Roman" w:cs="Times New Roman"/>
          <w:kern w:val="0"/>
          <w:lang w:eastAsia="en-ZA"/>
          <w14:ligatures w14:val="none"/>
        </w:rPr>
        <w:br/>
        <w:t>• Flexible application methods</w:t>
      </w:r>
      <w:r w:rsidRPr="00141C44">
        <w:rPr>
          <w:rFonts w:ascii="Times New Roman" w:eastAsia="Times New Roman" w:hAnsi="Times New Roman" w:cs="Times New Roman"/>
          <w:kern w:val="0"/>
          <w:lang w:eastAsia="en-ZA"/>
          <w14:ligatures w14:val="none"/>
        </w:rPr>
        <w:br/>
        <w:t>• Practical implementation across multiple sectors</w:t>
      </w:r>
    </w:p>
    <w:p w14:paraId="01AE1CB8"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This makes SANI-99™ suitable for organisations seeking to strengthen environmental hygiene readiness before emergencies occur.</w:t>
      </w:r>
    </w:p>
    <w:p w14:paraId="0F9068CF" w14:textId="77777777" w:rsidR="00141C44" w:rsidRPr="00141C44" w:rsidRDefault="00141C44" w:rsidP="00141C44">
      <w:pPr>
        <w:spacing w:after="0"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pict w14:anchorId="5E9376D6">
          <v:rect id="_x0000_i1095" style="width:0;height:1.5pt" o:hralign="center" o:hrstd="t" o:hr="t" fillcolor="#a0a0a0" stroked="f"/>
        </w:pict>
      </w:r>
    </w:p>
    <w:p w14:paraId="321175E4"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t>Potential Stakeholders</w:t>
      </w:r>
    </w:p>
    <w:p w14:paraId="62E46825"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We welcome engagement with:</w:t>
      </w:r>
    </w:p>
    <w:p w14:paraId="6F7C35BF" w14:textId="77777777" w:rsid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 Ministries of Health</w:t>
      </w:r>
      <w:r w:rsidRPr="00141C44">
        <w:rPr>
          <w:rFonts w:ascii="Times New Roman" w:eastAsia="Times New Roman" w:hAnsi="Times New Roman" w:cs="Times New Roman"/>
          <w:kern w:val="0"/>
          <w:lang w:eastAsia="en-ZA"/>
          <w14:ligatures w14:val="none"/>
        </w:rPr>
        <w:br/>
        <w:t>• Public Health Authorities</w:t>
      </w:r>
      <w:r w:rsidRPr="00141C44">
        <w:rPr>
          <w:rFonts w:ascii="Times New Roman" w:eastAsia="Times New Roman" w:hAnsi="Times New Roman" w:cs="Times New Roman"/>
          <w:kern w:val="0"/>
          <w:lang w:eastAsia="en-ZA"/>
          <w14:ligatures w14:val="none"/>
        </w:rPr>
        <w:br/>
        <w:t>• Disaster Management Agencies</w:t>
      </w:r>
      <w:r w:rsidRPr="00141C44">
        <w:rPr>
          <w:rFonts w:ascii="Times New Roman" w:eastAsia="Times New Roman" w:hAnsi="Times New Roman" w:cs="Times New Roman"/>
          <w:kern w:val="0"/>
          <w:lang w:eastAsia="en-ZA"/>
          <w14:ligatures w14:val="none"/>
        </w:rPr>
        <w:br/>
        <w:t>• Hospitals &amp; Clinics</w:t>
      </w:r>
      <w:r w:rsidRPr="00141C44">
        <w:rPr>
          <w:rFonts w:ascii="Times New Roman" w:eastAsia="Times New Roman" w:hAnsi="Times New Roman" w:cs="Times New Roman"/>
          <w:kern w:val="0"/>
          <w:lang w:eastAsia="en-ZA"/>
          <w14:ligatures w14:val="none"/>
        </w:rPr>
        <w:br/>
        <w:t>• Healthcare Procurement Teams</w:t>
      </w:r>
      <w:r w:rsidRPr="00141C44">
        <w:rPr>
          <w:rFonts w:ascii="Times New Roman" w:eastAsia="Times New Roman" w:hAnsi="Times New Roman" w:cs="Times New Roman"/>
          <w:kern w:val="0"/>
          <w:lang w:eastAsia="en-ZA"/>
          <w14:ligatures w14:val="none"/>
        </w:rPr>
        <w:br/>
        <w:t>• NGOs &amp; Humanitarian Organisations</w:t>
      </w:r>
      <w:r w:rsidRPr="00141C44">
        <w:rPr>
          <w:rFonts w:ascii="Times New Roman" w:eastAsia="Times New Roman" w:hAnsi="Times New Roman" w:cs="Times New Roman"/>
          <w:kern w:val="0"/>
          <w:lang w:eastAsia="en-ZA"/>
          <w14:ligatures w14:val="none"/>
        </w:rPr>
        <w:br/>
        <w:t>• Emergency Response Teams</w:t>
      </w:r>
      <w:r w:rsidRPr="00141C44">
        <w:rPr>
          <w:rFonts w:ascii="Times New Roman" w:eastAsia="Times New Roman" w:hAnsi="Times New Roman" w:cs="Times New Roman"/>
          <w:kern w:val="0"/>
          <w:lang w:eastAsia="en-ZA"/>
          <w14:ligatures w14:val="none"/>
        </w:rPr>
        <w:br/>
        <w:t>• Border Health Authorities</w:t>
      </w:r>
      <w:r w:rsidRPr="00141C44">
        <w:rPr>
          <w:rFonts w:ascii="Times New Roman" w:eastAsia="Times New Roman" w:hAnsi="Times New Roman" w:cs="Times New Roman"/>
          <w:kern w:val="0"/>
          <w:lang w:eastAsia="en-ZA"/>
          <w14:ligatures w14:val="none"/>
        </w:rPr>
        <w:br/>
        <w:t>• Medical Supply Distributors</w:t>
      </w:r>
      <w:r w:rsidRPr="00141C44">
        <w:rPr>
          <w:rFonts w:ascii="Times New Roman" w:eastAsia="Times New Roman" w:hAnsi="Times New Roman" w:cs="Times New Roman"/>
          <w:kern w:val="0"/>
          <w:lang w:eastAsia="en-ZA"/>
          <w14:ligatures w14:val="none"/>
        </w:rPr>
        <w:br/>
        <w:t>• Institutional Buyers</w:t>
      </w:r>
    </w:p>
    <w:p w14:paraId="78FDF34A"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lastRenderedPageBreak/>
        <w:t>Strategic Preparedness &amp; Stockpiling</w:t>
      </w:r>
    </w:p>
    <w:p w14:paraId="416B5505"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One of the key advantages of SANI-99™ is its suitability for strategic preparedness planning, stockpiling, and rapid deployment across healthcare, institutional, transport, humanitarian, and public-sector environments.</w:t>
      </w:r>
    </w:p>
    <w:p w14:paraId="4DA97376"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Organisations and institutions can maintain environmental hygiene readiness capabilities before an emergency occurs, allowing for rapid deployment should the need arise.</w:t>
      </w:r>
    </w:p>
    <w:p w14:paraId="78BF5D1E"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As demonstrated during recent public health emergencies, outbreak response places significant pressure on healthcare facilities, border operations, public institutions, transport infrastructure, and emergency-response systems. Maintaining environmental hygiene preparedness before an emergency occurs allows governments, institutions, and healthcare organisations to respond more effectively should additional preparedness measures become necessary.</w:t>
      </w:r>
    </w:p>
    <w:p w14:paraId="60642D46"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Scalable Preparedness Model</w:t>
      </w:r>
    </w:p>
    <w:p w14:paraId="7E29CD7D"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A strategic stockpile model can be implemented at national, state, provincial, district, and institutional level, enabling Ministries of Health, healthcare facilities, emergency management agencies, border authorities, humanitarian organisations, and public institutions to maintain scalable environmental disinfection capability.</w:t>
      </w:r>
    </w:p>
    <w:p w14:paraId="24BD264E"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b/>
          <w:bCs/>
          <w:kern w:val="0"/>
          <w:lang w:eastAsia="en-ZA"/>
          <w14:ligatures w14:val="none"/>
        </w:rPr>
        <w:t>High-Risk Population Centres &amp; International Gateways</w:t>
      </w:r>
    </w:p>
    <w:p w14:paraId="07733569" w14:textId="77777777" w:rsidR="00141C44" w:rsidRPr="00141C44" w:rsidRDefault="00141C44" w:rsidP="00141C44">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Up to 500,000 litres of ready-to-use disinfectant capability</w:t>
      </w:r>
    </w:p>
    <w:p w14:paraId="69D4C406"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b/>
          <w:bCs/>
          <w:kern w:val="0"/>
          <w:lang w:eastAsia="en-ZA"/>
          <w14:ligatures w14:val="none"/>
        </w:rPr>
        <w:t>Medium-Risk Regions</w:t>
      </w:r>
    </w:p>
    <w:p w14:paraId="227113F1" w14:textId="77777777" w:rsidR="00141C44" w:rsidRPr="00141C44" w:rsidRDefault="00141C44" w:rsidP="00141C44">
      <w:pPr>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Approximately 250,000 litres of ready-to-use disinfectant capability</w:t>
      </w:r>
    </w:p>
    <w:p w14:paraId="6716BE65"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b/>
          <w:bCs/>
          <w:kern w:val="0"/>
          <w:lang w:eastAsia="en-ZA"/>
          <w14:ligatures w14:val="none"/>
        </w:rPr>
        <w:t>Districts, Municipalities &amp; Institutional Facilities</w:t>
      </w:r>
    </w:p>
    <w:p w14:paraId="6E930B38" w14:textId="77777777" w:rsidR="00141C44" w:rsidRPr="00141C44" w:rsidRDefault="00141C44" w:rsidP="00141C44">
      <w:pPr>
        <w:numPr>
          <w:ilvl w:val="0"/>
          <w:numId w:val="9"/>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Approximately 100,000 litres or more based on operational requirements</w:t>
      </w:r>
    </w:p>
    <w:p w14:paraId="1A225E14"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This approach allows preparedness planning to be aligned with population density, healthcare infrastructure, transport activity, border movement, and public health risk profiles.</w:t>
      </w:r>
    </w:p>
    <w:p w14:paraId="337FED1F"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Logistics Advantage</w:t>
      </w:r>
    </w:p>
    <w:p w14:paraId="4DB89F85"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The lightweight powder formulation of SANI-99™ significantly reduces transportation and storage requirements compared with traditional pre-mixed disinfectants, making it highly practical for strategic reserves, emergency stockpiling programmes, outbreak preparedness initiatives, and large-scale deployment across Africa.</w:t>
      </w:r>
    </w:p>
    <w:p w14:paraId="3ECC8250" w14:textId="77777777" w:rsidR="00141C44" w:rsidRPr="00141C44" w:rsidRDefault="00141C44" w:rsidP="00141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141C44">
        <w:rPr>
          <w:rFonts w:ascii="Times New Roman" w:eastAsia="Times New Roman" w:hAnsi="Times New Roman" w:cs="Times New Roman"/>
          <w:b/>
          <w:bCs/>
          <w:kern w:val="0"/>
          <w:sz w:val="27"/>
          <w:szCs w:val="27"/>
          <w:lang w:eastAsia="en-ZA"/>
          <w14:ligatures w14:val="none"/>
        </w:rPr>
        <w:t>Stakeholder Engagement &amp; Implementation Support</w:t>
      </w:r>
    </w:p>
    <w:p w14:paraId="46B01E77"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 xml:space="preserve">To ensure proper coordination, technical support, implementation planning, demonstrations, sample evaluations, deployment discussions, preparedness assessments, and any potential </w:t>
      </w:r>
      <w:r w:rsidRPr="00141C44">
        <w:rPr>
          <w:rFonts w:ascii="Times New Roman" w:eastAsia="Times New Roman" w:hAnsi="Times New Roman" w:cs="Times New Roman"/>
          <w:kern w:val="0"/>
          <w:lang w:eastAsia="en-ZA"/>
          <w14:ligatures w14:val="none"/>
        </w:rPr>
        <w:lastRenderedPageBreak/>
        <w:t>procurement processes, interested stakeholders are encouraged to engage through Ubuntu Life Resources.</w:t>
      </w:r>
    </w:p>
    <w:p w14:paraId="6D8D882E"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Ubuntu Life Resources serves as the coordinating point for stakeholder engagement, deployment planning, technical support, demonstrations, sample requests, strategic stockpiling discussions, and implementation support.</w:t>
      </w:r>
    </w:p>
    <w:p w14:paraId="69AE3B74"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This ensures that all discussions, technical information, deployment requirements, and procurement processes are managed efficiently from the outset and aligned with the specific needs of each country, institution, healthcare group, humanitarian organisation, government department, or emergency-response agency.</w:t>
      </w:r>
    </w:p>
    <w:p w14:paraId="5C2BBCF6"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Our objective is not only to provide a product, but to support proactive preparedness discussions before an emergency occurs, ensuring that appropriate environmental hygiene resources, disinfection capabilities, and implementation support structures are available should they ever be required.</w:t>
      </w:r>
    </w:p>
    <w:p w14:paraId="2855693F"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B26C638" w14:textId="77777777" w:rsidR="00141C44" w:rsidRPr="00141C44" w:rsidRDefault="00141C44" w:rsidP="00141C44">
      <w:pPr>
        <w:spacing w:after="0"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pict w14:anchorId="5A42E9A6">
          <v:rect id="_x0000_i1096" style="width:0;height:1.5pt" o:hralign="center" o:hrstd="t" o:hr="t" fillcolor="#a0a0a0" stroked="f"/>
        </w:pict>
      </w:r>
    </w:p>
    <w:p w14:paraId="698F001F" w14:textId="77777777" w:rsidR="00141C44" w:rsidRPr="00141C44" w:rsidRDefault="00141C44" w:rsidP="00141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141C44">
        <w:rPr>
          <w:rFonts w:ascii="Times New Roman" w:eastAsia="Times New Roman" w:hAnsi="Times New Roman" w:cs="Times New Roman"/>
          <w:b/>
          <w:bCs/>
          <w:kern w:val="0"/>
          <w:sz w:val="36"/>
          <w:szCs w:val="36"/>
          <w:lang w:eastAsia="en-ZA"/>
          <w14:ligatures w14:val="none"/>
        </w:rPr>
        <w:t>Let's Strengthen Preparedness Together</w:t>
      </w:r>
    </w:p>
    <w:p w14:paraId="2E04A4CB"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Ubuntu Life Resources remains committed to supporting stronger environmental hygiene, sanitation, biosecurity, and infection-control readiness across Africa.</w:t>
      </w:r>
    </w:p>
    <w:p w14:paraId="0332B912"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Whether planning for future emergencies, strengthening institutional preparedness, or exploring scalable hygiene solutions, we welcome the opportunity to engage.</w:t>
      </w:r>
    </w:p>
    <w:p w14:paraId="4BF2994B"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Contact Us</w:t>
      </w:r>
    </w:p>
    <w:p w14:paraId="34EF9D1A" w14:textId="7777777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Times New Roman" w:eastAsia="Times New Roman" w:hAnsi="Times New Roman" w:cs="Times New Roman"/>
          <w:kern w:val="0"/>
          <w:lang w:eastAsia="en-ZA"/>
          <w14:ligatures w14:val="none"/>
        </w:rPr>
        <w:t>Sanchia Smit</w:t>
      </w:r>
      <w:r w:rsidRPr="00141C44">
        <w:rPr>
          <w:rFonts w:ascii="Times New Roman" w:eastAsia="Times New Roman" w:hAnsi="Times New Roman" w:cs="Times New Roman"/>
          <w:kern w:val="0"/>
          <w:lang w:eastAsia="en-ZA"/>
          <w14:ligatures w14:val="none"/>
        </w:rPr>
        <w:br/>
        <w:t>Ubuntu Life Resources</w:t>
      </w:r>
    </w:p>
    <w:p w14:paraId="676ACA88" w14:textId="24DD7BC7" w:rsidR="00141C44" w:rsidRPr="00141C44" w:rsidRDefault="00141C44" w:rsidP="00141C44">
      <w:pPr>
        <w:spacing w:before="100" w:beforeAutospacing="1" w:after="100" w:afterAutospacing="1" w:line="240" w:lineRule="auto"/>
        <w:rPr>
          <w:rFonts w:ascii="Times New Roman" w:eastAsia="Times New Roman" w:hAnsi="Times New Roman" w:cs="Times New Roman"/>
          <w:kern w:val="0"/>
          <w:lang w:eastAsia="en-ZA"/>
          <w14:ligatures w14:val="none"/>
        </w:rPr>
      </w:pPr>
      <w:r w:rsidRPr="00141C44">
        <w:rPr>
          <w:rFonts w:ascii="Segoe UI Emoji" w:eastAsia="Times New Roman" w:hAnsi="Segoe UI Emoji" w:cs="Segoe UI Emoji"/>
          <w:kern w:val="0"/>
          <w:lang w:eastAsia="en-ZA"/>
          <w14:ligatures w14:val="none"/>
        </w:rPr>
        <w:t>📧</w:t>
      </w:r>
      <w:r w:rsidRPr="00141C44">
        <w:rPr>
          <w:rFonts w:ascii="Times New Roman" w:eastAsia="Times New Roman" w:hAnsi="Times New Roman" w:cs="Times New Roman"/>
          <w:kern w:val="0"/>
          <w:lang w:eastAsia="en-ZA"/>
          <w14:ligatures w14:val="none"/>
        </w:rPr>
        <w:t xml:space="preserve"> </w:t>
      </w:r>
      <w:hyperlink r:id="rId6" w:history="1">
        <w:r w:rsidRPr="00141C44">
          <w:rPr>
            <w:rFonts w:ascii="Times New Roman" w:eastAsia="Times New Roman" w:hAnsi="Times New Roman" w:cs="Times New Roman"/>
            <w:color w:val="0000FF"/>
            <w:kern w:val="0"/>
            <w:u w:val="single"/>
            <w:lang w:eastAsia="en-ZA"/>
            <w14:ligatures w14:val="none"/>
          </w:rPr>
          <w:t>sanchia@ubuntuliferesources.co.za</w:t>
        </w:r>
      </w:hyperlink>
      <w:r w:rsidRPr="00141C44">
        <w:rPr>
          <w:rFonts w:ascii="Times New Roman" w:eastAsia="Times New Roman" w:hAnsi="Times New Roman" w:cs="Times New Roman"/>
          <w:kern w:val="0"/>
          <w:lang w:eastAsia="en-ZA"/>
          <w14:ligatures w14:val="none"/>
        </w:rPr>
        <w:br/>
      </w:r>
      <w:r w:rsidRPr="00141C44">
        <w:rPr>
          <w:rFonts w:ascii="Times New Roman" w:eastAsia="Times New Roman" w:hAnsi="Times New Roman" w:cs="Times New Roman"/>
          <w:kern w:val="0"/>
          <w:lang w:eastAsia="en-ZA"/>
          <w14:ligatures w14:val="none"/>
        </w:rPr>
        <w:br/>
      </w:r>
    </w:p>
    <w:p w14:paraId="0D19E870" w14:textId="0DBFBB4E" w:rsidR="00C81A6B" w:rsidRPr="00A961AD" w:rsidRDefault="00C81A6B" w:rsidP="0008588B">
      <w:pPr>
        <w:spacing w:before="100" w:beforeAutospacing="1" w:after="100" w:afterAutospacing="1" w:line="240" w:lineRule="auto"/>
        <w:rPr>
          <w:rFonts w:ascii="Poppins" w:eastAsia="Times New Roman" w:hAnsi="Poppins" w:cs="Poppins"/>
          <w:b/>
          <w:bCs/>
          <w:kern w:val="0"/>
          <w:sz w:val="18"/>
          <w:szCs w:val="18"/>
          <w:lang w:eastAsia="en-ZA"/>
          <w14:ligatures w14:val="none"/>
        </w:rPr>
      </w:pPr>
    </w:p>
    <w:sectPr w:rsidR="00C81A6B" w:rsidRPr="00A96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21ED"/>
    <w:multiLevelType w:val="multilevel"/>
    <w:tmpl w:val="4F54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20C97"/>
    <w:multiLevelType w:val="multilevel"/>
    <w:tmpl w:val="3FB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15959"/>
    <w:multiLevelType w:val="multilevel"/>
    <w:tmpl w:val="FE0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501BE"/>
    <w:multiLevelType w:val="multilevel"/>
    <w:tmpl w:val="14EE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46A1C"/>
    <w:multiLevelType w:val="multilevel"/>
    <w:tmpl w:val="1936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37A3C"/>
    <w:multiLevelType w:val="hybridMultilevel"/>
    <w:tmpl w:val="E7CC0F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C063989"/>
    <w:multiLevelType w:val="multilevel"/>
    <w:tmpl w:val="EA4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D1A0F"/>
    <w:multiLevelType w:val="multilevel"/>
    <w:tmpl w:val="C0F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02BE1"/>
    <w:multiLevelType w:val="multilevel"/>
    <w:tmpl w:val="017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51394">
    <w:abstractNumId w:val="7"/>
  </w:num>
  <w:num w:numId="2" w16cid:durableId="18482065">
    <w:abstractNumId w:val="6"/>
  </w:num>
  <w:num w:numId="3" w16cid:durableId="2012178471">
    <w:abstractNumId w:val="5"/>
  </w:num>
  <w:num w:numId="4" w16cid:durableId="1399594399">
    <w:abstractNumId w:val="3"/>
  </w:num>
  <w:num w:numId="5" w16cid:durableId="1887569387">
    <w:abstractNumId w:val="1"/>
  </w:num>
  <w:num w:numId="6" w16cid:durableId="1035230146">
    <w:abstractNumId w:val="0"/>
  </w:num>
  <w:num w:numId="7" w16cid:durableId="1832942462">
    <w:abstractNumId w:val="4"/>
  </w:num>
  <w:num w:numId="8" w16cid:durableId="1174998257">
    <w:abstractNumId w:val="8"/>
  </w:num>
  <w:num w:numId="9" w16cid:durableId="1162113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F0"/>
    <w:rsid w:val="0008588B"/>
    <w:rsid w:val="000E6D04"/>
    <w:rsid w:val="00141C44"/>
    <w:rsid w:val="001A10C5"/>
    <w:rsid w:val="002401F2"/>
    <w:rsid w:val="00271CE9"/>
    <w:rsid w:val="003459BD"/>
    <w:rsid w:val="0035466D"/>
    <w:rsid w:val="003B7731"/>
    <w:rsid w:val="00453481"/>
    <w:rsid w:val="004B1D38"/>
    <w:rsid w:val="005258B6"/>
    <w:rsid w:val="006E1563"/>
    <w:rsid w:val="006E237C"/>
    <w:rsid w:val="00722592"/>
    <w:rsid w:val="007C73F0"/>
    <w:rsid w:val="007E194D"/>
    <w:rsid w:val="00805792"/>
    <w:rsid w:val="00870A76"/>
    <w:rsid w:val="00884F0C"/>
    <w:rsid w:val="008B50CB"/>
    <w:rsid w:val="00926C29"/>
    <w:rsid w:val="00973292"/>
    <w:rsid w:val="009A3B37"/>
    <w:rsid w:val="00A42906"/>
    <w:rsid w:val="00A9514A"/>
    <w:rsid w:val="00A961AD"/>
    <w:rsid w:val="00B96A18"/>
    <w:rsid w:val="00C35B50"/>
    <w:rsid w:val="00C81A6B"/>
    <w:rsid w:val="00CE7AE9"/>
    <w:rsid w:val="00CF10BB"/>
    <w:rsid w:val="00D67645"/>
    <w:rsid w:val="00DB6E6E"/>
    <w:rsid w:val="00DE15E2"/>
    <w:rsid w:val="00DF6E62"/>
    <w:rsid w:val="00E355FF"/>
    <w:rsid w:val="00EC4098"/>
    <w:rsid w:val="00F476CA"/>
    <w:rsid w:val="00FD57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59C9"/>
  <w15:chartTrackingRefBased/>
  <w15:docId w15:val="{3F8B1E98-6D50-4990-AD3A-FE239054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7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7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3F0"/>
    <w:rPr>
      <w:rFonts w:eastAsiaTheme="majorEastAsia" w:cstheme="majorBidi"/>
      <w:color w:val="272727" w:themeColor="text1" w:themeTint="D8"/>
    </w:rPr>
  </w:style>
  <w:style w:type="paragraph" w:styleId="Title">
    <w:name w:val="Title"/>
    <w:basedOn w:val="Normal"/>
    <w:next w:val="Normal"/>
    <w:link w:val="TitleChar"/>
    <w:uiPriority w:val="10"/>
    <w:qFormat/>
    <w:rsid w:val="007C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3F0"/>
    <w:pPr>
      <w:spacing w:before="160"/>
      <w:jc w:val="center"/>
    </w:pPr>
    <w:rPr>
      <w:i/>
      <w:iCs/>
      <w:color w:val="404040" w:themeColor="text1" w:themeTint="BF"/>
    </w:rPr>
  </w:style>
  <w:style w:type="character" w:customStyle="1" w:styleId="QuoteChar">
    <w:name w:val="Quote Char"/>
    <w:basedOn w:val="DefaultParagraphFont"/>
    <w:link w:val="Quote"/>
    <w:uiPriority w:val="29"/>
    <w:rsid w:val="007C73F0"/>
    <w:rPr>
      <w:i/>
      <w:iCs/>
      <w:color w:val="404040" w:themeColor="text1" w:themeTint="BF"/>
    </w:rPr>
  </w:style>
  <w:style w:type="paragraph" w:styleId="ListParagraph">
    <w:name w:val="List Paragraph"/>
    <w:basedOn w:val="Normal"/>
    <w:uiPriority w:val="34"/>
    <w:qFormat/>
    <w:rsid w:val="007C73F0"/>
    <w:pPr>
      <w:ind w:left="720"/>
      <w:contextualSpacing/>
    </w:pPr>
  </w:style>
  <w:style w:type="character" w:styleId="IntenseEmphasis">
    <w:name w:val="Intense Emphasis"/>
    <w:basedOn w:val="DefaultParagraphFont"/>
    <w:uiPriority w:val="21"/>
    <w:qFormat/>
    <w:rsid w:val="007C73F0"/>
    <w:rPr>
      <w:i/>
      <w:iCs/>
      <w:color w:val="0F4761" w:themeColor="accent1" w:themeShade="BF"/>
    </w:rPr>
  </w:style>
  <w:style w:type="paragraph" w:styleId="IntenseQuote">
    <w:name w:val="Intense Quote"/>
    <w:basedOn w:val="Normal"/>
    <w:next w:val="Normal"/>
    <w:link w:val="IntenseQuoteChar"/>
    <w:uiPriority w:val="30"/>
    <w:qFormat/>
    <w:rsid w:val="007C7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3F0"/>
    <w:rPr>
      <w:i/>
      <w:iCs/>
      <w:color w:val="0F4761" w:themeColor="accent1" w:themeShade="BF"/>
    </w:rPr>
  </w:style>
  <w:style w:type="character" w:styleId="IntenseReference">
    <w:name w:val="Intense Reference"/>
    <w:basedOn w:val="DefaultParagraphFont"/>
    <w:uiPriority w:val="32"/>
    <w:qFormat/>
    <w:rsid w:val="007C73F0"/>
    <w:rPr>
      <w:b/>
      <w:bCs/>
      <w:smallCaps/>
      <w:color w:val="0F4761" w:themeColor="accent1" w:themeShade="BF"/>
      <w:spacing w:val="5"/>
    </w:rPr>
  </w:style>
  <w:style w:type="paragraph" w:customStyle="1" w:styleId="isselectedend">
    <w:name w:val="isselectedend"/>
    <w:basedOn w:val="Normal"/>
    <w:rsid w:val="00884F0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884F0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4B1D38"/>
    <w:rPr>
      <w:color w:val="467886" w:themeColor="hyperlink"/>
      <w:u w:val="single"/>
    </w:rPr>
  </w:style>
  <w:style w:type="character" w:styleId="UnresolvedMention">
    <w:name w:val="Unresolved Mention"/>
    <w:basedOn w:val="DefaultParagraphFont"/>
    <w:uiPriority w:val="99"/>
    <w:semiHidden/>
    <w:unhideWhenUsed/>
    <w:rsid w:val="004B1D38"/>
    <w:rPr>
      <w:color w:val="605E5C"/>
      <w:shd w:val="clear" w:color="auto" w:fill="E1DFDD"/>
    </w:rPr>
  </w:style>
  <w:style w:type="character" w:styleId="Strong">
    <w:name w:val="Strong"/>
    <w:basedOn w:val="DefaultParagraphFont"/>
    <w:uiPriority w:val="22"/>
    <w:qFormat/>
    <w:rsid w:val="00354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chia@ubuntuliferesources.co.z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Sanchia-lynn Smit</dc:creator>
  <cp:keywords/>
  <dc:description/>
  <cp:lastModifiedBy>Sanchia-lynn Smit</cp:lastModifiedBy>
  <cp:revision>2</cp:revision>
  <cp:lastPrinted>2026-06-09T15:41:00Z</cp:lastPrinted>
  <dcterms:created xsi:type="dcterms:W3CDTF">2026-06-09T16:13:00Z</dcterms:created>
  <dcterms:modified xsi:type="dcterms:W3CDTF">2026-06-09T16:13:00Z</dcterms:modified>
</cp:coreProperties>
</file>