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Persuasion Layer: Fusing Grit and Glamour in High-Stakes Expeditionary Hospitality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Strategy: Bridging the Divide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at hand—unifying the raw, primal appeal of the hunt ("blood and guts") with the refined, exclusionary expectations of ultra-luxury hospitality ("linen and lavender")—represents one of the most complex challenges in modern brand strategy. The marketplace is currently bifurcated. On one side exists the "grit" consumer: the hunter driven by adrenaline, heritage, and the pursuit of the trophy, often marketed to with technical specifications and harvest statistics. On the other side is the "glamour" consumer: the spouse or non-hunting companion who seeks exclusivity, comfort, and ethical reassurance, traditionally courted with spa menus and passive game drives. The failure of most high-end outfitters lies in treating these as separate products sold to separate people.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strategic objective of this report is to define the "Bridge"—a persuasion layer that fuses these spectrums into a singular, cohesive narrative. This bridge is not built on compromise; it is built on elevation. We must elevate the hunt to the status of "Conservation Heroism" to satisfy the ethical conscience, and we must elevate the luxury experience to "Active Participation" to satisfy the need for meaning.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executes a four-phase strategic research plan designed to construct a digital presence that stops the user in their tracks. It moves beyond standard marketing into behavioral psychology, anthropological myth-making, and logistical perfection. The goal is to provide the architectural blueprints for a website and a brand identity that offers the "Permission Structure" for the hunter to book and the "Invitation Structure" for the spouse to agree, all wrapped in a "Privacy Shield" that guarantees social safety in an increasingly transparent world.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1: Researching the "Permission Structure" (Psychology)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barrier to booking a high-value lethal safari in the current cultural climate is not cost; it is social risk and moral calculation. The modern High-Net-Worth Individual (HNWI) operates under intense scrutiny. To sell the "blood and guts" of the hunt, we must wrap it in a sophisticated "Permission Structure." This structure provides the client with the rational and emotional arguments necessary to justify the expenditure and the act itself, both to themselves and to their social circle. This requires a dual-pronged approach: constructing the "Conservation Hero" narrative and deploying the "Privacy Shield."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"Conservation Hero" Verbiage and Narrative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"Conservation Hero" narrative rebrands the hunter from a "taker" of life to a "giver" of sustainability. Research into the communication strategies of the Dallas Safari Club (DSC) and the Friedkin Conservation Fund (FCF) reveals a distinct shift in lexicon that must be emulated and refined for the new web presence.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Dallas Safari Club’s mission statement explicitly avoids the terminology of sport for sport’s sake, instead framing their activities as ensuring the conservation of wildlife through "public engagement, education and advocacy for well-regulated hunting and sustainable use".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nuance here is critical: the hunt is not the end product; "sustainable use" is the product, and the hunt is merely the mechanism. The vision is a society that "values wildlife" and understands the role of hunting in "wild resources".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commodification of nature—viewing animals as "wild resources"—is a pivotal psychological shift. It moves the discourse from emotionalism to economics/ecology, a language that HNWIs, often successful in business, intuitively understand.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vague mission statements are insufficient for a persuasion layer. The "Conservation Hero" narrative requires granular, irrefutable metrics. The Friedkin Conservation Fund (FCF) provides a masterclass in this "impact reporting." Their annual reports do not simply list funds raised; they quantify the </w:t>
      </w:r>
      <w:r w:rsidDel="00000000" w:rsidR="00000000" w:rsidRPr="00000000">
        <w:rPr>
          <w:rFonts w:ascii="Google Sans Text" w:cs="Google Sans Text" w:eastAsia="Google Sans Text" w:hAnsi="Google Sans Text"/>
          <w:i w:val="1"/>
          <w:iCs w:val="1"/>
          <w:color w:val="1f1f1f"/>
          <w:rtl w:val="0"/>
        </w:rPr>
        <w:t xml:space="preserve">operational reality</w:t>
      </w:r>
      <w:r w:rsidDel="00000000" w:rsidR="00000000" w:rsidRPr="00000000">
        <w:rPr>
          <w:rFonts w:ascii="Google Sans Text" w:cs="Google Sans Text" w:eastAsia="Google Sans Text" w:hAnsi="Google Sans Text"/>
          <w:color w:val="1f1f1f"/>
          <w:rtl w:val="0"/>
        </w:rPr>
        <w:t xml:space="preserve"> of conservation. For instance, their 2024 data highlights specific metrics: "1,263 anti-poaching ground patrols conducted," "856 total hours patrolling" via aerial reconnaissance, and "39 poaching camps" destroyed.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level of detail transforms the hunter’s fee from a purchase of pleasure into a funding mechanism for a paramilitary operation against poachers.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must utilize this "Impact Report" style. It is not enough to say "we protect rhinos." The copy must mirror the FCF’s specificity: "Together with the Grumeti Fund and the Frankfurt Zoological Society... providing logistical and operations support to aid its rhino horn micro-chipping project".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language used by FCF regarding "eyes in the sky" and "rapid response to poaching incidents"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borrows from military vernacular, appealing to the "grit" side of the spectrum while satisfying the "glamour" side's desire for ethical justification. The hunter is not buying a trophy; they are buying the fuel for the spotter plane and the salary for the ranger.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narrative must extend beyond wildlife to "Community Empowerment." The permission structure is strengthened when the hunt is linked to humanitarian outcomes. FCF’s data connects conservation directly to human welfare: "600 children received daily lunch," "200 children received bikes," and "1,443 kg honey harvested".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inclusion of "honey harvested" is a subtle but brilliant touch of "lavender"—a soft, sensory metric that balances the "blood" of the anti-poaching statistics. The "Permission Structure" is thus complete: The client is a hero who feeds children and protects endangered species. The website must position the "Check Availability" button not as a transaction, but as a commitment to this ecosystem.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"Privacy Shield": Adapting Luxury Rehab and Private Banking Protocols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moral permission is established, the social permission must be secured. In an era of "cancel culture" and digital transparency, the HNWI hunter fears the reputational damage of being identified. To bridge the gap to "linen and lavender," the project must adopt the aggressive privacy standards of luxury rehabilitation centers and Swiss private banking.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into luxury rehab marketing reveals a "Privacy Guarantee" that acts as a primary trust signal. Facilities like Paracelsus in Zurich cater to royalty and celebrities by ensuring they are "completely discreet," often taking only "one client at a time".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"one client" model is the ultimate luxury—total isolation. The rehab sector markets "discreet locations" that are "not recognizable as treatment centers from the outside".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For our project, this translates to a "Privacy Shield" feature on the website. The user must be assured that their presence in the field is invisible. The "Privacy Shield" verbiage should borrow directly from the medical sector: "removing yourself from your everyday environment," "reducing circumstantial triggers," and offering "total seclusion" in "remote, naturally beautiful settings".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can further deepen this shield by incorporating the language of "Digital Anonymity" found in private banking. Research into Central Bank Digital Currencies (CBDC) and anonymous banking highlights the concept of "unmanaged anonymity" versus "managed anonymity".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project should market a form of "managed anonymity," where the operator knows the client (KYC), but the outside world sees only a "pseudonymous identity".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mimics the "Avatar" concept in personalized banking, where "John purchased X" becomes "This person purchased X".</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should explicitly market a "Digital Faraday Cage." Borrowing from the "Privacy Policy" language of high-end service providers, we can assure clients that while "IP addresses will automatically be recorded," the organization "does not undertake analyses to achieve this end nor does it use such data for its own promotional purposes".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"Privacy Shield" is not just about hiding; it is about </w:t>
      </w:r>
      <w:r w:rsidDel="00000000" w:rsidR="00000000" w:rsidRPr="00000000">
        <w:rPr>
          <w:rFonts w:ascii="Google Sans Text" w:cs="Google Sans Text" w:eastAsia="Google Sans Text" w:hAnsi="Google Sans Text"/>
          <w:i w:val="1"/>
          <w:iCs w:val="1"/>
          <w:color w:val="1f1f1f"/>
          <w:rtl w:val="0"/>
        </w:rPr>
        <w:t xml:space="preserve">control</w:t>
      </w:r>
      <w:r w:rsidDel="00000000" w:rsidR="00000000" w:rsidRPr="00000000">
        <w:rPr>
          <w:rFonts w:ascii="Google Sans Text" w:cs="Google Sans Text" w:eastAsia="Google Sans Text" w:hAnsi="Google Sans Text"/>
          <w:color w:val="1f1f1f"/>
          <w:rtl w:val="0"/>
        </w:rPr>
        <w:t xml:space="preserve">. Just as luxury rehabs offer "private villas" and "exclusive one-on-one treatment" to avoid "bumping into familiar faces"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safari experience must be marketed as a "bubble" of privacy.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this privacy extends to the celebrity sphere, where Non-Disclosure Agreements (NDAs) are now standard romantic currency. Reports indicate that celebrities like Raven-Symoné and Jack Harlow require NDAs even for casual dates to ensure "my texts aren't meant for your friends".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cultural acceptance of the NDA as a prerequisite for intimacy suggests that the website should prominently feature a "Confidentiality Charter." This Charter would promise that staff, from the tracker to the concierge, are bound by strict NDAs, similar to how Rachel Brosnahan’s "witch" had to sign an NDA before performing a ritual.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elevates the safari operator to the level of a "fixer" or a high-level security firm, creating a "safe space" where the hunter can be their authentic self without fear of leakage.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The "Permission Structure" Lexicon Shift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"Blood" Marketing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New "Bridge"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"Trophy Hunting"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"Sustainable Use &amp; Wildlife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Ego to Ecology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"Killing / Shooting"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"Harvesting / Vita-Darting"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Violence to Agriculture/Science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"Big Five"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"Iconic Species Conservation"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Checklist to Stewardship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"Hunting Trip"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"Conservation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Vacation to Mission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"Taxidermy"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"DNA Databasing &amp; Micro-chipping"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Shifts from Decoration to Scientific Data</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fusion of "Conservation Hero" (Public Justification) and "Privacy Shield" (Private Protection) creates a psychological environment where the client feels both morally righteous and socially secure. This is the foundation of the "Permission Structure."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2: Researching the "Spouse Veto" (The Observer)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"Spouse Veto" is the single greatest point of friction in the sales cycle of high-end hunting expeditions. The traditional model relegates the non-hunting partner (usually the wife) to the lodge, where she is expected to enjoy spa treatments while the husband engages in the "real" adventure. Research indicates this is a failed strategy. Reviews from "bored" non-hunters describe such experiences as "underwhelming," a "glorified zoo," and express frustration at "just sitting at camp".</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To bridge the gap, the project must conduct a "Widow-Maker" Audit and implement the "Active Participation" model.</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"Widow-Maker" Audit: Diagnosing the Failure of Passive Luxury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 "Widow-Maker" in this context refers to the itinerary that separates the couple, leaving the non-hunter isolated and disengaged. The research reveals that high-end amenities (pools, massages, wine tasting) are insufficient if the core experience—the connection with the wild—is missing. Reviews of Aquila Game Reserve, for example, highlight the disdain for "fed animals" and "lazy obese lions," with tourists feeling embarrassed to have taken friends there.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"glamour" consumer is not looking for a sterile, zoo-like experience; they are looking for </w:t>
      </w:r>
      <w:r w:rsidDel="00000000" w:rsidR="00000000" w:rsidRPr="00000000">
        <w:rPr>
          <w:rFonts w:ascii="Google Sans Text" w:cs="Google Sans Text" w:eastAsia="Google Sans Text" w:hAnsi="Google Sans Text"/>
          <w:i w:val="1"/>
          <w:iCs w:val="1"/>
          <w:color w:val="1f1f1f"/>
          <w:rtl w:val="0"/>
        </w:rPr>
        <w:t xml:space="preserve">authenticity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"Widow-Maker" Audit reveals that "passive observation" is the enemy. Sitting in a vehicle while someone else tracks and shoots is alienating. The "bored" reviews explicitly mention the lack of "unpredictability" and the feeling of being on a "bus tour".</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To kill the "Cancellation Anxiety" of the spouse, the itinerary must offer agency. The non-hunter must not be a passenger; they must be a protagonist.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Participation" (Non-Lethal): The Veterinary Bridge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solution to the "Spouse Veto" is to bridge the "blood" and "lavender" through "Active Participation" in veterinary and conservation activities. This transforms the non-hunter from an observer into a participant in a high-stakes medical operation.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into "Veterinary Safaris" and "Rhino Darting" provides the blueprint. Operators like Wildlife Adventure Africa and African Conservation Experience market these not as tours, but as "work." The language used is visceral and engaging: "monitoring the vital signs of a giraffe," "relocate a herd of antelope," "caring for a dog injured by a warthog".</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is "real veterinary work, not simulated training".</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"Vita Dart" experience is the perfect bridge mechanism. It allows the non-hunter to participate in the "stalk" and the "hunt" without the lethal outcome. The client stalks the rhino to within thirty yards—retaining the adrenaline and skill of the hunt—but fires a "vitamin dart" instead of a bullet.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is described as a "highly ethical and exhilarating means of hunting".</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the non-hunter’s role during the immobilization phase is tactile and emotional. Once the animal is down, the observer is not just watching; they are "touching the anaesthetised rhino," assisting with "tagging the sleeping rhino's ear," and helping to "pour water over the rhino" to regulate its temperature.</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They are involved in "blood samples, micro-chipping, DNA ID's".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creates a powerful shared narrative for the couple. They are no longer "Hunter and Wife"; they are a "Conservation Team."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must market this "Active Participation" with the same intensity as the lethal hunt. The imagery should show the "linen and lavender" demographic—hands gloved, assisting the vet, touching the rough skin of the rhino. The copy should emphasize the </w:t>
      </w:r>
      <w:r w:rsidDel="00000000" w:rsidR="00000000" w:rsidRPr="00000000">
        <w:rPr>
          <w:rFonts w:ascii="Google Sans Text" w:cs="Google Sans Text" w:eastAsia="Google Sans Text" w:hAnsi="Google Sans Text"/>
          <w:i w:val="1"/>
          <w:iCs w:val="1"/>
          <w:color w:val="1f1f1f"/>
          <w:rtl w:val="0"/>
        </w:rPr>
        <w:t xml:space="preserve">intimacy</w:t>
      </w:r>
      <w:r w:rsidDel="00000000" w:rsidR="00000000" w:rsidRPr="00000000">
        <w:rPr>
          <w:rFonts w:ascii="Google Sans Text" w:cs="Google Sans Text" w:eastAsia="Google Sans Text" w:hAnsi="Google Sans Text"/>
          <w:color w:val="1f1f1f"/>
          <w:rtl w:val="0"/>
        </w:rPr>
        <w:t xml:space="preserve"> of the encounter: "never-to-be-repeated opportunity to touch," "play an active role".</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reframes the entire expedition. The husband gets his "blood and guts" (the stalk, the danger, the ballistics), and the wife gets her "conservation heroism" (the medical care, the saving of a species).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this model allows for "Green Hunts" to be marketed as a luxury product. The scientific necessity of these procedures (DNA databasing, pregnancy tests) provides the intellectual alibi.</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It answers the question, "Why are we doing this?" with a scientific imperative. The "Spouse Veto" is silenced not by distracting the spouse with a massage, but by recruiting the spouse into the mission.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The "Widow-Maker" vs. "Power Couple" Itinerary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"Widow-Maker" (Passive)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"Power Couple" (Active 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Spouse stays at lodge/spa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Spouse assists in Rhino Notching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shd w:fill="auto" w:val="clear"/>
                <w:rtl w:val="0"/>
              </w:rPr>
              <w:t xml:space="preserve"> "Touch the anaesthetised rhino"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Game Drive (Observation)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Veterinary Patrol (Participation)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shd w:fill="auto" w:val="clear"/>
                <w:rtl w:val="0"/>
              </w:rPr>
              <w:t xml:space="preserve"> "Work side by side with specialist vets"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"Fed Animals" / Zoo-like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"Wilderness Guardianship"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shd w:fill="auto" w:val="clear"/>
                <w:rtl w:val="0"/>
              </w:rPr>
              <w:t xml:space="preserve"> vs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"Guardians of wilderness"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Passive consumption of luxury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Active production of conservation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shd w:fill="auto" w:val="clear"/>
                <w:rtl w:val="0"/>
              </w:rPr>
              <w:t xml:space="preserve"> "Impact is something we monitor"</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3: Researching the "Digital Sensory" (The Hook)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stop the user in their tracks, the website must engage the "Digital Sensory." It must evoke the smell of the dust, the weight of the iron, and the tension of the stalk without relying on the crude shock value of gore. The aesthetic strategy fuses the "Iron Mountain" Mythos (Geology/Mythology) with "Clean Kill" Visuals (Cinematography/Technology).</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Mountain" Mythos: Geology as Brand Soul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needs a grounding metaphor that appeals to both the primal (masculine/hunter) and the spiritual (feminine/observer). The "Iron Mountain" concept, derived from the Thabazimbi region and African mythology, provides this bridge.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Thabazimbi, meaning "Mountain of Iron" in Tswana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offers a geological anchor. The research describes "massive iron ore deposits," "high-grade hematite ores," and a landscape of "rugged mountains looming from bush-covered plains".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geology is not just rock; it is a "structural contact" between ancient formations.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 website should utilize this "Deep Time" language. The landscape is not just a backdrop; it is an antagonist and a treasure house.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We can deepen this by weaving in the mythology of Iron in African culture. Research indicates that iron smelting was a "materialized cosmology," where the furnace was equated to the "body of a woman" and the smelting process to "gestation".</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The blacksmith was a figure of immense power, often a king, as seen in the "Blacksmith Kings" of Karagwe.</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 god Ogun (or Ogoun), the Yoruba deity of iron and war, embodies this duality: "civilizing and aggressive," a "master craftsman" and a "warrior".</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mythos fuses the "blood" (Ogun the Warrior) with the "lavender" (The Furnace as Womb/Creation). The website can use the "Iron Mountain" as a motif for the </w:t>
      </w:r>
      <w:r w:rsidDel="00000000" w:rsidR="00000000" w:rsidRPr="00000000">
        <w:rPr>
          <w:rFonts w:ascii="Google Sans Text" w:cs="Google Sans Text" w:eastAsia="Google Sans Text" w:hAnsi="Google Sans Text"/>
          <w:i w:val="1"/>
          <w:iCs w:val="1"/>
          <w:color w:val="1f1f1f"/>
          <w:rtl w:val="0"/>
        </w:rPr>
        <w:t xml:space="preserve">permanence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sanctity</w:t>
      </w:r>
      <w:r w:rsidDel="00000000" w:rsidR="00000000" w:rsidRPr="00000000">
        <w:rPr>
          <w:rFonts w:ascii="Google Sans Text" w:cs="Google Sans Text" w:eastAsia="Google Sans Text" w:hAnsi="Google Sans Text"/>
          <w:color w:val="1f1f1f"/>
          <w:rtl w:val="0"/>
        </w:rPr>
        <w:t xml:space="preserve"> of the experience. The hunt is not destruction; it is a ritual of transformation, as ancient as the "Early Paleoproterozoic Penge Iron Formation".</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 visual identity should feature the "steel-grey to blue-grey colour" of the hematite ore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contrasted with the rich reds of the soil and the gold of the savannah. This creates a "luxury industrial" aesthetic—rugged but refined.</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Kill" Visuals: The Sitka and Yeti Aesthetic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visual language of the website must reject the "trophy shot" (smiling hunter over dead animal) in favor of the "Clean Kill" aesthetic pioneered by brands like Sitka Gear and Yeti Coolers. These brands have successfully marketed the "outdoor lifestyle" to the masses by focusing on </w:t>
      </w:r>
      <w:r w:rsidDel="00000000" w:rsidR="00000000" w:rsidRPr="00000000">
        <w:rPr>
          <w:rFonts w:ascii="Google Sans Text" w:cs="Google Sans Text" w:eastAsia="Google Sans Text" w:hAnsi="Google Sans Text"/>
          <w:i w:val="1"/>
          <w:i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science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environment</w:t>
      </w:r>
      <w:r w:rsidDel="00000000" w:rsidR="00000000" w:rsidRPr="00000000">
        <w:rPr>
          <w:rFonts w:ascii="Google Sans Text" w:cs="Google Sans Text" w:eastAsia="Google Sans Text" w:hAnsi="Google Sans Text"/>
          <w:color w:val="1f1f1f"/>
          <w:rtl w:val="0"/>
        </w:rPr>
        <w:t xml:space="preserve"> rather than death.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Sitka’s marketing focuses on the "science of concealment." They use "fractal geometry" and "pursuit-specific breakup elements" based on the specific "visual processing speed" and "dichromatic" vision of deer.</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The narrative is about the </w:t>
      </w:r>
      <w:r w:rsidDel="00000000" w:rsidR="00000000" w:rsidRPr="00000000">
        <w:rPr>
          <w:rFonts w:ascii="Google Sans Text" w:cs="Google Sans Text" w:eastAsia="Google Sans Text" w:hAnsi="Google Sans Text"/>
          <w:i w:val="1"/>
          <w:iCs w:val="1"/>
          <w:color w:val="1f1f1f"/>
          <w:rtl w:val="0"/>
        </w:rPr>
        <w:t xml:space="preserve">intellectual</w:t>
      </w:r>
      <w:r w:rsidDel="00000000" w:rsidR="00000000" w:rsidRPr="00000000">
        <w:rPr>
          <w:rFonts w:ascii="Google Sans Text" w:cs="Google Sans Text" w:eastAsia="Google Sans Text" w:hAnsi="Google Sans Text"/>
          <w:color w:val="1f1f1f"/>
          <w:rtl w:val="0"/>
        </w:rPr>
        <w:t xml:space="preserve"> challenge of the hunt—outsmarting the prey's sensory systems. The website should adopt this "technical specification" style. Use the language of "spectral radiance," "fractal geometry," and "edge computing" to describe the equipment and the strategy. This appeals to the HNWI's appreciation for precision and technology.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Yeti Coolers provides the blueprint for "hero-making." Their "Built for the Wild" narrative focuses on the </w:t>
      </w:r>
      <w:r w:rsidDel="00000000" w:rsidR="00000000" w:rsidRPr="00000000">
        <w:rPr>
          <w:rFonts w:ascii="Google Sans Text" w:cs="Google Sans Text" w:eastAsia="Google Sans Text" w:hAnsi="Google Sans Text"/>
          <w:i w:val="1"/>
          <w:i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of the user. They feature "everyday people doing extraordinary things," making the customer the "hero of a story worth telling".</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The imagery focuses on the </w:t>
      </w:r>
      <w:r w:rsidDel="00000000" w:rsidR="00000000" w:rsidRPr="00000000">
        <w:rPr>
          <w:rFonts w:ascii="Google Sans Text" w:cs="Google Sans Text" w:eastAsia="Google Sans Text" w:hAnsi="Google Sans Text"/>
          <w:i w:val="1"/>
          <w:iCs w:val="1"/>
          <w:color w:val="1f1f1f"/>
          <w:rtl w:val="0"/>
        </w:rPr>
        <w:t xml:space="preserve">moment before</w:t>
      </w:r>
      <w:r w:rsidDel="00000000" w:rsidR="00000000" w:rsidRPr="00000000">
        <w:rPr>
          <w:rFonts w:ascii="Google Sans Text" w:cs="Google Sans Text" w:eastAsia="Google Sans Text" w:hAnsi="Google Sans Text"/>
          <w:color w:val="1f1f1f"/>
          <w:rtl w:val="0"/>
        </w:rPr>
        <w:t xml:space="preserve"> (the anticipation) and the </w:t>
      </w:r>
      <w:r w:rsidDel="00000000" w:rsidR="00000000" w:rsidRPr="00000000">
        <w:rPr>
          <w:rFonts w:ascii="Google Sans Text" w:cs="Google Sans Text" w:eastAsia="Google Sans Text" w:hAnsi="Google Sans Text"/>
          <w:i w:val="1"/>
          <w:iCs w:val="1"/>
          <w:color w:val="1f1f1f"/>
          <w:rtl w:val="0"/>
        </w:rPr>
        <w:t xml:space="preserve">moment after</w:t>
      </w:r>
      <w:r w:rsidDel="00000000" w:rsidR="00000000" w:rsidRPr="00000000">
        <w:rPr>
          <w:rFonts w:ascii="Google Sans Text" w:cs="Google Sans Text" w:eastAsia="Google Sans Text" w:hAnsi="Google Sans Text"/>
          <w:color w:val="1f1f1f"/>
          <w:rtl w:val="0"/>
        </w:rPr>
        <w:t xml:space="preserve"> (the camaraderie/campfire), but rarely the moment of impact. This is the "Clean Kill" visual strategy.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research on self-filming provides technical guidance for this aesthetic. The focus should be on "telling the tale of the hunt," capturing the "walk to your stand site," the "preparation," and the "landscape".</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The camera should focus on the </w:t>
      </w:r>
      <w:r w:rsidDel="00000000" w:rsidR="00000000" w:rsidRPr="00000000">
        <w:rPr>
          <w:rFonts w:ascii="Google Sans Text" w:cs="Google Sans Text" w:eastAsia="Google Sans Text" w:hAnsi="Google Sans Text"/>
          <w:i w:val="1"/>
          <w:iCs w:val="1"/>
          <w:color w:val="1f1f1f"/>
          <w:rtl w:val="0"/>
        </w:rPr>
        <w:t xml:space="preserve">emotion</w:t>
      </w:r>
      <w:r w:rsidDel="00000000" w:rsidR="00000000" w:rsidRPr="00000000">
        <w:rPr>
          <w:rFonts w:ascii="Google Sans Text" w:cs="Google Sans Text" w:eastAsia="Google Sans Text" w:hAnsi="Google Sans Text"/>
          <w:color w:val="1f1f1f"/>
          <w:rtl w:val="0"/>
        </w:rPr>
        <w:t xml:space="preserve"> of the hunter—the "belly laughter" or the intense focus—rather than the wound channel. As one source notes, "Being able to see someone's face during these moments helps viewers connect and feel the emotion".</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website should utilize "Cinematic B-Roll" as its primary visual currency. Slow-motion footage of the "Iron Mountain" landscape, macro shots of the "veterinary equipment" (dart guns, microchips), and wide drone shots of the "privacy bubble".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"kill" is implied, not shown. The "hook" is the immersion in a world that is ancient, technical, and exclusive.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The "Iron Mountain" Mythos Integration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Mythological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Website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Thabazimbi (Mountain of Iron)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Geological anchor; "Deep Time" permanence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Ogun (God of Iron/War)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"Warrior/Craftsman"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Forge as Womb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Connection to creation/life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Mapungubwe Smelting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Ancient lineage of African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39</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Phase 4: Researching the "Frictionless" Trust Signals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bridge is logistical. The "blood and guts" world involves firearms, permits, and risk. The "linen and lavender" world demands seamlessness. The website must project a "Frictionless" reality where the complexities of the hunt are invisible to the client.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"Door-to-Door" Concierge: The Logistics of Trust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transportation of firearms is a major friction point. The website must explicitly market a "Door-to-Door" concierge service that handles this legal minefield. Research into Gracy Travel and Air 2000 reveals the gold standard. The service must include "meeting you at the aircraft door," "escorting you through all immigration formalities," and a dedicated "permit team" that retrieves guns from the police.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language must be absolute: "We take pride in providing competent, prompt, and friendly service... we quality check, double check, and triple check".</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The mention of "bright orange bag-tags" to identify luggage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is a tangible trust signal—a visual cue that the client is part of a protected class.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concierge service must extend to "Lifestyle Management." Borrowing from Knightsbridge Circle, the service should be "invitation only" and capped at a low ratio (e.g., 4 members per manager) to ensure "proactive support".</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The concierge handles not just the guns, but the "private charter logistics," "priority reservations," and "exclusive access".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This reassures the "glamour" partner that their comfort is not an afterthought, but a priority managed by a "senior lifestyle manager".</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"Cancellation Anxiety" Killer: The Ultimate Safety Net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final friction point is the fear of the unknown—political unrest, medical emergency, or sudden cancellation. The website must deploy the "Cancellation Anxiety" Killer by integrating military-grade evacuation and insurance services.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into Global Rescue and Ripcord provides the necessary verbiage. The coverage must be "tailored for adventurers," covering "security evacuation" (extraction from civil unrest/terrorism), "search and rescue," and "medical evacuation to home hospital of choice".</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The inclusion of "Cancel For Any Reason" (CFAR) coverage </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is the ultimate luxury; it buys the freedom to change one’s mind.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language should be reassuringly militaristic: "deployed by special operations veterans," "field rescue," "crisis response".</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This appeals to the "grit" mindset (security/tactical) while comforting the "lavender" mindset (safety/care). The "Spouse Veto" is often rooted in safety concerns; knowing that a "paramilitary medical team" is on standby </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f1f1f"/>
          <w:rtl w:val="0"/>
        </w:rPr>
        <w:t xml:space="preserve"> neutralizes this fear.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Trust Signals &amp; Friction Removal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Friction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Provider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Gun Logistics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"Door-to-Door" Permit &amp; Transfer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Gracy Travel </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"Privacy Shield" &amp; NDAs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Luxury Rehabs/Celebrity NDAs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Medical/Security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Paramilitary Evacuation &amp; Field Rescue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Global Rescue/Ripcord </w:t>
            </w: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Financial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"Cancel For Any Reason"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Ripcord </w:t>
            </w:r>
            <w:r w:rsidDel="00000000" w:rsidR="00000000" w:rsidRPr="00000000">
              <w:rPr>
                <w:rFonts w:ascii="Google Sans Text" w:cs="Google Sans Text" w:eastAsia="Google Sans Text" w:hAnsi="Google Sans Text"/>
                <w:color w:val="444746"/>
                <w:sz w:val="24"/>
                <w:szCs w:val="24"/>
                <w:vertAlign w:val="superscript"/>
                <w:rtl w:val="0"/>
              </w:rPr>
              <w:t xml:space="preserve">46</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Strategic Synthesis: The "Bridge" Website Architecture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this exhaustive research, the website must be architected as follows:</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Landing Page (The Hook):</w:t>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High-resolution, cinematic video of the </w:t>
      </w:r>
      <w:r w:rsidDel="00000000" w:rsidR="00000000" w:rsidRPr="00000000">
        <w:rPr>
          <w:rFonts w:ascii="Google Sans Text" w:cs="Google Sans Text" w:eastAsia="Google Sans Text" w:hAnsi="Google Sans Text"/>
          <w:b w:val="1"/>
          <w:bCs w:val="1"/>
          <w:color w:val="1f1f1f"/>
          <w:rtl w:val="0"/>
        </w:rPr>
        <w:t xml:space="preserve">Thabazimbi Iron Mountains</w:t>
      </w:r>
      <w:r w:rsidDel="00000000" w:rsidR="00000000" w:rsidRPr="00000000">
        <w:rPr>
          <w:rFonts w:ascii="Google Sans Text" w:cs="Google Sans Text" w:eastAsia="Google Sans Text" w:hAnsi="Google Sans Text"/>
          <w:color w:val="1f1f1f"/>
          <w:rtl w:val="0"/>
        </w:rPr>
        <w:t xml:space="preserve"> at dusk. No animals, just the "ancient earth."</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Copy:</w:t>
      </w:r>
      <w:r w:rsidDel="00000000" w:rsidR="00000000" w:rsidRPr="00000000">
        <w:rPr>
          <w:rFonts w:ascii="Google Sans Text" w:cs="Google Sans Text" w:eastAsia="Google Sans Text" w:hAnsi="Google Sans Text"/>
          <w:color w:val="1f1f1f"/>
          <w:rtl w:val="0"/>
        </w:rPr>
        <w:t xml:space="preserve"> "Guardians of the Iron Mountain. Where Conservation Meets Legacy."</w:t>
      </w:r>
    </w:p>
    <w:p w:rsidR="00000000" w:rsidDel="00000000" w:rsidP="00000000" w:rsidRDefault="00000000" w:rsidRPr="00000000" w14:paraId="0000008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Trust Signal:</w:t>
      </w:r>
      <w:r w:rsidDel="00000000" w:rsidR="00000000" w:rsidRPr="00000000">
        <w:rPr>
          <w:rFonts w:ascii="Google Sans Text" w:cs="Google Sans Text" w:eastAsia="Google Sans Text" w:hAnsi="Google Sans Text"/>
          <w:color w:val="1f1f1f"/>
          <w:rtl w:val="0"/>
        </w:rPr>
        <w:t xml:space="preserve"> A discreet "Members Only / Invitation Required" login button (The Privacy Shield).</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"Impact" Page (Permission Structure):</w:t>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A "Friedkin-style" Impact Report. Live counters of "Patrol Hours," "Poaching Camps Destroyed," and "Microchips Implanted."</w:t>
      </w:r>
    </w:p>
    <w:p w:rsidR="00000000" w:rsidDel="00000000" w:rsidP="00000000" w:rsidRDefault="00000000" w:rsidRPr="00000000" w14:paraId="0000008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Narrative:</w:t>
      </w:r>
      <w:r w:rsidDel="00000000" w:rsidR="00000000" w:rsidRPr="00000000">
        <w:rPr>
          <w:rFonts w:ascii="Google Sans Text" w:cs="Google Sans Text" w:eastAsia="Google Sans Text" w:hAnsi="Google Sans Text"/>
          <w:color w:val="1f1f1f"/>
          <w:rtl w:val="0"/>
        </w:rPr>
        <w:t xml:space="preserve"> "Your hunt funds the war on poaching. You are the barrier between the rhino and extinction."</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"Experience" Page (The Spouse Bridge):</w:t>
      </w:r>
    </w:p>
    <w:p w:rsidR="00000000" w:rsidDel="00000000" w:rsidP="00000000" w:rsidRDefault="00000000" w:rsidRPr="00000000" w14:paraId="0000008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A split screen. Left side: The Hunter stalking (Sitka aesthetic, technical, calm). Right side: The Couple participating in a </w:t>
      </w:r>
      <w:r w:rsidDel="00000000" w:rsidR="00000000" w:rsidRPr="00000000">
        <w:rPr>
          <w:rFonts w:ascii="Google Sans Text" w:cs="Google Sans Text" w:eastAsia="Google Sans Text" w:hAnsi="Google Sans Text"/>
          <w:b w:val="1"/>
          <w:bCs w:val="1"/>
          <w:color w:val="1f1f1f"/>
          <w:rtl w:val="0"/>
        </w:rPr>
        <w:t xml:space="preserve">Veterinary Vita-Darting</w:t>
      </w:r>
      <w:r w:rsidDel="00000000" w:rsidR="00000000" w:rsidRPr="00000000">
        <w:rPr>
          <w:rFonts w:ascii="Google Sans Text" w:cs="Google Sans Text" w:eastAsia="Google Sans Text" w:hAnsi="Google Sans Text"/>
          <w:color w:val="1f1f1f"/>
          <w:rtl w:val="0"/>
        </w:rPr>
        <w:t xml:space="preserve"> operation (hands-on, medical, emotional).</w:t>
      </w:r>
    </w:p>
    <w:p w:rsidR="00000000" w:rsidDel="00000000" w:rsidP="00000000" w:rsidRDefault="00000000" w:rsidRPr="00000000" w14:paraId="0000008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Copy:</w:t>
      </w:r>
      <w:r w:rsidDel="00000000" w:rsidR="00000000" w:rsidRPr="00000000">
        <w:rPr>
          <w:rFonts w:ascii="Google Sans Text" w:cs="Google Sans Text" w:eastAsia="Google Sans Text" w:hAnsi="Google Sans Text"/>
          <w:color w:val="1f1f1f"/>
          <w:rtl w:val="0"/>
        </w:rPr>
        <w:t xml:space="preserve"> "Active Participation. Join the front line of veterinary science. Don't just observe—act."</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"Logistics" Page (Frictionless):</w:t>
      </w:r>
    </w:p>
    <w:p w:rsidR="00000000" w:rsidDel="00000000" w:rsidP="00000000" w:rsidRDefault="00000000" w:rsidRPr="00000000" w14:paraId="0000008C">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"Door-to-Door" Gun Concierge details. </w:t>
      </w:r>
      <w:r w:rsidDel="00000000" w:rsidR="00000000" w:rsidRPr="00000000">
        <w:rPr>
          <w:rFonts w:ascii="Google Sans Text" w:cs="Google Sans Text" w:eastAsia="Google Sans Text" w:hAnsi="Google Sans Text"/>
          <w:b w:val="1"/>
          <w:bCs w:val="1"/>
          <w:color w:val="1f1f1f"/>
          <w:rtl w:val="0"/>
        </w:rPr>
        <w:t xml:space="preserve">Global Rescue</w:t>
      </w:r>
      <w:r w:rsidDel="00000000" w:rsidR="00000000" w:rsidRPr="00000000">
        <w:rPr>
          <w:rFonts w:ascii="Google Sans Text" w:cs="Google Sans Text" w:eastAsia="Google Sans Text" w:hAnsi="Google Sans Text"/>
          <w:color w:val="1f1f1f"/>
          <w:rtl w:val="0"/>
        </w:rPr>
        <w:t xml:space="preserve"> partnership badges. </w:t>
      </w:r>
      <w:r w:rsidDel="00000000" w:rsidR="00000000" w:rsidRPr="00000000">
        <w:rPr>
          <w:rFonts w:ascii="Google Sans Text" w:cs="Google Sans Text" w:eastAsia="Google Sans Text" w:hAnsi="Google Sans Text"/>
          <w:b w:val="1"/>
          <w:bCs w:val="1"/>
          <w:color w:val="1f1f1f"/>
          <w:rtl w:val="0"/>
        </w:rPr>
        <w:t xml:space="preserve">NDA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Privacy Charter</w:t>
      </w:r>
      <w:r w:rsidDel="00000000" w:rsidR="00000000" w:rsidRPr="00000000">
        <w:rPr>
          <w:rFonts w:ascii="Google Sans Text" w:cs="Google Sans Text" w:eastAsia="Google Sans Text" w:hAnsi="Google Sans Text"/>
          <w:color w:val="1f1f1f"/>
          <w:rtl w:val="0"/>
        </w:rPr>
        <w:t xml:space="preserve"> explicit guarantees.</w:t>
      </w:r>
    </w:p>
    <w:p w:rsidR="00000000" w:rsidDel="00000000" w:rsidP="00000000" w:rsidRDefault="00000000" w:rsidRPr="00000000" w14:paraId="0000008D">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Copy:</w:t>
      </w:r>
      <w:r w:rsidDel="00000000" w:rsidR="00000000" w:rsidRPr="00000000">
        <w:rPr>
          <w:rFonts w:ascii="Google Sans Text" w:cs="Google Sans Text" w:eastAsia="Google Sans Text" w:hAnsi="Google Sans Text"/>
          <w:color w:val="1f1f1f"/>
          <w:rtl w:val="0"/>
        </w:rPr>
        <w:t xml:space="preserve"> "Operational Silence. We handle the permits, the physics, and the protection. You handle the experience."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This report demonstrates that the bridge between "blood and guts" and "linen and lavender" is built on </w:t>
      </w:r>
      <w:r w:rsidDel="00000000" w:rsidR="00000000" w:rsidRPr="00000000">
        <w:rPr>
          <w:rFonts w:ascii="Google Sans Text" w:cs="Google Sans Text" w:eastAsia="Google Sans Text" w:hAnsi="Google Sans Text"/>
          <w:b w:val="1"/>
          <w:bCs w:val="1"/>
          <w:color w:val="1f1f1f"/>
          <w:rtl w:val="0"/>
        </w:rPr>
        <w:t xml:space="preserve">agency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meaning</w:t>
      </w:r>
      <w:r w:rsidDel="00000000" w:rsidR="00000000" w:rsidRPr="00000000">
        <w:rPr>
          <w:rFonts w:ascii="Google Sans Text" w:cs="Google Sans Text" w:eastAsia="Google Sans Text" w:hAnsi="Google Sans Text"/>
          <w:color w:val="1f1f1f"/>
          <w:rtl w:val="0"/>
        </w:rPr>
        <w:t xml:space="preserve">. By elevating the hunt to a conservation imperative and the luxury to a participatory science, we create a product that is immune to the "Spouse Veto" and protected by a "Privacy Shield." This is the future of high-stakes expeditionary hospitality.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