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B211" w14:textId="1ADEB4A5" w:rsidR="005822A9" w:rsidRPr="005822A9" w:rsidRDefault="005822A9" w:rsidP="005822A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短線交易策略（Day Trade / Swing Trade）</w:t>
      </w:r>
    </w:p>
    <w:p w14:paraId="19ACF278" w14:textId="77777777" w:rsidR="005822A9" w:rsidRPr="005822A9" w:rsidRDefault="005822A9" w:rsidP="005822A9">
      <w:pPr>
        <w:rPr>
          <w:rFonts w:ascii="標楷體" w:eastAsia="標楷體" w:hAnsi="標楷體"/>
        </w:rPr>
      </w:pPr>
    </w:p>
    <w:p w14:paraId="20E8EA51" w14:textId="4FC80046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/>
        </w:rPr>
        <w:t>1️</w:t>
      </w:r>
      <w:r w:rsidRPr="005822A9">
        <w:rPr>
          <w:rFonts w:ascii="MS Mincho" w:eastAsia="MS Mincho" w:hAnsi="MS Mincho" w:cs="MS Mincho" w:hint="eastAsia"/>
        </w:rPr>
        <w:t>⃣</w:t>
      </w:r>
      <w:r w:rsidRPr="005822A9">
        <w:rPr>
          <w:rFonts w:ascii="標楷體" w:eastAsia="標楷體" w:hAnsi="標楷體"/>
        </w:rPr>
        <w:t xml:space="preserve"> </w:t>
      </w:r>
      <w:r w:rsidRPr="005822A9">
        <w:rPr>
          <w:rFonts w:ascii="標楷體" w:eastAsia="標楷體" w:hAnsi="標楷體" w:hint="eastAsia"/>
        </w:rPr>
        <w:t>趨勢型策略（順勢操作）</w:t>
      </w:r>
    </w:p>
    <w:p w14:paraId="04BD660B" w14:textId="46BF4D9A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適合標的：高流動性股票、ETF、加密貨幣。</w:t>
      </w:r>
    </w:p>
    <w:p w14:paraId="35D3B28C" w14:textId="3410F46C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技術指標組合：</w:t>
      </w:r>
    </w:p>
    <w:p w14:paraId="54D889BD" w14:textId="097DA728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EMA（指數移動平均線）：常用 5、10、20 EMA</w:t>
      </w:r>
    </w:p>
    <w:p w14:paraId="46725C6F" w14:textId="102A7DFD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訊號：短期 EMA 上穿長期 EMA → 多單；下穿 → 空單</w:t>
      </w:r>
    </w:p>
    <w:p w14:paraId="34F8FB2D" w14:textId="493012E6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MACD（指標交叉）：</w:t>
      </w:r>
    </w:p>
    <w:p w14:paraId="047AB18C" w14:textId="5451E00A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 xml:space="preserve">訊號：MACD </w:t>
      </w:r>
      <w:proofErr w:type="gramStart"/>
      <w:r w:rsidRPr="005822A9">
        <w:rPr>
          <w:rFonts w:ascii="標楷體" w:eastAsia="標楷體" w:hAnsi="標楷體" w:hint="eastAsia"/>
        </w:rPr>
        <w:t>線上穿</w:t>
      </w:r>
      <w:proofErr w:type="gramEnd"/>
      <w:r w:rsidRPr="005822A9">
        <w:rPr>
          <w:rFonts w:ascii="標楷體" w:eastAsia="標楷體" w:hAnsi="標楷體" w:hint="eastAsia"/>
        </w:rPr>
        <w:t xml:space="preserve"> Signal 線 → 多單；下穿 → 空單</w:t>
      </w:r>
    </w:p>
    <w:p w14:paraId="2098C7FB" w14:textId="640CBB58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RSI（相對強弱指標）：</w:t>
      </w:r>
    </w:p>
    <w:p w14:paraId="54B5BFD1" w14:textId="577C0565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訊號：RSI &lt; 30 → 超賣，多單反彈；RSI &gt; 70 → 超買，空單回調</w:t>
      </w:r>
    </w:p>
    <w:p w14:paraId="3DB1DFD2" w14:textId="4BE7D925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策略設計：</w:t>
      </w:r>
    </w:p>
    <w:p w14:paraId="2F07C2AA" w14:textId="18823809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 xml:space="preserve">價格站上 EMA 多條線，MACD </w:t>
      </w:r>
      <w:proofErr w:type="gramStart"/>
      <w:r w:rsidRPr="005822A9">
        <w:rPr>
          <w:rFonts w:ascii="標楷體" w:eastAsia="標楷體" w:hAnsi="標楷體" w:hint="eastAsia"/>
        </w:rPr>
        <w:t>金叉，</w:t>
      </w:r>
      <w:proofErr w:type="gramEnd"/>
      <w:r w:rsidRPr="005822A9">
        <w:rPr>
          <w:rFonts w:ascii="標楷體" w:eastAsia="標楷體" w:hAnsi="標楷體" w:hint="eastAsia"/>
        </w:rPr>
        <w:t>RSI &lt; 70 → 多單</w:t>
      </w:r>
    </w:p>
    <w:p w14:paraId="0D34BDF3" w14:textId="30930EB0" w:rsidR="005822A9" w:rsidRPr="005822A9" w:rsidRDefault="005822A9" w:rsidP="005822A9">
      <w:pPr>
        <w:rPr>
          <w:rFonts w:ascii="標楷體" w:eastAsia="標楷體" w:hAnsi="標楷體"/>
        </w:rPr>
      </w:pPr>
      <w:proofErr w:type="gramStart"/>
      <w:r w:rsidRPr="005822A9">
        <w:rPr>
          <w:rFonts w:ascii="標楷體" w:eastAsia="標楷體" w:hAnsi="標楷體" w:hint="eastAsia"/>
        </w:rPr>
        <w:t>風控</w:t>
      </w:r>
      <w:proofErr w:type="gramEnd"/>
      <w:r w:rsidRPr="005822A9">
        <w:rPr>
          <w:rFonts w:ascii="標楷體" w:eastAsia="標楷體" w:hAnsi="標楷體" w:hint="eastAsia"/>
        </w:rPr>
        <w:t>：設置 0.5%~1% 停損，</w:t>
      </w:r>
      <w:proofErr w:type="gramStart"/>
      <w:r w:rsidRPr="005822A9">
        <w:rPr>
          <w:rFonts w:ascii="標楷體" w:eastAsia="標楷體" w:hAnsi="標楷體" w:hint="eastAsia"/>
        </w:rPr>
        <w:t>止盈依</w:t>
      </w:r>
      <w:proofErr w:type="gramEnd"/>
      <w:r w:rsidRPr="005822A9">
        <w:rPr>
          <w:rFonts w:ascii="標楷體" w:eastAsia="標楷體" w:hAnsi="標楷體" w:hint="eastAsia"/>
        </w:rPr>
        <w:t>市場波動設定 1:1.5 或 1:2</w:t>
      </w:r>
    </w:p>
    <w:p w14:paraId="14A738ED" w14:textId="77777777" w:rsidR="005822A9" w:rsidRPr="005822A9" w:rsidRDefault="005822A9" w:rsidP="005822A9">
      <w:pPr>
        <w:rPr>
          <w:rFonts w:ascii="標楷體" w:eastAsia="標楷體" w:hAnsi="標楷體"/>
        </w:rPr>
      </w:pPr>
    </w:p>
    <w:p w14:paraId="159CFEAB" w14:textId="0E860299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/>
        </w:rPr>
        <w:t>2️</w:t>
      </w:r>
      <w:r w:rsidRPr="005822A9">
        <w:rPr>
          <w:rFonts w:ascii="MS Mincho" w:eastAsia="MS Mincho" w:hAnsi="MS Mincho" w:cs="MS Mincho" w:hint="eastAsia"/>
        </w:rPr>
        <w:t>⃣</w:t>
      </w:r>
      <w:r w:rsidRPr="005822A9">
        <w:rPr>
          <w:rFonts w:ascii="標楷體" w:eastAsia="標楷體" w:hAnsi="標楷體"/>
        </w:rPr>
        <w:t xml:space="preserve"> </w:t>
      </w:r>
      <w:r w:rsidRPr="005822A9">
        <w:rPr>
          <w:rFonts w:ascii="標楷體" w:eastAsia="標楷體" w:hAnsi="標楷體" w:hint="eastAsia"/>
        </w:rPr>
        <w:t>震盪型策略（區間交易）</w:t>
      </w:r>
    </w:p>
    <w:p w14:paraId="0E0827C5" w14:textId="461E501E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適合標的：低波動、盤整股票或期貨</w:t>
      </w:r>
    </w:p>
    <w:p w14:paraId="60408957" w14:textId="13F47301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技術指標組合：</w:t>
      </w:r>
    </w:p>
    <w:p w14:paraId="3A586B77" w14:textId="23ECBA9E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布林帶（Bollinger Bands）</w:t>
      </w:r>
    </w:p>
    <w:p w14:paraId="6E7D5B80" w14:textId="4BBFFD4A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訊號：價格觸</w:t>
      </w:r>
      <w:proofErr w:type="gramStart"/>
      <w:r w:rsidRPr="005822A9">
        <w:rPr>
          <w:rFonts w:ascii="標楷體" w:eastAsia="標楷體" w:hAnsi="標楷體" w:hint="eastAsia"/>
        </w:rPr>
        <w:t>碰下軌</w:t>
      </w:r>
      <w:proofErr w:type="gramEnd"/>
      <w:r w:rsidRPr="005822A9">
        <w:rPr>
          <w:rFonts w:ascii="標楷體" w:eastAsia="標楷體" w:hAnsi="標楷體" w:hint="eastAsia"/>
        </w:rPr>
        <w:t xml:space="preserve"> → 買；觸碰上軌 → 賣</w:t>
      </w:r>
    </w:p>
    <w:p w14:paraId="6EA3EFFF" w14:textId="1F64DB13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RSI / Stochastic：</w:t>
      </w:r>
    </w:p>
    <w:p w14:paraId="1816A7F1" w14:textId="08FDB827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訊號：RSI &lt; 30 或 Stochastic K 線 &lt; 20 → 多單；RSI &gt; 70 或 Stochastic K 線 &gt; 80 → 空單</w:t>
      </w:r>
    </w:p>
    <w:p w14:paraId="69EF4CCD" w14:textId="3835823F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策略設計：</w:t>
      </w:r>
    </w:p>
    <w:p w14:paraId="7EE7D59A" w14:textId="77D27F7A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盤整區間明顯，布林帶上下軌可作為支撐/阻力</w:t>
      </w:r>
    </w:p>
    <w:p w14:paraId="06174B0A" w14:textId="57A12091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短線入場，止損設在支撐/阻力外側 0.5%~1%</w:t>
      </w:r>
    </w:p>
    <w:p w14:paraId="5B6B350A" w14:textId="77777777" w:rsidR="005822A9" w:rsidRPr="005822A9" w:rsidRDefault="005822A9" w:rsidP="005822A9">
      <w:pPr>
        <w:rPr>
          <w:rFonts w:ascii="標楷體" w:eastAsia="標楷體" w:hAnsi="標楷體"/>
        </w:rPr>
      </w:pPr>
    </w:p>
    <w:p w14:paraId="7BECFCE6" w14:textId="3ADE9CB8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/>
        </w:rPr>
        <w:t>3️</w:t>
      </w:r>
      <w:r w:rsidRPr="005822A9">
        <w:rPr>
          <w:rFonts w:ascii="MS Mincho" w:eastAsia="MS Mincho" w:hAnsi="MS Mincho" w:cs="MS Mincho" w:hint="eastAsia"/>
        </w:rPr>
        <w:t>⃣</w:t>
      </w:r>
      <w:r w:rsidRPr="005822A9">
        <w:rPr>
          <w:rFonts w:ascii="標楷體" w:eastAsia="標楷體" w:hAnsi="標楷體"/>
        </w:rPr>
        <w:t xml:space="preserve"> </w:t>
      </w:r>
      <w:r w:rsidRPr="005822A9">
        <w:rPr>
          <w:rFonts w:ascii="標楷體" w:eastAsia="標楷體" w:hAnsi="標楷體" w:hint="eastAsia"/>
        </w:rPr>
        <w:t>高勝率短線技巧</w:t>
      </w:r>
    </w:p>
    <w:p w14:paraId="4DB460B5" w14:textId="092F21C1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避免在大消息、</w:t>
      </w:r>
      <w:proofErr w:type="gramStart"/>
      <w:r w:rsidRPr="005822A9">
        <w:rPr>
          <w:rFonts w:ascii="標楷體" w:eastAsia="標楷體" w:hAnsi="標楷體" w:hint="eastAsia"/>
        </w:rPr>
        <w:t>財報日操作</w:t>
      </w:r>
      <w:proofErr w:type="gramEnd"/>
    </w:p>
    <w:p w14:paraId="389C65AC" w14:textId="702E9398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使用 量能確認：上漲伴隨量能放大 → 勝率高</w:t>
      </w:r>
    </w:p>
    <w:p w14:paraId="75D3AAA0" w14:textId="6AB057B3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建議使用 多時間框架分析：5 分、15 分線確認方向</w:t>
      </w:r>
    </w:p>
    <w:p w14:paraId="0A2169F6" w14:textId="1723E0FD" w:rsidR="005822A9" w:rsidRPr="005822A9" w:rsidRDefault="005822A9">
      <w:pPr>
        <w:widowControl/>
        <w:rPr>
          <w:rFonts w:ascii="標楷體" w:eastAsia="標楷體" w:hAnsi="標楷體"/>
        </w:rPr>
      </w:pPr>
      <w:r w:rsidRPr="005822A9">
        <w:rPr>
          <w:rFonts w:ascii="標楷體" w:eastAsia="標楷體" w:hAnsi="標楷體"/>
        </w:rPr>
        <w:br w:type="page"/>
      </w:r>
    </w:p>
    <w:p w14:paraId="567AF5F8" w14:textId="77777777" w:rsidR="005822A9" w:rsidRPr="005822A9" w:rsidRDefault="005822A9" w:rsidP="005822A9">
      <w:pPr>
        <w:rPr>
          <w:rFonts w:ascii="標楷體" w:eastAsia="標楷體" w:hAnsi="標楷體"/>
        </w:rPr>
      </w:pPr>
    </w:p>
    <w:p w14:paraId="5445BF8C" w14:textId="4C0915D5" w:rsidR="005822A9" w:rsidRPr="005822A9" w:rsidRDefault="005822A9" w:rsidP="005822A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長線交易策略（Position Trade / Invest）</w:t>
      </w:r>
    </w:p>
    <w:p w14:paraId="09959F33" w14:textId="77777777" w:rsidR="005822A9" w:rsidRPr="005822A9" w:rsidRDefault="005822A9" w:rsidP="005822A9">
      <w:pPr>
        <w:rPr>
          <w:rFonts w:ascii="標楷體" w:eastAsia="標楷體" w:hAnsi="標楷體"/>
        </w:rPr>
      </w:pPr>
    </w:p>
    <w:p w14:paraId="2924F7DE" w14:textId="3EEAC67A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/>
        </w:rPr>
        <w:t>1️</w:t>
      </w:r>
      <w:r w:rsidRPr="005822A9">
        <w:rPr>
          <w:rFonts w:ascii="MS Mincho" w:eastAsia="MS Mincho" w:hAnsi="MS Mincho" w:cs="MS Mincho" w:hint="eastAsia"/>
        </w:rPr>
        <w:t>⃣</w:t>
      </w:r>
      <w:r w:rsidRPr="005822A9">
        <w:rPr>
          <w:rFonts w:ascii="標楷體" w:eastAsia="標楷體" w:hAnsi="標楷體"/>
        </w:rPr>
        <w:t xml:space="preserve"> </w:t>
      </w:r>
      <w:r w:rsidRPr="005822A9">
        <w:rPr>
          <w:rFonts w:ascii="標楷體" w:eastAsia="標楷體" w:hAnsi="標楷體" w:hint="eastAsia"/>
        </w:rPr>
        <w:t>趨勢型策略（順勢投資）</w:t>
      </w:r>
    </w:p>
    <w:p w14:paraId="3425A88D" w14:textId="495D30BF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適合標的：藍籌股、成長股、ETF</w:t>
      </w:r>
    </w:p>
    <w:p w14:paraId="149378E8" w14:textId="463AFD71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技術指標組合：</w:t>
      </w:r>
    </w:p>
    <w:p w14:paraId="17BB0868" w14:textId="6019A36D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長期 SMA（50、100、200日）：</w:t>
      </w:r>
    </w:p>
    <w:p w14:paraId="1C0B5DEC" w14:textId="7B1EE79E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訊號：價格站上 200 日 SMA → 多單</w:t>
      </w:r>
    </w:p>
    <w:p w14:paraId="75928EAE" w14:textId="6BA8A423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MACD：</w:t>
      </w:r>
    </w:p>
    <w:p w14:paraId="375BF809" w14:textId="3FADC9C7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 xml:space="preserve">訊號：長週期 MACD </w:t>
      </w:r>
      <w:proofErr w:type="gramStart"/>
      <w:r w:rsidRPr="005822A9">
        <w:rPr>
          <w:rFonts w:ascii="標楷體" w:eastAsia="標楷體" w:hAnsi="標楷體" w:hint="eastAsia"/>
        </w:rPr>
        <w:t>金叉</w:t>
      </w:r>
      <w:proofErr w:type="gramEnd"/>
      <w:r w:rsidRPr="005822A9">
        <w:rPr>
          <w:rFonts w:ascii="標楷體" w:eastAsia="標楷體" w:hAnsi="標楷體" w:hint="eastAsia"/>
        </w:rPr>
        <w:t xml:space="preserve"> → 長期多單</w:t>
      </w:r>
    </w:p>
    <w:p w14:paraId="6E95344D" w14:textId="0922A2E6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ADX（平均趨勢指標）：</w:t>
      </w:r>
    </w:p>
    <w:p w14:paraId="5B1547EC" w14:textId="18F32359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訊號：ADX &gt; 25 → 趨勢明確，可順勢持有</w:t>
      </w:r>
    </w:p>
    <w:p w14:paraId="429FBABD" w14:textId="77777777" w:rsidR="005822A9" w:rsidRPr="005822A9" w:rsidRDefault="005822A9" w:rsidP="005822A9">
      <w:pPr>
        <w:rPr>
          <w:rFonts w:ascii="標楷體" w:eastAsia="標楷體" w:hAnsi="標楷體"/>
        </w:rPr>
      </w:pPr>
    </w:p>
    <w:p w14:paraId="582F7935" w14:textId="04CBC15A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策略設計：</w:t>
      </w:r>
    </w:p>
    <w:p w14:paraId="1B40C907" w14:textId="17C54143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只買入長期趨勢明顯的股票</w:t>
      </w:r>
    </w:p>
    <w:p w14:paraId="2C619062" w14:textId="05655739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止損：跌破 50 日或 100 日 SMA → 部分止損</w:t>
      </w:r>
    </w:p>
    <w:p w14:paraId="35ECD77E" w14:textId="77777777" w:rsidR="005822A9" w:rsidRPr="005822A9" w:rsidRDefault="005822A9" w:rsidP="005822A9">
      <w:pPr>
        <w:rPr>
          <w:rFonts w:ascii="標楷體" w:eastAsia="標楷體" w:hAnsi="標楷體"/>
        </w:rPr>
      </w:pPr>
      <w:proofErr w:type="gramStart"/>
      <w:r w:rsidRPr="005822A9">
        <w:rPr>
          <w:rFonts w:ascii="標楷體" w:eastAsia="標楷體" w:hAnsi="標楷體" w:hint="eastAsia"/>
        </w:rPr>
        <w:t>止盈</w:t>
      </w:r>
      <w:proofErr w:type="gramEnd"/>
      <w:r w:rsidRPr="005822A9">
        <w:rPr>
          <w:rFonts w:ascii="標楷體" w:eastAsia="標楷體" w:hAnsi="標楷體" w:hint="eastAsia"/>
        </w:rPr>
        <w:t xml:space="preserve">：持有趨勢不明顯或 MACD </w:t>
      </w:r>
      <w:proofErr w:type="gramStart"/>
      <w:r w:rsidRPr="005822A9">
        <w:rPr>
          <w:rFonts w:ascii="標楷體" w:eastAsia="標楷體" w:hAnsi="標楷體" w:hint="eastAsia"/>
        </w:rPr>
        <w:t>死叉</w:t>
      </w:r>
      <w:proofErr w:type="gramEnd"/>
      <w:r w:rsidRPr="005822A9">
        <w:rPr>
          <w:rFonts w:ascii="標楷體" w:eastAsia="標楷體" w:hAnsi="標楷體" w:hint="eastAsia"/>
        </w:rPr>
        <w:t xml:space="preserve"> → 出場</w:t>
      </w:r>
    </w:p>
    <w:p w14:paraId="5A13D915" w14:textId="77777777" w:rsidR="005822A9" w:rsidRPr="005822A9" w:rsidRDefault="005822A9" w:rsidP="005822A9">
      <w:pPr>
        <w:rPr>
          <w:rFonts w:ascii="標楷體" w:eastAsia="標楷體" w:hAnsi="標楷體"/>
        </w:rPr>
      </w:pPr>
    </w:p>
    <w:p w14:paraId="1C109D8A" w14:textId="1BCFDBCF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/>
        </w:rPr>
        <w:t>2️</w:t>
      </w:r>
      <w:r w:rsidRPr="005822A9">
        <w:rPr>
          <w:rFonts w:ascii="MS Mincho" w:eastAsia="MS Mincho" w:hAnsi="MS Mincho" w:cs="MS Mincho" w:hint="eastAsia"/>
        </w:rPr>
        <w:t>⃣</w:t>
      </w:r>
      <w:r w:rsidRPr="005822A9">
        <w:rPr>
          <w:rFonts w:ascii="標楷體" w:eastAsia="標楷體" w:hAnsi="標楷體"/>
        </w:rPr>
        <w:t xml:space="preserve"> </w:t>
      </w:r>
      <w:r w:rsidRPr="005822A9">
        <w:rPr>
          <w:rFonts w:ascii="標楷體" w:eastAsia="標楷體" w:hAnsi="標楷體" w:hint="eastAsia"/>
        </w:rPr>
        <w:t>回調型策略（趨勢回調加碼）</w:t>
      </w:r>
    </w:p>
    <w:p w14:paraId="5ABB730D" w14:textId="10304D39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適合標的：成長股、科技股</w:t>
      </w:r>
    </w:p>
    <w:p w14:paraId="0F6052AE" w14:textId="60DC72FC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技術指標組合：</w:t>
      </w:r>
    </w:p>
    <w:p w14:paraId="1527D47E" w14:textId="04340E5C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Fibonacci 回檔（0.382 / 0.5 / 0.618）</w:t>
      </w:r>
    </w:p>
    <w:p w14:paraId="5953D16F" w14:textId="5C17869C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 xml:space="preserve">RSI 30~50 區間 → </w:t>
      </w:r>
      <w:proofErr w:type="gramStart"/>
      <w:r w:rsidRPr="005822A9">
        <w:rPr>
          <w:rFonts w:ascii="標楷體" w:eastAsia="標楷體" w:hAnsi="標楷體" w:hint="eastAsia"/>
        </w:rPr>
        <w:t>回調買點</w:t>
      </w:r>
      <w:proofErr w:type="gramEnd"/>
    </w:p>
    <w:p w14:paraId="4880FF9A" w14:textId="7E48DB63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EMA（20、50） 作為支撐</w:t>
      </w:r>
    </w:p>
    <w:p w14:paraId="4C1568D7" w14:textId="77777777" w:rsidR="005822A9" w:rsidRPr="005822A9" w:rsidRDefault="005822A9" w:rsidP="005822A9">
      <w:pPr>
        <w:rPr>
          <w:rFonts w:ascii="標楷體" w:eastAsia="標楷體" w:hAnsi="標楷體"/>
        </w:rPr>
      </w:pPr>
    </w:p>
    <w:p w14:paraId="3741BD12" w14:textId="6C63CDF4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策略設計：</w:t>
      </w:r>
    </w:p>
    <w:p w14:paraId="2C92DD34" w14:textId="4BE0FF47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長期趨勢向上，</w:t>
      </w:r>
      <w:proofErr w:type="gramStart"/>
      <w:r w:rsidRPr="005822A9">
        <w:rPr>
          <w:rFonts w:ascii="標楷體" w:eastAsia="標楷體" w:hAnsi="標楷體" w:hint="eastAsia"/>
        </w:rPr>
        <w:t>遇回調</w:t>
      </w:r>
      <w:proofErr w:type="gramEnd"/>
      <w:r w:rsidRPr="005822A9">
        <w:rPr>
          <w:rFonts w:ascii="標楷體" w:eastAsia="標楷體" w:hAnsi="標楷體" w:hint="eastAsia"/>
        </w:rPr>
        <w:t>至 38%~61.8% Fibonacci 支撐 → 加碼</w:t>
      </w:r>
    </w:p>
    <w:p w14:paraId="51D4EC77" w14:textId="612F2CA0" w:rsidR="005822A9" w:rsidRPr="005822A9" w:rsidRDefault="005822A9" w:rsidP="005822A9">
      <w:pPr>
        <w:rPr>
          <w:rFonts w:ascii="標楷體" w:eastAsia="標楷體" w:hAnsi="標楷體"/>
        </w:rPr>
      </w:pPr>
      <w:proofErr w:type="gramStart"/>
      <w:r w:rsidRPr="005822A9">
        <w:rPr>
          <w:rFonts w:ascii="標楷體" w:eastAsia="標楷體" w:hAnsi="標楷體" w:hint="eastAsia"/>
        </w:rPr>
        <w:t>風控</w:t>
      </w:r>
      <w:proofErr w:type="gramEnd"/>
      <w:r w:rsidRPr="005822A9">
        <w:rPr>
          <w:rFonts w:ascii="標楷體" w:eastAsia="標楷體" w:hAnsi="標楷體" w:hint="eastAsia"/>
        </w:rPr>
        <w:t xml:space="preserve">：跌破支撐 → </w:t>
      </w:r>
      <w:proofErr w:type="gramStart"/>
      <w:r w:rsidRPr="005822A9">
        <w:rPr>
          <w:rFonts w:ascii="標楷體" w:eastAsia="標楷體" w:hAnsi="標楷體" w:hint="eastAsia"/>
        </w:rPr>
        <w:t>停損離場</w:t>
      </w:r>
      <w:proofErr w:type="gramEnd"/>
    </w:p>
    <w:p w14:paraId="69CFD402" w14:textId="77777777" w:rsidR="005822A9" w:rsidRPr="005822A9" w:rsidRDefault="005822A9" w:rsidP="005822A9">
      <w:pPr>
        <w:rPr>
          <w:rFonts w:ascii="標楷體" w:eastAsia="標楷體" w:hAnsi="標楷體"/>
        </w:rPr>
      </w:pPr>
    </w:p>
    <w:p w14:paraId="0CC2FEBF" w14:textId="6505416B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/>
        </w:rPr>
        <w:t>3️</w:t>
      </w:r>
      <w:r w:rsidRPr="005822A9">
        <w:rPr>
          <w:rFonts w:ascii="MS Mincho" w:eastAsia="MS Mincho" w:hAnsi="MS Mincho" w:cs="MS Mincho" w:hint="eastAsia"/>
        </w:rPr>
        <w:t>⃣</w:t>
      </w:r>
      <w:r w:rsidRPr="005822A9">
        <w:rPr>
          <w:rFonts w:ascii="標楷體" w:eastAsia="標楷體" w:hAnsi="標楷體"/>
        </w:rPr>
        <w:t xml:space="preserve"> </w:t>
      </w:r>
      <w:r w:rsidRPr="005822A9">
        <w:rPr>
          <w:rFonts w:ascii="標楷體" w:eastAsia="標楷體" w:hAnsi="標楷體" w:hint="eastAsia"/>
        </w:rPr>
        <w:t>高勝率長線技巧</w:t>
      </w:r>
    </w:p>
    <w:p w14:paraId="163BBC22" w14:textId="15AB86E8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多指標確認趨勢：SMA + MACD + ADX</w:t>
      </w:r>
    </w:p>
    <w:p w14:paraId="6BC20048" w14:textId="70632E5F" w:rsidR="005822A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結合基本面：產業趨勢、財報、政策支持</w:t>
      </w:r>
    </w:p>
    <w:p w14:paraId="17110EFB" w14:textId="27F6E647" w:rsidR="009858C9" w:rsidRPr="005822A9" w:rsidRDefault="005822A9" w:rsidP="005822A9">
      <w:pPr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t>避免短期雜訊干擾，重點在趨勢延續性</w:t>
      </w:r>
    </w:p>
    <w:p w14:paraId="45ECFDB2" w14:textId="2FCD6F94" w:rsidR="005822A9" w:rsidRPr="005822A9" w:rsidRDefault="005822A9">
      <w:pPr>
        <w:widowControl/>
        <w:rPr>
          <w:rFonts w:ascii="標楷體" w:eastAsia="標楷體" w:hAnsi="標楷體"/>
        </w:rPr>
      </w:pPr>
      <w:r w:rsidRPr="005822A9">
        <w:rPr>
          <w:rFonts w:ascii="標楷體" w:eastAsia="標楷體" w:hAnsi="標楷體"/>
        </w:rPr>
        <w:br w:type="page"/>
      </w:r>
    </w:p>
    <w:p w14:paraId="6AABDD7A" w14:textId="719B5FE1" w:rsidR="005822A9" w:rsidRPr="005822A9" w:rsidRDefault="005822A9" w:rsidP="005822A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5822A9">
        <w:rPr>
          <w:rFonts w:ascii="標楷體" w:eastAsia="標楷體" w:hAnsi="標楷體" w:hint="eastAsia"/>
        </w:rPr>
        <w:lastRenderedPageBreak/>
        <w:t>短線 vs 長線 技術指標差異總結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822A9" w:rsidRPr="005822A9" w14:paraId="4F5ACC1E" w14:textId="77777777" w:rsidTr="00B71711">
        <w:tc>
          <w:tcPr>
            <w:tcW w:w="2765" w:type="dxa"/>
          </w:tcPr>
          <w:p w14:paraId="41108A6D" w14:textId="713B7415" w:rsidR="005822A9" w:rsidRPr="005822A9" w:rsidRDefault="005822A9" w:rsidP="005822A9">
            <w:pPr>
              <w:jc w:val="center"/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特性</w:t>
            </w:r>
          </w:p>
        </w:tc>
        <w:tc>
          <w:tcPr>
            <w:tcW w:w="2765" w:type="dxa"/>
            <w:vAlign w:val="center"/>
          </w:tcPr>
          <w:p w14:paraId="329B4227" w14:textId="11D98598" w:rsidR="005822A9" w:rsidRPr="005822A9" w:rsidRDefault="005822A9" w:rsidP="005822A9">
            <w:pPr>
              <w:jc w:val="center"/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短線（1 分～日內）</w:t>
            </w:r>
          </w:p>
        </w:tc>
        <w:tc>
          <w:tcPr>
            <w:tcW w:w="2766" w:type="dxa"/>
          </w:tcPr>
          <w:p w14:paraId="0945A1BF" w14:textId="1285AD4D" w:rsidR="005822A9" w:rsidRPr="005822A9" w:rsidRDefault="005822A9" w:rsidP="005822A9">
            <w:pPr>
              <w:jc w:val="center"/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長線（</w:t>
            </w:r>
            <w:proofErr w:type="gramStart"/>
            <w:r w:rsidRPr="005822A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週</w:t>
            </w:r>
            <w:proofErr w:type="gramEnd"/>
            <w:r w:rsidRPr="005822A9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線～月線）</w:t>
            </w:r>
          </w:p>
        </w:tc>
      </w:tr>
      <w:tr w:rsidR="005822A9" w:rsidRPr="005822A9" w14:paraId="49CFDCAC" w14:textId="77777777" w:rsidTr="005B5AD5">
        <w:tc>
          <w:tcPr>
            <w:tcW w:w="2765" w:type="dxa"/>
            <w:vAlign w:val="center"/>
          </w:tcPr>
          <w:p w14:paraId="6955696C" w14:textId="64F6DFDE" w:rsidR="005822A9" w:rsidRPr="005822A9" w:rsidRDefault="005822A9" w:rsidP="005822A9">
            <w:pPr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EMA/SMA</w:t>
            </w:r>
          </w:p>
        </w:tc>
        <w:tc>
          <w:tcPr>
            <w:tcW w:w="2765" w:type="dxa"/>
            <w:vAlign w:val="center"/>
          </w:tcPr>
          <w:p w14:paraId="0CBA3BDD" w14:textId="6DF721C9" w:rsidR="005822A9" w:rsidRPr="005822A9" w:rsidRDefault="005822A9" w:rsidP="005822A9">
            <w:pPr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5/10/20、</w:t>
            </w:r>
            <w:proofErr w:type="gramStart"/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快線敏感</w:t>
            </w:r>
            <w:proofErr w:type="gramEnd"/>
          </w:p>
        </w:tc>
        <w:tc>
          <w:tcPr>
            <w:tcW w:w="2766" w:type="dxa"/>
            <w:vAlign w:val="center"/>
          </w:tcPr>
          <w:p w14:paraId="5F9748C7" w14:textId="3CD80991" w:rsidR="005822A9" w:rsidRPr="005822A9" w:rsidRDefault="005822A9" w:rsidP="005822A9">
            <w:pPr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50/100/200、</w:t>
            </w:r>
            <w:proofErr w:type="gramStart"/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慢線趨勢</w:t>
            </w:r>
            <w:proofErr w:type="gramEnd"/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清楚</w:t>
            </w:r>
          </w:p>
        </w:tc>
      </w:tr>
      <w:tr w:rsidR="005822A9" w:rsidRPr="005822A9" w14:paraId="3A3A1486" w14:textId="77777777" w:rsidTr="005B5AD5">
        <w:tc>
          <w:tcPr>
            <w:tcW w:w="2765" w:type="dxa"/>
            <w:vAlign w:val="center"/>
          </w:tcPr>
          <w:p w14:paraId="46519F48" w14:textId="46F3C8BB" w:rsidR="005822A9" w:rsidRPr="005822A9" w:rsidRDefault="005822A9" w:rsidP="005822A9">
            <w:pPr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MACD</w:t>
            </w:r>
          </w:p>
        </w:tc>
        <w:tc>
          <w:tcPr>
            <w:tcW w:w="2765" w:type="dxa"/>
            <w:vAlign w:val="center"/>
          </w:tcPr>
          <w:p w14:paraId="44585D1B" w14:textId="11688B99" w:rsidR="005822A9" w:rsidRPr="005822A9" w:rsidRDefault="005822A9" w:rsidP="005822A9">
            <w:pPr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 xml:space="preserve">12/26/9 </w:t>
            </w:r>
            <w:proofErr w:type="gramStart"/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快線敏感</w:t>
            </w:r>
            <w:proofErr w:type="gramEnd"/>
          </w:p>
        </w:tc>
        <w:tc>
          <w:tcPr>
            <w:tcW w:w="2766" w:type="dxa"/>
            <w:vAlign w:val="center"/>
          </w:tcPr>
          <w:p w14:paraId="0CF8A762" w14:textId="72C02201" w:rsidR="005822A9" w:rsidRPr="005822A9" w:rsidRDefault="005822A9" w:rsidP="005822A9">
            <w:pPr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 xml:space="preserve">26/52/9 </w:t>
            </w:r>
            <w:proofErr w:type="gramStart"/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慢線適合</w:t>
            </w:r>
            <w:proofErr w:type="gramEnd"/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趨勢確認</w:t>
            </w:r>
          </w:p>
        </w:tc>
      </w:tr>
      <w:tr w:rsidR="005822A9" w:rsidRPr="005822A9" w14:paraId="6BEC32C2" w14:textId="77777777" w:rsidTr="005B5AD5">
        <w:tc>
          <w:tcPr>
            <w:tcW w:w="2765" w:type="dxa"/>
            <w:vAlign w:val="center"/>
          </w:tcPr>
          <w:p w14:paraId="61321BD0" w14:textId="4FE56DC2" w:rsidR="005822A9" w:rsidRPr="005822A9" w:rsidRDefault="005822A9" w:rsidP="005822A9">
            <w:pPr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RSI/Stochastic</w:t>
            </w:r>
          </w:p>
        </w:tc>
        <w:tc>
          <w:tcPr>
            <w:tcW w:w="2765" w:type="dxa"/>
            <w:vAlign w:val="center"/>
          </w:tcPr>
          <w:p w14:paraId="5A61F12C" w14:textId="2FB08CCF" w:rsidR="005822A9" w:rsidRPr="005822A9" w:rsidRDefault="005822A9" w:rsidP="005822A9">
            <w:pPr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短期震盪參考</w:t>
            </w:r>
          </w:p>
        </w:tc>
        <w:tc>
          <w:tcPr>
            <w:tcW w:w="2766" w:type="dxa"/>
            <w:vAlign w:val="center"/>
          </w:tcPr>
          <w:p w14:paraId="7A6E136D" w14:textId="2316B92B" w:rsidR="005822A9" w:rsidRPr="005822A9" w:rsidRDefault="005822A9" w:rsidP="005822A9">
            <w:pPr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長期趨勢過買/</w:t>
            </w:r>
            <w:proofErr w:type="gramStart"/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過賣參考</w:t>
            </w:r>
            <w:proofErr w:type="gramEnd"/>
          </w:p>
        </w:tc>
      </w:tr>
      <w:tr w:rsidR="005822A9" w:rsidRPr="005822A9" w14:paraId="7A2A6BB5" w14:textId="77777777" w:rsidTr="005B5AD5">
        <w:tc>
          <w:tcPr>
            <w:tcW w:w="2765" w:type="dxa"/>
            <w:vAlign w:val="center"/>
          </w:tcPr>
          <w:p w14:paraId="5F64278C" w14:textId="39CA638A" w:rsidR="005822A9" w:rsidRPr="005822A9" w:rsidRDefault="005822A9" w:rsidP="005822A9">
            <w:pPr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布林帶</w:t>
            </w:r>
          </w:p>
        </w:tc>
        <w:tc>
          <w:tcPr>
            <w:tcW w:w="2765" w:type="dxa"/>
            <w:vAlign w:val="center"/>
          </w:tcPr>
          <w:p w14:paraId="204E156E" w14:textId="24597276" w:rsidR="005822A9" w:rsidRPr="005822A9" w:rsidRDefault="005822A9" w:rsidP="005822A9">
            <w:pPr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適合盤整區間操作</w:t>
            </w:r>
          </w:p>
        </w:tc>
        <w:tc>
          <w:tcPr>
            <w:tcW w:w="2766" w:type="dxa"/>
            <w:vAlign w:val="center"/>
          </w:tcPr>
          <w:p w14:paraId="6E98E231" w14:textId="1688DDBB" w:rsidR="005822A9" w:rsidRPr="005822A9" w:rsidRDefault="005822A9" w:rsidP="005822A9">
            <w:pPr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長線用於確認波動範圍</w:t>
            </w:r>
          </w:p>
        </w:tc>
      </w:tr>
      <w:tr w:rsidR="005822A9" w:rsidRPr="005822A9" w14:paraId="0E45D7C4" w14:textId="77777777" w:rsidTr="005B5AD5">
        <w:tc>
          <w:tcPr>
            <w:tcW w:w="2765" w:type="dxa"/>
            <w:vAlign w:val="center"/>
          </w:tcPr>
          <w:p w14:paraId="4872ECF9" w14:textId="1BAEFFA4" w:rsidR="005822A9" w:rsidRPr="005822A9" w:rsidRDefault="005822A9" w:rsidP="005822A9">
            <w:pPr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ADX</w:t>
            </w:r>
          </w:p>
        </w:tc>
        <w:tc>
          <w:tcPr>
            <w:tcW w:w="2765" w:type="dxa"/>
            <w:vAlign w:val="center"/>
          </w:tcPr>
          <w:p w14:paraId="7BF9EDC9" w14:textId="2391EC9A" w:rsidR="005822A9" w:rsidRPr="005822A9" w:rsidRDefault="005822A9" w:rsidP="005822A9">
            <w:pPr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不常用</w:t>
            </w:r>
          </w:p>
        </w:tc>
        <w:tc>
          <w:tcPr>
            <w:tcW w:w="2766" w:type="dxa"/>
            <w:vAlign w:val="center"/>
          </w:tcPr>
          <w:p w14:paraId="3E243659" w14:textId="302EA85D" w:rsidR="005822A9" w:rsidRPr="005822A9" w:rsidRDefault="005822A9" w:rsidP="005822A9">
            <w:pPr>
              <w:rPr>
                <w:rFonts w:ascii="標楷體" w:eastAsia="標楷體" w:hAnsi="標楷體"/>
              </w:rPr>
            </w:pPr>
            <w:r w:rsidRPr="005822A9">
              <w:rPr>
                <w:rFonts w:ascii="標楷體" w:eastAsia="標楷體" w:hAnsi="標楷體" w:cs="新細明體"/>
                <w:kern w:val="0"/>
                <w:szCs w:val="24"/>
              </w:rPr>
              <w:t>&gt;25 趨勢明確，高勝率</w:t>
            </w:r>
          </w:p>
        </w:tc>
      </w:tr>
    </w:tbl>
    <w:p w14:paraId="24694AD2" w14:textId="77777777" w:rsidR="005822A9" w:rsidRPr="005822A9" w:rsidRDefault="005822A9" w:rsidP="005822A9">
      <w:pPr>
        <w:rPr>
          <w:rFonts w:ascii="標楷體" w:eastAsia="標楷體" w:hAnsi="標楷體"/>
        </w:rPr>
      </w:pPr>
    </w:p>
    <w:sectPr w:rsidR="005822A9" w:rsidRPr="005822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D05F9" w14:textId="77777777" w:rsidR="00852AE3" w:rsidRDefault="00852AE3" w:rsidP="00852AE3">
      <w:r>
        <w:separator/>
      </w:r>
    </w:p>
  </w:endnote>
  <w:endnote w:type="continuationSeparator" w:id="0">
    <w:p w14:paraId="1245B7D9" w14:textId="77777777" w:rsidR="00852AE3" w:rsidRDefault="00852AE3" w:rsidP="00852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2B847" w14:textId="77777777" w:rsidR="00852AE3" w:rsidRDefault="00852AE3" w:rsidP="00852AE3">
      <w:r>
        <w:separator/>
      </w:r>
    </w:p>
  </w:footnote>
  <w:footnote w:type="continuationSeparator" w:id="0">
    <w:p w14:paraId="0AA8FBF4" w14:textId="77777777" w:rsidR="00852AE3" w:rsidRDefault="00852AE3" w:rsidP="00852A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021D"/>
    <w:multiLevelType w:val="hybridMultilevel"/>
    <w:tmpl w:val="2F30B7A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A9"/>
    <w:rsid w:val="004545AA"/>
    <w:rsid w:val="005822A9"/>
    <w:rsid w:val="0085011E"/>
    <w:rsid w:val="00852AE3"/>
    <w:rsid w:val="009858C9"/>
    <w:rsid w:val="00C7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D03E82"/>
  <w15:chartTrackingRefBased/>
  <w15:docId w15:val="{DF59AA90-335F-4F9A-AAB9-BB97B063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22A9"/>
    <w:pPr>
      <w:ind w:leftChars="200" w:left="480"/>
    </w:pPr>
  </w:style>
  <w:style w:type="table" w:styleId="a4">
    <w:name w:val="Table Grid"/>
    <w:basedOn w:val="a1"/>
    <w:uiPriority w:val="39"/>
    <w:rsid w:val="005822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52A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52A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52A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52AE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6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宜儫 宋</dc:creator>
  <cp:keywords/>
  <dc:description/>
  <cp:lastModifiedBy>宜儫 宋</cp:lastModifiedBy>
  <cp:revision>2</cp:revision>
  <dcterms:created xsi:type="dcterms:W3CDTF">2026-02-25T08:55:00Z</dcterms:created>
  <dcterms:modified xsi:type="dcterms:W3CDTF">2026-02-25T08:55:00Z</dcterms:modified>
</cp:coreProperties>
</file>