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2B9CB" w14:textId="35E60D07" w:rsidR="00EC75F0" w:rsidRDefault="00EC75F0" w:rsidP="00EC75F0">
      <w:r>
        <w:t>Mögliche Forschungsfragen</w:t>
      </w:r>
    </w:p>
    <w:p w14:paraId="447FB2CA" w14:textId="77777777" w:rsidR="005C5BD9" w:rsidRDefault="005C5BD9" w:rsidP="00EC75F0"/>
    <w:p w14:paraId="7D37F50D" w14:textId="77777777" w:rsidR="005C5BD9" w:rsidRDefault="005C5BD9" w:rsidP="005C5BD9">
      <w:pPr>
        <w:rPr>
          <w:b/>
          <w:bCs/>
        </w:rPr>
      </w:pPr>
      <w:r w:rsidRPr="005C5BD9">
        <w:rPr>
          <w:b/>
          <w:bCs/>
        </w:rPr>
        <w:t xml:space="preserve">Was: </w:t>
      </w:r>
    </w:p>
    <w:p w14:paraId="713C7259" w14:textId="66C0EA55" w:rsidR="005C5BD9" w:rsidRPr="005C5BD9" w:rsidRDefault="005C5BD9" w:rsidP="005C5BD9">
      <w:r w:rsidRPr="005C5BD9">
        <w:t xml:space="preserve">Die Realisierbarkeit des vollständigen Ersatzes herkömmlicher Autos durch Elektroautos untersuchen. </w:t>
      </w:r>
    </w:p>
    <w:p w14:paraId="730AF8D2" w14:textId="77777777" w:rsidR="005C5BD9" w:rsidRDefault="005C5BD9" w:rsidP="005C5BD9">
      <w:pPr>
        <w:rPr>
          <w:b/>
          <w:bCs/>
        </w:rPr>
      </w:pPr>
      <w:r w:rsidRPr="005C5BD9">
        <w:rPr>
          <w:b/>
          <w:bCs/>
        </w:rPr>
        <w:t xml:space="preserve">Warum: </w:t>
      </w:r>
    </w:p>
    <w:p w14:paraId="36FBA88F" w14:textId="06F8772B" w:rsidR="005C5BD9" w:rsidRPr="005C5BD9" w:rsidRDefault="005C5BD9" w:rsidP="005C5BD9">
      <w:r w:rsidRPr="005C5BD9">
        <w:t xml:space="preserve">– Klimawandel, Nachhaltigkeit, technologische Entwicklung. </w:t>
      </w:r>
    </w:p>
    <w:p w14:paraId="7CB816A0" w14:textId="77777777" w:rsidR="005C5BD9" w:rsidRDefault="005C5BD9" w:rsidP="005C5BD9">
      <w:pPr>
        <w:rPr>
          <w:b/>
          <w:bCs/>
        </w:rPr>
      </w:pPr>
      <w:r w:rsidRPr="005C5BD9">
        <w:rPr>
          <w:b/>
          <w:bCs/>
        </w:rPr>
        <w:t>Wie:</w:t>
      </w:r>
    </w:p>
    <w:p w14:paraId="3CD2A3B5" w14:textId="3D49036B" w:rsidR="005C5BD9" w:rsidRPr="005C5BD9" w:rsidRDefault="005C5BD9" w:rsidP="005C5BD9">
      <w:r w:rsidRPr="005C5BD9">
        <w:t>Durch Analyse von Energiebedarf, Nachhaltigkeitsaspekten (Produktion, Rohstoffe), Ladeinfrastruktur und Emissionen.</w:t>
      </w:r>
    </w:p>
    <w:p w14:paraId="34E12633" w14:textId="77777777" w:rsidR="005C5BD9" w:rsidRPr="005C5BD9" w:rsidRDefault="005C5BD9" w:rsidP="00EC75F0">
      <w:pPr>
        <w:rPr>
          <w:b/>
          <w:bCs/>
        </w:rPr>
      </w:pPr>
    </w:p>
    <w:p w14:paraId="6DC7B3C3" w14:textId="77777777" w:rsidR="00EC75F0" w:rsidRDefault="00EC75F0" w:rsidP="00EC75F0">
      <w:pPr>
        <w:tabs>
          <w:tab w:val="left" w:pos="1418"/>
        </w:tabs>
        <w:ind w:hanging="142"/>
        <w:jc w:val="both"/>
      </w:pPr>
      <w:r>
        <w:t>Mögliche Forschungsfragen</w:t>
      </w:r>
    </w:p>
    <w:p w14:paraId="21482046" w14:textId="77777777" w:rsidR="00EC75F0" w:rsidRDefault="00EC75F0" w:rsidP="00EC75F0">
      <w:pPr>
        <w:tabs>
          <w:tab w:val="left" w:pos="1418"/>
        </w:tabs>
        <w:ind w:hanging="142"/>
        <w:jc w:val="both"/>
      </w:pPr>
      <w:r>
        <w:tab/>
        <w:t>1.</w:t>
      </w:r>
      <w:r>
        <w:tab/>
        <w:t>Infrastrukturbedarf: Wie viele zusätzliche Ladepunkte sind erforderlich, um eine vollständige Umstellung auf Elektrofahrzeuge bis 2035 zu ermöglichen?</w:t>
      </w:r>
    </w:p>
    <w:p w14:paraId="670AEE93" w14:textId="77777777" w:rsidR="00EC75F0" w:rsidRDefault="00EC75F0" w:rsidP="00EC75F0">
      <w:pPr>
        <w:tabs>
          <w:tab w:val="left" w:pos="1418"/>
        </w:tabs>
        <w:ind w:hanging="142"/>
        <w:jc w:val="both"/>
      </w:pPr>
      <w:r>
        <w:tab/>
        <w:t>2.</w:t>
      </w:r>
      <w:r>
        <w:tab/>
        <w:t>Stromnetzbelastung: Kann das bestehende Stromnetz den zusätzlichen Energiebedarf durch Elektrofahrzeuge bewältigen? Welche Maßnahmen sind notwendig, um Engpässe zu vermeiden?</w:t>
      </w:r>
    </w:p>
    <w:p w14:paraId="63EE9833" w14:textId="296F72BE" w:rsidR="00867A1B" w:rsidRDefault="00EC75F0" w:rsidP="00EC75F0">
      <w:pPr>
        <w:tabs>
          <w:tab w:val="left" w:pos="1418"/>
        </w:tabs>
        <w:ind w:hanging="142"/>
        <w:jc w:val="both"/>
      </w:pPr>
      <w:r>
        <w:tab/>
        <w:t>3.</w:t>
      </w:r>
      <w:r>
        <w:tab/>
        <w:t>Energieverbrauch: Wie verändert sich der nationale Energieverbrauch, wenn alle Verbrennerfahrzeuge durch Elektrofahrzeuge ersetzt werden</w:t>
      </w:r>
    </w:p>
    <w:p w14:paraId="429698A6" w14:textId="77777777" w:rsidR="005C5BD9" w:rsidRDefault="005C5BD9" w:rsidP="00EC75F0">
      <w:pPr>
        <w:tabs>
          <w:tab w:val="left" w:pos="1418"/>
        </w:tabs>
        <w:ind w:hanging="142"/>
        <w:jc w:val="both"/>
      </w:pPr>
    </w:p>
    <w:p w14:paraId="70EC3AB2" w14:textId="77777777" w:rsidR="005C5BD9" w:rsidRDefault="005C5BD9" w:rsidP="00EC75F0">
      <w:pPr>
        <w:tabs>
          <w:tab w:val="left" w:pos="1418"/>
        </w:tabs>
        <w:ind w:hanging="142"/>
        <w:jc w:val="both"/>
      </w:pPr>
    </w:p>
    <w:p w14:paraId="308DF1DD" w14:textId="440A2C0D" w:rsidR="00982F21" w:rsidRDefault="00982F21">
      <w:r>
        <w:br w:type="page"/>
      </w:r>
    </w:p>
    <w:tbl>
      <w:tblPr>
        <w:tblStyle w:val="Tabellenraster"/>
        <w:tblpPr w:leftFromText="141" w:rightFromText="141" w:vertAnchor="text" w:horzAnchor="margin" w:tblpY="1475"/>
        <w:tblW w:w="0" w:type="auto"/>
        <w:tblLook w:val="04A0" w:firstRow="1" w:lastRow="0" w:firstColumn="1" w:lastColumn="0" w:noHBand="0" w:noVBand="1"/>
      </w:tblPr>
      <w:tblGrid>
        <w:gridCol w:w="2267"/>
        <w:gridCol w:w="2224"/>
        <w:gridCol w:w="2458"/>
        <w:gridCol w:w="2113"/>
      </w:tblGrid>
      <w:tr w:rsidR="00983CBC" w14:paraId="207BA86D" w14:textId="77777777" w:rsidTr="00983CBC">
        <w:tc>
          <w:tcPr>
            <w:tcW w:w="2267" w:type="dxa"/>
          </w:tcPr>
          <w:p w14:paraId="33B2A4E9" w14:textId="6FF99064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  <w:tc>
          <w:tcPr>
            <w:tcW w:w="2224" w:type="dxa"/>
          </w:tcPr>
          <w:p w14:paraId="2E3ACD2E" w14:textId="54253B72" w:rsidR="00983CBC" w:rsidRDefault="00983CBC" w:rsidP="00982F21">
            <w:pPr>
              <w:tabs>
                <w:tab w:val="left" w:pos="1418"/>
              </w:tabs>
              <w:jc w:val="both"/>
            </w:pPr>
            <w:r>
              <w:t>Historie</w:t>
            </w:r>
          </w:p>
        </w:tc>
        <w:tc>
          <w:tcPr>
            <w:tcW w:w="2458" w:type="dxa"/>
          </w:tcPr>
          <w:p w14:paraId="676D3FAE" w14:textId="05B93BE1" w:rsidR="00983CBC" w:rsidRDefault="00983CBC" w:rsidP="00982F21">
            <w:pPr>
              <w:tabs>
                <w:tab w:val="left" w:pos="1418"/>
              </w:tabs>
              <w:jc w:val="both"/>
            </w:pPr>
            <w:r>
              <w:t>IST Phase</w:t>
            </w:r>
          </w:p>
        </w:tc>
        <w:tc>
          <w:tcPr>
            <w:tcW w:w="2113" w:type="dxa"/>
          </w:tcPr>
          <w:p w14:paraId="6530E986" w14:textId="77777777" w:rsidR="00983CBC" w:rsidRDefault="00983CBC" w:rsidP="00982F21">
            <w:pPr>
              <w:tabs>
                <w:tab w:val="left" w:pos="1418"/>
              </w:tabs>
              <w:jc w:val="both"/>
            </w:pPr>
            <w:r>
              <w:t>Prognose</w:t>
            </w:r>
          </w:p>
        </w:tc>
      </w:tr>
      <w:tr w:rsidR="00983CBC" w14:paraId="41FCF93B" w14:textId="77777777" w:rsidTr="00983CBC">
        <w:trPr>
          <w:trHeight w:val="560"/>
        </w:trPr>
        <w:tc>
          <w:tcPr>
            <w:tcW w:w="2267" w:type="dxa"/>
          </w:tcPr>
          <w:p w14:paraId="42F922E8" w14:textId="1FB37412" w:rsidR="00983CBC" w:rsidRDefault="00983CBC" w:rsidP="00982F21">
            <w:pPr>
              <w:tabs>
                <w:tab w:val="left" w:pos="1418"/>
              </w:tabs>
              <w:jc w:val="center"/>
            </w:pPr>
            <w:r>
              <w:t>Zulassungsentwicklung</w:t>
            </w:r>
          </w:p>
        </w:tc>
        <w:tc>
          <w:tcPr>
            <w:tcW w:w="2224" w:type="dxa"/>
          </w:tcPr>
          <w:p w14:paraId="03518416" w14:textId="77777777" w:rsidR="00983CBC" w:rsidRDefault="00983CBC" w:rsidP="00982F21">
            <w:pPr>
              <w:tabs>
                <w:tab w:val="left" w:pos="1418"/>
              </w:tabs>
              <w:jc w:val="center"/>
            </w:pPr>
          </w:p>
        </w:tc>
        <w:tc>
          <w:tcPr>
            <w:tcW w:w="2458" w:type="dxa"/>
          </w:tcPr>
          <w:p w14:paraId="6ABCF8CB" w14:textId="20DE1828" w:rsidR="00983CBC" w:rsidRDefault="00983CBC" w:rsidP="00982F21">
            <w:pPr>
              <w:tabs>
                <w:tab w:val="left" w:pos="1418"/>
              </w:tabs>
              <w:jc w:val="center"/>
            </w:pPr>
          </w:p>
        </w:tc>
        <w:tc>
          <w:tcPr>
            <w:tcW w:w="2113" w:type="dxa"/>
          </w:tcPr>
          <w:p w14:paraId="6EA16DC4" w14:textId="0219C181" w:rsidR="00983CBC" w:rsidRDefault="00983CBC" w:rsidP="00982F21">
            <w:pPr>
              <w:tabs>
                <w:tab w:val="left" w:pos="1418"/>
              </w:tabs>
              <w:jc w:val="center"/>
            </w:pPr>
            <w:r>
              <w:t>Bis 2035</w:t>
            </w:r>
          </w:p>
        </w:tc>
      </w:tr>
      <w:tr w:rsidR="00983CBC" w14:paraId="184ED512" w14:textId="77777777" w:rsidTr="00983CBC">
        <w:tc>
          <w:tcPr>
            <w:tcW w:w="2267" w:type="dxa"/>
          </w:tcPr>
          <w:p w14:paraId="20F21E2F" w14:textId="72900CED" w:rsidR="00983CBC" w:rsidRDefault="00983CBC" w:rsidP="00982F21">
            <w:pPr>
              <w:tabs>
                <w:tab w:val="left" w:pos="1418"/>
              </w:tabs>
              <w:jc w:val="both"/>
            </w:pPr>
            <w:r>
              <w:t>Gefahrene km</w:t>
            </w:r>
          </w:p>
        </w:tc>
        <w:tc>
          <w:tcPr>
            <w:tcW w:w="2224" w:type="dxa"/>
          </w:tcPr>
          <w:p w14:paraId="153A3466" w14:textId="77777777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  <w:tc>
          <w:tcPr>
            <w:tcW w:w="2458" w:type="dxa"/>
          </w:tcPr>
          <w:p w14:paraId="037CAB13" w14:textId="6944F364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  <w:tc>
          <w:tcPr>
            <w:tcW w:w="2113" w:type="dxa"/>
          </w:tcPr>
          <w:p w14:paraId="60BB9BA4" w14:textId="77777777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</w:tr>
      <w:tr w:rsidR="00983CBC" w14:paraId="6793B89C" w14:textId="77777777" w:rsidTr="00983CBC">
        <w:trPr>
          <w:trHeight w:val="1007"/>
        </w:trPr>
        <w:tc>
          <w:tcPr>
            <w:tcW w:w="2267" w:type="dxa"/>
          </w:tcPr>
          <w:p w14:paraId="58E79ECF" w14:textId="6D588B05" w:rsidR="00983CBC" w:rsidRDefault="00983CBC" w:rsidP="00982F21">
            <w:pPr>
              <w:tabs>
                <w:tab w:val="left" w:pos="1418"/>
              </w:tabs>
              <w:jc w:val="both"/>
            </w:pPr>
            <w:r>
              <w:t xml:space="preserve">Energieträger (Benzin, Diesel, </w:t>
            </w:r>
            <w:proofErr w:type="spellStart"/>
            <w:r>
              <w:t>Elektro,Ethanol</w:t>
            </w:r>
            <w:proofErr w:type="spellEnd"/>
            <w:r>
              <w:t>..)</w:t>
            </w:r>
          </w:p>
        </w:tc>
        <w:tc>
          <w:tcPr>
            <w:tcW w:w="2224" w:type="dxa"/>
          </w:tcPr>
          <w:p w14:paraId="0EC9E50B" w14:textId="77777777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  <w:tc>
          <w:tcPr>
            <w:tcW w:w="2458" w:type="dxa"/>
          </w:tcPr>
          <w:p w14:paraId="48C4579F" w14:textId="74F8FB34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  <w:tc>
          <w:tcPr>
            <w:tcW w:w="2113" w:type="dxa"/>
          </w:tcPr>
          <w:p w14:paraId="2F62423C" w14:textId="77777777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</w:tr>
      <w:tr w:rsidR="00983CBC" w14:paraId="3722F8C3" w14:textId="77777777" w:rsidTr="00983CBC">
        <w:trPr>
          <w:trHeight w:val="608"/>
        </w:trPr>
        <w:tc>
          <w:tcPr>
            <w:tcW w:w="2267" w:type="dxa"/>
          </w:tcPr>
          <w:p w14:paraId="1FA5B5E0" w14:textId="03D1C5E3" w:rsidR="00983CBC" w:rsidRDefault="00983CBC" w:rsidP="00982F21">
            <w:pPr>
              <w:tabs>
                <w:tab w:val="left" w:pos="1418"/>
              </w:tabs>
              <w:jc w:val="both"/>
            </w:pPr>
            <w:r>
              <w:t>Energieverbrauch</w:t>
            </w:r>
          </w:p>
        </w:tc>
        <w:tc>
          <w:tcPr>
            <w:tcW w:w="2224" w:type="dxa"/>
          </w:tcPr>
          <w:p w14:paraId="14B12630" w14:textId="77777777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  <w:tc>
          <w:tcPr>
            <w:tcW w:w="2458" w:type="dxa"/>
          </w:tcPr>
          <w:p w14:paraId="333F0CE5" w14:textId="726480E1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  <w:tc>
          <w:tcPr>
            <w:tcW w:w="2113" w:type="dxa"/>
          </w:tcPr>
          <w:p w14:paraId="14DE81B7" w14:textId="77777777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</w:tr>
      <w:tr w:rsidR="00983CBC" w14:paraId="79A88105" w14:textId="77777777" w:rsidTr="00983CBC">
        <w:tc>
          <w:tcPr>
            <w:tcW w:w="2267" w:type="dxa"/>
          </w:tcPr>
          <w:p w14:paraId="559C490D" w14:textId="4CE6055B" w:rsidR="00983CBC" w:rsidRDefault="00983CBC" w:rsidP="00982F21">
            <w:pPr>
              <w:tabs>
                <w:tab w:val="left" w:pos="1418"/>
              </w:tabs>
              <w:jc w:val="both"/>
            </w:pPr>
            <w:r>
              <w:t>CO2 Abdruck</w:t>
            </w:r>
          </w:p>
        </w:tc>
        <w:tc>
          <w:tcPr>
            <w:tcW w:w="2224" w:type="dxa"/>
          </w:tcPr>
          <w:p w14:paraId="45EB1DC0" w14:textId="77777777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  <w:tc>
          <w:tcPr>
            <w:tcW w:w="2458" w:type="dxa"/>
          </w:tcPr>
          <w:p w14:paraId="67AB6D0F" w14:textId="6B12A905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  <w:tc>
          <w:tcPr>
            <w:tcW w:w="2113" w:type="dxa"/>
          </w:tcPr>
          <w:p w14:paraId="3683CEFD" w14:textId="77777777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</w:tr>
      <w:tr w:rsidR="00983CBC" w14:paraId="3A022188" w14:textId="77777777" w:rsidTr="00983CBC">
        <w:tc>
          <w:tcPr>
            <w:tcW w:w="2267" w:type="dxa"/>
          </w:tcPr>
          <w:p w14:paraId="558074AE" w14:textId="77777777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  <w:tc>
          <w:tcPr>
            <w:tcW w:w="2224" w:type="dxa"/>
          </w:tcPr>
          <w:p w14:paraId="44DBEF26" w14:textId="77777777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  <w:tc>
          <w:tcPr>
            <w:tcW w:w="2458" w:type="dxa"/>
          </w:tcPr>
          <w:p w14:paraId="3C090CA1" w14:textId="67E12F2E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  <w:tc>
          <w:tcPr>
            <w:tcW w:w="2113" w:type="dxa"/>
          </w:tcPr>
          <w:p w14:paraId="42365906" w14:textId="77777777" w:rsidR="00983CBC" w:rsidRDefault="00983CBC" w:rsidP="00982F21">
            <w:pPr>
              <w:tabs>
                <w:tab w:val="left" w:pos="1418"/>
              </w:tabs>
              <w:jc w:val="both"/>
            </w:pPr>
          </w:p>
        </w:tc>
      </w:tr>
    </w:tbl>
    <w:p w14:paraId="75FF1B20" w14:textId="77777777" w:rsidR="00982F21" w:rsidRDefault="00982F21" w:rsidP="00982F21">
      <w:pPr>
        <w:rPr>
          <w:b/>
          <w:bCs/>
        </w:rPr>
      </w:pPr>
      <w:r w:rsidRPr="005C5BD9">
        <w:rPr>
          <w:b/>
          <w:bCs/>
        </w:rPr>
        <w:t xml:space="preserve">Was: </w:t>
      </w:r>
    </w:p>
    <w:p w14:paraId="546F5247" w14:textId="6D3DC6C3" w:rsidR="00982F21" w:rsidRPr="005C5BD9" w:rsidRDefault="00982F21" w:rsidP="00982F21">
      <w:r w:rsidRPr="005C5BD9">
        <w:t xml:space="preserve">Die Realisierbarkeit des vollständigen Ersatzes herkömmlicher Autos durch Elektroautos untersuchen. </w:t>
      </w:r>
    </w:p>
    <w:p w14:paraId="4DB456EB" w14:textId="77777777" w:rsidR="00982F21" w:rsidRDefault="00982F21" w:rsidP="00982F21">
      <w:pPr>
        <w:tabs>
          <w:tab w:val="left" w:pos="1418"/>
        </w:tabs>
        <w:ind w:hanging="142"/>
        <w:jc w:val="both"/>
      </w:pPr>
    </w:p>
    <w:p w14:paraId="02685560" w14:textId="77777777" w:rsidR="00982F21" w:rsidRPr="00EC75F0" w:rsidRDefault="00982F21" w:rsidP="00982F21">
      <w:pPr>
        <w:tabs>
          <w:tab w:val="left" w:pos="1418"/>
        </w:tabs>
        <w:ind w:hanging="142"/>
        <w:jc w:val="both"/>
      </w:pPr>
    </w:p>
    <w:p w14:paraId="2350DBFF" w14:textId="4923F7B2" w:rsidR="00982F21" w:rsidRDefault="00B513F0" w:rsidP="00982F21">
      <w:pPr>
        <w:rPr>
          <w:b/>
          <w:bCs/>
        </w:rPr>
      </w:pPr>
      <w:hyperlink r:id="rId4" w:tgtFrame="_blank" w:history="1">
        <w:r w:rsidRPr="00B513F0">
          <w:rPr>
            <w:rStyle w:val="Hyperlink"/>
            <w:b/>
            <w:bCs/>
          </w:rPr>
          <w:t>https://www.zsw-bw.de/mediathek/datenservice.html?utm_source=chatgpt.com</w:t>
        </w:r>
      </w:hyperlink>
    </w:p>
    <w:p w14:paraId="24110633" w14:textId="77777777" w:rsidR="00B513F0" w:rsidRDefault="00B513F0" w:rsidP="00982F21">
      <w:pPr>
        <w:rPr>
          <w:b/>
          <w:bCs/>
        </w:rPr>
      </w:pPr>
    </w:p>
    <w:p w14:paraId="6C7FF965" w14:textId="77777777" w:rsidR="00B513F0" w:rsidRDefault="00B513F0" w:rsidP="00982F21">
      <w:pPr>
        <w:rPr>
          <w:b/>
          <w:bCs/>
        </w:rPr>
      </w:pPr>
      <w:r w:rsidRPr="00B513F0">
        <w:rPr>
          <w:b/>
          <w:bCs/>
        </w:rPr>
        <w:t>Regelungen ab 2035</w:t>
      </w:r>
    </w:p>
    <w:p w14:paraId="1B4F93A6" w14:textId="77777777" w:rsidR="00B513F0" w:rsidRDefault="00B513F0" w:rsidP="00982F21">
      <w:pPr>
        <w:rPr>
          <w:rFonts w:ascii="Calibri" w:hAnsi="Calibri" w:cs="Calibri"/>
          <w:b/>
          <w:bCs/>
        </w:rPr>
      </w:pPr>
      <w:r w:rsidRPr="00B513F0">
        <w:rPr>
          <w:b/>
          <w:bCs/>
        </w:rPr>
        <w:t xml:space="preserve"> • Verbot von CO₂-emittierenden Neuwagen: Ab 2035 dürfen in der EU keine neuen Pkw und leichten Nutzfahrzeuge mehr zugelassen werden, die CO₂ ausstoßen. Dies betrifft Fahrzeuge mit Benzin-, Diesel- oder Hybridantrieb. </w:t>
      </w:r>
    </w:p>
    <w:p w14:paraId="58124F12" w14:textId="12672DAA" w:rsidR="00B513F0" w:rsidRDefault="00B513F0" w:rsidP="00982F21">
      <w:pPr>
        <w:rPr>
          <w:b/>
          <w:bCs/>
        </w:rPr>
      </w:pPr>
      <w:r w:rsidRPr="00B513F0">
        <w:rPr>
          <w:b/>
          <w:bCs/>
        </w:rPr>
        <w:t xml:space="preserve"> • Ausnahme für E-Fuels: Fahrzeuge, die ausschließlich mit synthetischen Kraftstoffen (E-Fuels) betrieben werden, können weiterhin neu zugelassen werden. Diese Fahrzeuge müssen jedoch technisch so gestaltet sein, dass sie ausschließlich E-Fuels nutzen können.</w:t>
      </w:r>
    </w:p>
    <w:p w14:paraId="32C25557" w14:textId="77777777" w:rsidR="00DA7E9B" w:rsidRDefault="00DA7E9B" w:rsidP="00982F21">
      <w:pPr>
        <w:rPr>
          <w:b/>
          <w:bCs/>
        </w:rPr>
      </w:pPr>
    </w:p>
    <w:p w14:paraId="56ED327A" w14:textId="77777777" w:rsidR="00DA7E9B" w:rsidRDefault="00DA7E9B" w:rsidP="00DA7E9B">
      <w:pPr>
        <w:rPr>
          <w:b/>
          <w:bCs/>
        </w:rPr>
      </w:pPr>
      <w:hyperlink r:id="rId5" w:tgtFrame="_blank" w:history="1">
        <w:r w:rsidRPr="00DA7E9B">
          <w:rPr>
            <w:rStyle w:val="Hyperlink"/>
            <w:b/>
            <w:bCs/>
          </w:rPr>
          <w:t>https://www.bmv.de/SharedDocs/DE/Artikel/G/forschungsprojekt-verbindungen.html</w:t>
        </w:r>
      </w:hyperlink>
    </w:p>
    <w:p w14:paraId="0DB51D85" w14:textId="77777777" w:rsidR="00C01893" w:rsidRDefault="00C01893" w:rsidP="00DA7E9B">
      <w:pPr>
        <w:rPr>
          <w:b/>
          <w:bCs/>
        </w:rPr>
      </w:pPr>
    </w:p>
    <w:p w14:paraId="6DCD0548" w14:textId="5FE16108" w:rsidR="00C01893" w:rsidRDefault="00C01893" w:rsidP="00DA7E9B">
      <w:pPr>
        <w:rPr>
          <w:b/>
          <w:bCs/>
        </w:rPr>
      </w:pPr>
      <w:hyperlink r:id="rId6" w:tgtFrame="_blank" w:history="1">
        <w:r w:rsidRPr="00C01893">
          <w:rPr>
            <w:rStyle w:val="Hyperlink"/>
            <w:b/>
            <w:bCs/>
          </w:rPr>
          <w:t>https://www.isi.fraunhofer.de/de/themen/elektromobilitaet.html</w:t>
        </w:r>
      </w:hyperlink>
    </w:p>
    <w:p w14:paraId="02CB87B4" w14:textId="77777777" w:rsidR="00C01893" w:rsidRDefault="00C01893" w:rsidP="00DA7E9B">
      <w:pPr>
        <w:rPr>
          <w:b/>
          <w:bCs/>
        </w:rPr>
      </w:pPr>
    </w:p>
    <w:p w14:paraId="0AFEE129" w14:textId="1FB16A4C" w:rsidR="00C01893" w:rsidRDefault="00C01893" w:rsidP="00DA7E9B">
      <w:pPr>
        <w:rPr>
          <w:b/>
          <w:bCs/>
        </w:rPr>
      </w:pPr>
      <w:hyperlink r:id="rId7" w:tgtFrame="_blank" w:history="1">
        <w:r w:rsidRPr="00C01893">
          <w:rPr>
            <w:rStyle w:val="Hyperlink"/>
            <w:b/>
            <w:bCs/>
          </w:rPr>
          <w:t>https://langfristszenarien.de/enertile-explorer-de/index.php</w:t>
        </w:r>
      </w:hyperlink>
    </w:p>
    <w:p w14:paraId="2077EB29" w14:textId="77777777" w:rsidR="00C01893" w:rsidRDefault="00C01893" w:rsidP="00DA7E9B">
      <w:pPr>
        <w:rPr>
          <w:b/>
          <w:bCs/>
        </w:rPr>
      </w:pPr>
    </w:p>
    <w:p w14:paraId="1B47CB0E" w14:textId="77777777" w:rsidR="00C01893" w:rsidRPr="00DA7E9B" w:rsidRDefault="00C01893" w:rsidP="00DA7E9B">
      <w:pPr>
        <w:rPr>
          <w:b/>
          <w:bCs/>
        </w:rPr>
      </w:pPr>
    </w:p>
    <w:p w14:paraId="084849B4" w14:textId="64DDCE32" w:rsidR="00DA7E9B" w:rsidRDefault="00DA7E9B" w:rsidP="00DA7E9B">
      <w:pPr>
        <w:rPr>
          <w:b/>
          <w:bCs/>
        </w:rPr>
      </w:pPr>
      <w:r w:rsidRPr="00DA7E9B">
        <w:rPr>
          <w:b/>
          <w:bCs/>
        </w:rPr>
        <w:br/>
      </w:r>
    </w:p>
    <w:p w14:paraId="4822BB67" w14:textId="77777777" w:rsidR="00982F21" w:rsidRDefault="00982F21" w:rsidP="00982F21">
      <w:pPr>
        <w:rPr>
          <w:b/>
          <w:bCs/>
        </w:rPr>
      </w:pPr>
    </w:p>
    <w:p w14:paraId="72C39671" w14:textId="77777777" w:rsidR="00982F21" w:rsidRDefault="00982F21" w:rsidP="00982F21">
      <w:pPr>
        <w:rPr>
          <w:b/>
          <w:bCs/>
        </w:rPr>
      </w:pPr>
    </w:p>
    <w:sectPr w:rsidR="00982F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3D"/>
    <w:rsid w:val="00025AC1"/>
    <w:rsid w:val="00071908"/>
    <w:rsid w:val="0015367F"/>
    <w:rsid w:val="0051043D"/>
    <w:rsid w:val="00553FDB"/>
    <w:rsid w:val="005C5BD9"/>
    <w:rsid w:val="00631736"/>
    <w:rsid w:val="00801012"/>
    <w:rsid w:val="00807A7C"/>
    <w:rsid w:val="00867A1B"/>
    <w:rsid w:val="00982F21"/>
    <w:rsid w:val="00983CBC"/>
    <w:rsid w:val="00B02969"/>
    <w:rsid w:val="00B513F0"/>
    <w:rsid w:val="00C01893"/>
    <w:rsid w:val="00CB2784"/>
    <w:rsid w:val="00DA7E9B"/>
    <w:rsid w:val="00EC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73C0"/>
  <w15:chartTrackingRefBased/>
  <w15:docId w15:val="{DCFEE63D-00F1-49CC-BD06-CF8AFC6E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0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0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0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0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0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0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0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0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0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0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0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0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043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043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04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04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04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04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10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0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0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0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10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104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104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1043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0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043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1043D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82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513F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1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2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9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2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49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51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4C7C5"/>
                            <w:left w:val="single" w:sz="6" w:space="0" w:color="C4C7C5"/>
                            <w:bottom w:val="single" w:sz="6" w:space="0" w:color="C4C7C5"/>
                            <w:right w:val="single" w:sz="6" w:space="0" w:color="C4C7C5"/>
                          </w:divBdr>
                          <w:divsChild>
                            <w:div w:id="7375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6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8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84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51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08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00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2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3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63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6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64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0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60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75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7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4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2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5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6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5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2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4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4C7C5"/>
                            <w:left w:val="single" w:sz="6" w:space="0" w:color="C4C7C5"/>
                            <w:bottom w:val="single" w:sz="6" w:space="0" w:color="C4C7C5"/>
                            <w:right w:val="single" w:sz="6" w:space="0" w:color="C4C7C5"/>
                          </w:divBdr>
                          <w:divsChild>
                            <w:div w:id="145741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6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7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6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50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37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8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11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3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65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4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41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5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9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87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21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4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27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8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angfristszenarien.de/enertile-explorer-de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si.fraunhofer.de/de/themen/elektromobilitaet.html" TargetMode="External"/><Relationship Id="rId5" Type="http://schemas.openxmlformats.org/officeDocument/2006/relationships/hyperlink" Target="https://www.bmv.de/SharedDocs/DE/Artikel/G/forschungsprojekt-verbindungen.html" TargetMode="External"/><Relationship Id="rId4" Type="http://schemas.openxmlformats.org/officeDocument/2006/relationships/hyperlink" Target="https://www.zsw-bw.de/mediathek/datenservice.html?utm_source=chatgp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Döring</dc:creator>
  <cp:keywords/>
  <dc:description/>
  <cp:lastModifiedBy>Katja Döring</cp:lastModifiedBy>
  <cp:revision>4</cp:revision>
  <dcterms:created xsi:type="dcterms:W3CDTF">2025-05-30T08:56:00Z</dcterms:created>
  <dcterms:modified xsi:type="dcterms:W3CDTF">2025-06-03T10:18:00Z</dcterms:modified>
</cp:coreProperties>
</file>