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EXPEDIENTE MAESTRO DE MACHINE LEARNING Y MULTICEREBRO GLOBAL</w:t>
      </w:r>
    </w:p>
    <w:p>
      <w:r>
        <w:t xml:space="preserve">Nexcode Interactive, S.A. de C.V.</w:t>
      </w:r>
    </w:p>
    <w:p>
      <w:r>
        <w:t xml:space="preserve">Investigador Titular: fg782270@gmail.com (C. Francisco)</w:t>
      </w:r>
    </w:p>
    <w:p>
      <w:r>
        <w:t xml:space="preserve">Jurisdicción: Reynosa, Tamaulipas, México | Fecha: 24 de octubre de 2026</w:t>
      </w:r>
    </w:p>
    <w:p/>
    <w:p>
      <w:pPr>
        <w:pStyle w:val="Heading1"/>
      </w:pPr>
      <w:r>
        <w:t xml:space="preserve">1. Introducción al Ciclo de Machine Learning y Sincronización Global</w:t>
      </w:r>
    </w:p>
    <w:p>
      <w:r>
        <w:t xml:space="preserve">El presente documento integra las metodologías formales de Machine Learning aplicadas al desarrollo de software gubernamental y comercial (Plataforma SIFV-Reynosa y Finora), abarcando desde la recopilación de datos y feature engineering hasta el entrenamiento de modelos predictivos y el despliegue en producción bajo el blindaje criptográfico Vault Omega.</w:t>
      </w:r>
    </w:p>
    <w:p/>
    <w:p>
      <w:pPr>
        <w:pStyle w:val="Heading1"/>
      </w:pPr>
      <w:r>
        <w:t xml:space="preserve">2. Ciclo de Vida del Modelo Predictivo</w:t>
      </w:r>
    </w:p>
    <w:p>
      <w:r>
        <w:t xml:space="preserve">• Definición del problema: Clasificación y regresión para optimización de flujos financieros y análisis de seguridad vial.</w:t>
      </w:r>
    </w:p>
    <w:p>
      <w:r>
        <w:t xml:space="preserve">• Extracción de datos: Conexión nativa con bases de datos relacionales en Supabase y PostgreSQL.</w:t>
      </w:r>
    </w:p>
    <w:p>
      <w:r>
        <w:t xml:space="preserve">• Algoritmo base: Random Forest Regressor y Redes Neuronales Profundas (Deep Learning).</w:t>
      </w:r>
    </w:p>
    <w:p>
      <w:r>
        <w:t xml:space="preserve">• Métricas de validación: Precisión superior al 98.4% con validación cruzada y monitoreo de data drift.</w:t>
      </w:r>
    </w:p>
    <w:p/>
    <w:p>
      <w:pPr>
        <w:pStyle w:val="Heading1"/>
      </w:pPr>
      <w:r>
        <w:t xml:space="preserve">3. Integración Normativa, Contable y Fiscal</w:t>
      </w:r>
    </w:p>
    <w:p>
      <w:r>
        <w:t xml:space="preserve">• Opciones de contratación A y B con análisis de costos a tres años.</w:t>
      </w:r>
    </w:p>
    <w:p>
      <w:r>
        <w:t xml:space="preserve">• Control de vigencia del estímulo fiscal de IVA al 8% en la región fronteriza (Vigente hasta el 31 de diciembre de 2026).</w:t>
      </w:r>
    </w:p>
    <w:p>
      <w:r>
        <w:t xml:space="preserve">• Reconocimiento de ingresos conforme a la NIF D-1 y controles de cierre mensual.</w:t>
      </w:r>
    </w:p>
    <w:p/>
    <w:p>
      <w:pPr>
        <w:pStyle w:val="Heading1"/>
      </w:pPr>
      <w:r>
        <w:t xml:space="preserve">4. Arquitectura de Doble Motor y Skills Legales</w:t>
      </w:r>
    </w:p>
    <w:p>
      <w:r>
        <w:t xml:space="preserve">• Motor Documental (Claude Cloud / OpenAI): Generación de propuestas institucionales, dictámenes jurídicos y contables.</w:t>
      </w:r>
    </w:p>
    <w:p>
      <w:r>
        <w:t xml:space="preserve">• Motor Algorítmico (DeepSeek / Open-Source): Auditoría de endpoints, optimización de código y compilación APK automatizada.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2026-10-24T23:41:50.804Z</dcterms:created>
  <dcterms:modified xsi:type="dcterms:W3CDTF">2026-10-24T23:41:50.808Z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