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1502" w14:textId="77777777" w:rsidR="00CD5D5C" w:rsidRPr="00CD5D5C" w:rsidRDefault="00CD5D5C" w:rsidP="00CD5D5C">
      <w:r w:rsidRPr="00CD5D5C">
        <w:t>Peter Golub • SSN xxx</w:t>
      </w:r>
      <w:r w:rsidRPr="00CD5D5C">
        <w:noBreakHyphen/>
        <w:t>xx</w:t>
      </w:r>
      <w:r w:rsidRPr="00CD5D5C">
        <w:noBreakHyphen/>
        <w:t>2127</w:t>
      </w:r>
      <w:r w:rsidRPr="00CD5D5C">
        <w:br/>
        <w:t>3921 S 2000 E, Holladay UT 84124</w:t>
      </w:r>
      <w:r w:rsidRPr="00CD5D5C">
        <w:br/>
      </w:r>
      <w:hyperlink r:id="rId5" w:history="1">
        <w:r w:rsidRPr="00CD5D5C">
          <w:rPr>
            <w:rStyle w:val="Hyperlink"/>
          </w:rPr>
          <w:t>peter.golub@gmail.com</w:t>
        </w:r>
      </w:hyperlink>
      <w:r w:rsidRPr="00CD5D5C">
        <w:t xml:space="preserve"> • (801)</w:t>
      </w:r>
      <w:r w:rsidRPr="00CD5D5C">
        <w:rPr>
          <w:rFonts w:ascii="Times New Roman" w:hAnsi="Times New Roman" w:cs="Times New Roman"/>
        </w:rPr>
        <w:t> </w:t>
      </w:r>
      <w:r w:rsidRPr="00CD5D5C">
        <w:t>618</w:t>
      </w:r>
      <w:r w:rsidRPr="00CD5D5C">
        <w:noBreakHyphen/>
        <w:t>7609</w:t>
      </w:r>
    </w:p>
    <w:p w14:paraId="2402A76C" w14:textId="77777777" w:rsidR="00CD5D5C" w:rsidRPr="00CD5D5C" w:rsidRDefault="00CD5D5C" w:rsidP="00CD5D5C">
      <w:r w:rsidRPr="00CD5D5C">
        <w:rPr>
          <w:b/>
          <w:bCs/>
        </w:rPr>
        <w:t>18 July 2025</w:t>
      </w:r>
    </w:p>
    <w:p w14:paraId="14DDAED5" w14:textId="77777777" w:rsidR="00CD5D5C" w:rsidRPr="00CD5D5C" w:rsidRDefault="00CD5D5C" w:rsidP="00CD5D5C">
      <w:r w:rsidRPr="00CD5D5C">
        <w:rPr>
          <w:b/>
          <w:bCs/>
        </w:rPr>
        <w:t>Workforce Appeals Board</w:t>
      </w:r>
      <w:r w:rsidRPr="00CD5D5C">
        <w:br/>
        <w:t>P.O. Box 45244</w:t>
      </w:r>
      <w:r w:rsidRPr="00CD5D5C">
        <w:br/>
        <w:t>Salt Lake City, Utah 84145</w:t>
      </w:r>
      <w:r w:rsidRPr="00CD5D5C">
        <w:noBreakHyphen/>
        <w:t>0244</w:t>
      </w:r>
    </w:p>
    <w:p w14:paraId="1788D7A1" w14:textId="77777777" w:rsidR="00CD5D5C" w:rsidRPr="00CD5D5C" w:rsidRDefault="00CD5D5C" w:rsidP="00CD5D5C">
      <w:r w:rsidRPr="00CD5D5C">
        <w:rPr>
          <w:b/>
          <w:bCs/>
        </w:rPr>
        <w:t>Re:</w:t>
      </w:r>
      <w:r w:rsidRPr="00CD5D5C">
        <w:t xml:space="preserve"> Appeal of ALJ Decision — Case Nos. 25</w:t>
      </w:r>
      <w:r w:rsidRPr="00CD5D5C">
        <w:noBreakHyphen/>
        <w:t>B</w:t>
      </w:r>
      <w:r w:rsidRPr="00CD5D5C">
        <w:noBreakHyphen/>
        <w:t>00327 / 25</w:t>
      </w:r>
      <w:r w:rsidRPr="00CD5D5C">
        <w:noBreakHyphen/>
        <w:t>A</w:t>
      </w:r>
      <w:r w:rsidRPr="00CD5D5C">
        <w:noBreakHyphen/>
        <w:t>05051</w:t>
      </w:r>
    </w:p>
    <w:p w14:paraId="77C50271" w14:textId="77777777" w:rsidR="00CD5D5C" w:rsidRPr="00CD5D5C" w:rsidRDefault="00CD5D5C" w:rsidP="00CD5D5C">
      <w:r w:rsidRPr="00CD5D5C">
        <w:pict w14:anchorId="7B5F5695">
          <v:rect id="_x0000_i1025" style="width:0;height:1.5pt" o:hralign="center" o:hrstd="t" o:hr="t" fillcolor="#a0a0a0" stroked="f"/>
        </w:pict>
      </w:r>
    </w:p>
    <w:p w14:paraId="5BFBA9C7" w14:textId="77777777" w:rsidR="00CD5D5C" w:rsidRPr="00CD5D5C" w:rsidRDefault="00CD5D5C" w:rsidP="00CD5D5C">
      <w:pPr>
        <w:rPr>
          <w:b/>
          <w:bCs/>
        </w:rPr>
      </w:pPr>
      <w:r w:rsidRPr="00CD5D5C">
        <w:rPr>
          <w:b/>
          <w:bCs/>
        </w:rPr>
        <w:t>I. Introduction</w:t>
      </w:r>
    </w:p>
    <w:p w14:paraId="60AD1387" w14:textId="32E67CBE" w:rsidR="00CD5D5C" w:rsidRPr="00CD5D5C" w:rsidRDefault="00CD5D5C" w:rsidP="00CD5D5C">
      <w:r w:rsidRPr="00CD5D5C">
        <w:t>The Administrative Law Judge’s 9 July 2025 decision mischaracterizes an employer</w:t>
      </w:r>
      <w:r w:rsidRPr="00CD5D5C">
        <w:noBreakHyphen/>
        <w:t>initiated lock</w:t>
      </w:r>
      <w:r w:rsidRPr="00CD5D5C">
        <w:noBreakHyphen/>
        <w:t>out as a “voluntary quit,” inverts the burden of proof, and relies on testimony the ALJ himself acknowledged was non</w:t>
      </w:r>
      <w:r w:rsidRPr="00CD5D5C">
        <w:noBreakHyphen/>
        <w:t xml:space="preserve">specific. The record now includes the certified transcript; key passages show that Granite School District ("Granite") deactivated every credential on 5 May 2025 </w:t>
      </w:r>
      <w:r w:rsidRPr="00CD5D5C">
        <w:rPr>
          <w:b/>
          <w:bCs/>
        </w:rPr>
        <w:t>before</w:t>
      </w:r>
      <w:r w:rsidRPr="00CD5D5C">
        <w:t xml:space="preserve"> any separation interview and that its witness could not remember the words he attributes to me. Reversal—or, at minimum, de</w:t>
      </w:r>
      <w:r w:rsidRPr="00CD5D5C">
        <w:noBreakHyphen/>
        <w:t>novo remand—is compelled.</w:t>
      </w:r>
    </w:p>
    <w:p w14:paraId="6AD312E2" w14:textId="77777777" w:rsidR="00CD5D5C" w:rsidRPr="00CD5D5C" w:rsidRDefault="00CD5D5C" w:rsidP="00CD5D5C">
      <w:pPr>
        <w:rPr>
          <w:b/>
          <w:bCs/>
        </w:rPr>
      </w:pPr>
      <w:r w:rsidRPr="00CD5D5C">
        <w:rPr>
          <w:b/>
          <w:bCs/>
        </w:rPr>
        <w:t>II. Statement of Facts (record cites)</w:t>
      </w:r>
    </w:p>
    <w:p w14:paraId="3E885712" w14:textId="10F22AE7" w:rsidR="00CD5D5C" w:rsidRPr="00CD5D5C" w:rsidRDefault="00CD5D5C" w:rsidP="00CD5D5C">
      <w:pPr>
        <w:numPr>
          <w:ilvl w:val="0"/>
          <w:numId w:val="1"/>
        </w:numPr>
      </w:pPr>
      <w:r w:rsidRPr="00CD5D5C">
        <w:rPr>
          <w:b/>
          <w:bCs/>
        </w:rPr>
        <w:t>5 May 2025</w:t>
      </w:r>
      <w:r w:rsidRPr="00CD5D5C">
        <w:rPr>
          <w:rFonts w:ascii="Times New Roman" w:hAnsi="Times New Roman" w:cs="Times New Roman"/>
          <w:b/>
          <w:bCs/>
        </w:rPr>
        <w:t> </w:t>
      </w:r>
      <w:r w:rsidRPr="00CD5D5C">
        <w:rPr>
          <w:rFonts w:cs="Garamond"/>
          <w:b/>
          <w:bCs/>
        </w:rPr>
        <w:t>— </w:t>
      </w:r>
      <w:r w:rsidRPr="00CD5D5C">
        <w:rPr>
          <w:b/>
          <w:bCs/>
        </w:rPr>
        <w:t>Account Lock</w:t>
      </w:r>
      <w:r w:rsidRPr="00CD5D5C">
        <w:rPr>
          <w:b/>
          <w:bCs/>
        </w:rPr>
        <w:noBreakHyphen/>
        <w:t>Out.</w:t>
      </w:r>
      <w:r w:rsidRPr="00CD5D5C">
        <w:t xml:space="preserve"> Granite’s HR witness Wyatt</w:t>
      </w:r>
      <w:r w:rsidRPr="00CD5D5C">
        <w:rPr>
          <w:rFonts w:ascii="Times New Roman" w:hAnsi="Times New Roman" w:cs="Times New Roman"/>
        </w:rPr>
        <w:t> </w:t>
      </w:r>
      <w:r w:rsidRPr="00CD5D5C">
        <w:t>Bentley admitted my Frontline</w:t>
      </w:r>
      <w:r w:rsidRPr="00CD5D5C">
        <w:rPr>
          <w:rFonts w:cs="Garamond"/>
        </w:rPr>
        <w:t>®</w:t>
      </w:r>
      <w:r w:rsidRPr="00CD5D5C">
        <w:t xml:space="preserve"> account was disabled on 5</w:t>
      </w:r>
      <w:r w:rsidRPr="00CD5D5C">
        <w:rPr>
          <w:rFonts w:cs="Garamond"/>
        </w:rPr>
        <w:t> </w:t>
      </w:r>
      <w:r w:rsidRPr="00CD5D5C">
        <w:t xml:space="preserve">May while the </w:t>
      </w:r>
      <w:proofErr w:type="gramStart"/>
      <w:r w:rsidRPr="00CD5D5C">
        <w:t>District</w:t>
      </w:r>
      <w:proofErr w:type="gramEnd"/>
      <w:r w:rsidRPr="00CD5D5C">
        <w:t xml:space="preserve"> </w:t>
      </w:r>
      <w:r w:rsidRPr="00CD5D5C">
        <w:rPr>
          <w:rFonts w:cs="Garamond"/>
        </w:rPr>
        <w:t>“</w:t>
      </w:r>
      <w:r w:rsidRPr="00CD5D5C">
        <w:t xml:space="preserve">block[s] subs </w:t>
      </w:r>
      <w:r w:rsidRPr="00CD5D5C">
        <w:rPr>
          <w:rFonts w:cs="Garamond"/>
        </w:rPr>
        <w:t>…</w:t>
      </w:r>
      <w:r w:rsidRPr="00CD5D5C">
        <w:t xml:space="preserve"> until we can do an investigation.</w:t>
      </w:r>
      <w:r w:rsidRPr="00CD5D5C">
        <w:rPr>
          <w:rFonts w:cs="Garamond"/>
        </w:rPr>
        <w:t>”</w:t>
      </w:r>
      <w:r w:rsidRPr="00CD5D5C">
        <w:rPr>
          <w:rFonts w:ascii="MS Gothic" w:eastAsia="MS Gothic" w:hAnsi="MS Gothic" w:cs="MS Gothic" w:hint="eastAsia"/>
        </w:rPr>
        <w:t>【</w:t>
      </w:r>
      <w:r w:rsidRPr="00CD5D5C">
        <w:t>L21-28 and L31-34 on p.16</w:t>
      </w:r>
      <w:r w:rsidRPr="00CD5D5C">
        <w:rPr>
          <w:rFonts w:ascii="MS Gothic" w:eastAsia="MS Gothic" w:hAnsi="MS Gothic" w:cs="MS Gothic" w:hint="eastAsia"/>
        </w:rPr>
        <w:t>】</w:t>
      </w:r>
      <w:r w:rsidRPr="00CD5D5C">
        <w:t xml:space="preserve"> He further conceded the District “had not” decided to discharge me at that time</w:t>
      </w:r>
      <w:r w:rsidRPr="00CD5D5C">
        <w:rPr>
          <w:rFonts w:ascii="MS Gothic" w:eastAsia="MS Gothic" w:hAnsi="MS Gothic" w:cs="MS Gothic" w:hint="eastAsia"/>
        </w:rPr>
        <w:t>【</w:t>
      </w:r>
      <w:r w:rsidRPr="00CD5D5C">
        <w:t>turn8file10†L31-L34</w:t>
      </w:r>
      <w:r w:rsidRPr="00CD5D5C">
        <w:rPr>
          <w:rFonts w:ascii="MS Gothic" w:eastAsia="MS Gothic" w:hAnsi="MS Gothic" w:cs="MS Gothic" w:hint="eastAsia"/>
        </w:rPr>
        <w:t>】</w:t>
      </w:r>
      <w:r w:rsidRPr="00CD5D5C">
        <w:t>.</w:t>
      </w:r>
    </w:p>
    <w:p w14:paraId="0F8127D5" w14:textId="77777777" w:rsidR="00CD5D5C" w:rsidRPr="00CD5D5C" w:rsidRDefault="00CD5D5C" w:rsidP="00CD5D5C">
      <w:pPr>
        <w:numPr>
          <w:ilvl w:val="0"/>
          <w:numId w:val="1"/>
        </w:numPr>
      </w:pPr>
      <w:r w:rsidRPr="00CD5D5C">
        <w:rPr>
          <w:b/>
          <w:bCs/>
        </w:rPr>
        <w:t>No Same</w:t>
      </w:r>
      <w:r w:rsidRPr="00CD5D5C">
        <w:rPr>
          <w:b/>
          <w:bCs/>
        </w:rPr>
        <w:noBreakHyphen/>
        <w:t>Day Notice.</w:t>
      </w:r>
      <w:r w:rsidRPr="00CD5D5C">
        <w:t xml:space="preserve"> Asked whether the usual suspension e</w:t>
      </w:r>
      <w:r w:rsidRPr="00CD5D5C">
        <w:noBreakHyphen/>
        <w:t>mail went out on 5 May, Mr.</w:t>
      </w:r>
      <w:r w:rsidRPr="00CD5D5C">
        <w:rPr>
          <w:rFonts w:ascii="Times New Roman" w:hAnsi="Times New Roman" w:cs="Times New Roman"/>
        </w:rPr>
        <w:t> </w:t>
      </w:r>
      <w:r w:rsidRPr="00CD5D5C">
        <w:t xml:space="preserve">Bentley replied, </w:t>
      </w:r>
      <w:r w:rsidRPr="00CD5D5C">
        <w:rPr>
          <w:rFonts w:cs="Garamond"/>
        </w:rPr>
        <w:t>“</w:t>
      </w:r>
      <w:r w:rsidRPr="00CD5D5C">
        <w:t>I don</w:t>
      </w:r>
      <w:r w:rsidRPr="00CD5D5C">
        <w:rPr>
          <w:rFonts w:cs="Garamond"/>
        </w:rPr>
        <w:t>’</w:t>
      </w:r>
      <w:r w:rsidRPr="00CD5D5C">
        <w:t>t have the date</w:t>
      </w:r>
      <w:r w:rsidRPr="00CD5D5C">
        <w:rPr>
          <w:rFonts w:cs="Garamond"/>
        </w:rPr>
        <w:t>… </w:t>
      </w:r>
      <w:r w:rsidRPr="00CD5D5C">
        <w:t>I</w:t>
      </w:r>
      <w:r w:rsidRPr="00CD5D5C">
        <w:rPr>
          <w:rFonts w:cs="Garamond"/>
        </w:rPr>
        <w:t>’</w:t>
      </w:r>
      <w:r w:rsidRPr="00CD5D5C">
        <w:t>d have to go back and look</w:t>
      </w:r>
      <w:proofErr w:type="gramStart"/>
      <w:r w:rsidRPr="00CD5D5C">
        <w:t>.</w:t>
      </w:r>
      <w:r w:rsidRPr="00CD5D5C">
        <w:rPr>
          <w:rFonts w:cs="Garamond"/>
        </w:rPr>
        <w:t>”</w:t>
      </w:r>
      <w:r w:rsidRPr="00CD5D5C">
        <w:rPr>
          <w:rFonts w:ascii="MS Gothic" w:eastAsia="MS Gothic" w:hAnsi="MS Gothic" w:cs="MS Gothic" w:hint="eastAsia"/>
        </w:rPr>
        <w:t>【</w:t>
      </w:r>
      <w:proofErr w:type="gramEnd"/>
      <w:r w:rsidRPr="00CD5D5C">
        <w:t>turn8file10†L46-L73</w:t>
      </w:r>
      <w:r w:rsidRPr="00CD5D5C">
        <w:rPr>
          <w:rFonts w:ascii="MS Gothic" w:eastAsia="MS Gothic" w:hAnsi="MS Gothic" w:cs="MS Gothic" w:hint="eastAsia"/>
        </w:rPr>
        <w:t>】</w:t>
      </w:r>
      <w:r w:rsidRPr="00CD5D5C">
        <w:t>.</w:t>
      </w:r>
    </w:p>
    <w:p w14:paraId="68E1C522" w14:textId="77777777" w:rsidR="00CD5D5C" w:rsidRPr="00CD5D5C" w:rsidRDefault="00CD5D5C" w:rsidP="00CD5D5C">
      <w:pPr>
        <w:numPr>
          <w:ilvl w:val="0"/>
          <w:numId w:val="1"/>
        </w:numPr>
      </w:pPr>
      <w:r w:rsidRPr="00CD5D5C">
        <w:rPr>
          <w:b/>
          <w:bCs/>
        </w:rPr>
        <w:t>Employer Silence 5–13 May.</w:t>
      </w:r>
      <w:r w:rsidRPr="00CD5D5C">
        <w:t xml:space="preserve"> Bentley acknowledged receiving my 5 May e</w:t>
      </w:r>
      <w:r w:rsidRPr="00CD5D5C">
        <w:noBreakHyphen/>
        <w:t>mail but failed to respond until 13 May</w:t>
      </w:r>
      <w:r w:rsidRPr="00CD5D5C">
        <w:rPr>
          <w:rFonts w:ascii="MS Gothic" w:eastAsia="MS Gothic" w:hAnsi="MS Gothic" w:cs="MS Gothic" w:hint="eastAsia"/>
        </w:rPr>
        <w:t>【</w:t>
      </w:r>
      <w:r w:rsidRPr="00CD5D5C">
        <w:t>turn8file2†L61-L65</w:t>
      </w:r>
      <w:r w:rsidRPr="00CD5D5C">
        <w:rPr>
          <w:rFonts w:ascii="MS Gothic" w:eastAsia="MS Gothic" w:hAnsi="MS Gothic" w:cs="MS Gothic" w:hint="eastAsia"/>
        </w:rPr>
        <w:t>】</w:t>
      </w:r>
      <w:r w:rsidRPr="00CD5D5C">
        <w:t>.</w:t>
      </w:r>
    </w:p>
    <w:p w14:paraId="38549061" w14:textId="77777777" w:rsidR="00CD5D5C" w:rsidRPr="00CD5D5C" w:rsidRDefault="00CD5D5C" w:rsidP="00CD5D5C">
      <w:pPr>
        <w:numPr>
          <w:ilvl w:val="0"/>
          <w:numId w:val="1"/>
        </w:numPr>
      </w:pPr>
      <w:r w:rsidRPr="00CD5D5C">
        <w:rPr>
          <w:b/>
          <w:bCs/>
        </w:rPr>
        <w:t>15 May Phone Call.</w:t>
      </w:r>
      <w:r w:rsidRPr="00CD5D5C">
        <w:t xml:space="preserve"> In that call Bentley says I thought continuing was “a waste of … time” yet testified, “I don’t remember the exact words you used</w:t>
      </w:r>
      <w:proofErr w:type="gramStart"/>
      <w:r w:rsidRPr="00CD5D5C">
        <w:t>.”</w:t>
      </w:r>
      <w:r w:rsidRPr="00CD5D5C">
        <w:rPr>
          <w:rFonts w:ascii="MS Gothic" w:eastAsia="MS Gothic" w:hAnsi="MS Gothic" w:cs="MS Gothic" w:hint="eastAsia"/>
        </w:rPr>
        <w:t>【</w:t>
      </w:r>
      <w:proofErr w:type="gramEnd"/>
      <w:r w:rsidRPr="00CD5D5C">
        <w:t>turn8file5†L3-L8</w:t>
      </w:r>
      <w:r w:rsidRPr="00CD5D5C">
        <w:rPr>
          <w:rFonts w:ascii="MS Gothic" w:eastAsia="MS Gothic" w:hAnsi="MS Gothic" w:cs="MS Gothic" w:hint="eastAsia"/>
        </w:rPr>
        <w:t>】</w:t>
      </w:r>
      <w:r w:rsidRPr="00CD5D5C">
        <w:t> When pressed, the ALJ stated for the record: “</w:t>
      </w:r>
      <w:r w:rsidRPr="00CD5D5C">
        <w:rPr>
          <w:b/>
          <w:bCs/>
        </w:rPr>
        <w:t>He’s already said he doesn’t remember exactly what you said</w:t>
      </w:r>
      <w:proofErr w:type="gramStart"/>
      <w:r w:rsidRPr="00CD5D5C">
        <w:t>.”</w:t>
      </w:r>
      <w:r w:rsidRPr="00CD5D5C">
        <w:rPr>
          <w:rFonts w:ascii="MS Gothic" w:eastAsia="MS Gothic" w:hAnsi="MS Gothic" w:cs="MS Gothic" w:hint="eastAsia"/>
        </w:rPr>
        <w:t>【</w:t>
      </w:r>
      <w:proofErr w:type="gramEnd"/>
      <w:r w:rsidRPr="00CD5D5C">
        <w:t>turn8file5†L67-L71</w:t>
      </w:r>
      <w:r w:rsidRPr="00CD5D5C">
        <w:rPr>
          <w:rFonts w:ascii="MS Gothic" w:eastAsia="MS Gothic" w:hAnsi="MS Gothic" w:cs="MS Gothic" w:hint="eastAsia"/>
        </w:rPr>
        <w:t>】</w:t>
      </w:r>
    </w:p>
    <w:p w14:paraId="1F33A9B7" w14:textId="77777777" w:rsidR="00CD5D5C" w:rsidRPr="00CD5D5C" w:rsidRDefault="00CD5D5C" w:rsidP="00CD5D5C">
      <w:pPr>
        <w:numPr>
          <w:ilvl w:val="0"/>
          <w:numId w:val="1"/>
        </w:numPr>
      </w:pPr>
      <w:r w:rsidRPr="00CD5D5C">
        <w:rPr>
          <w:b/>
          <w:bCs/>
        </w:rPr>
        <w:t>ALJ’s Exclusion of My Exhibits.</w:t>
      </w:r>
      <w:r w:rsidRPr="00CD5D5C">
        <w:t xml:space="preserve"> The judge refused to admit my exhibits because Granite had not received them, but nonetheless relied on undisclosed Granite e</w:t>
      </w:r>
      <w:r w:rsidRPr="00CD5D5C">
        <w:noBreakHyphen/>
        <w:t>mails</w:t>
      </w:r>
      <w:r w:rsidRPr="00CD5D5C">
        <w:rPr>
          <w:rFonts w:ascii="MS Gothic" w:eastAsia="MS Gothic" w:hAnsi="MS Gothic" w:cs="MS Gothic" w:hint="eastAsia"/>
        </w:rPr>
        <w:t>【</w:t>
      </w:r>
      <w:r w:rsidRPr="00CD5D5C">
        <w:t>turn8file13†L29-L44</w:t>
      </w:r>
      <w:r w:rsidRPr="00CD5D5C">
        <w:rPr>
          <w:rFonts w:ascii="MS Gothic" w:eastAsia="MS Gothic" w:hAnsi="MS Gothic" w:cs="MS Gothic" w:hint="eastAsia"/>
        </w:rPr>
        <w:t>】</w:t>
      </w:r>
      <w:r w:rsidRPr="00CD5D5C">
        <w:t>.</w:t>
      </w:r>
    </w:p>
    <w:p w14:paraId="1C02881B" w14:textId="4F4C5E7D" w:rsidR="00CD5D5C" w:rsidRPr="00CD5D5C" w:rsidRDefault="00CD5D5C" w:rsidP="00CD5D5C">
      <w:pPr>
        <w:numPr>
          <w:ilvl w:val="0"/>
          <w:numId w:val="1"/>
        </w:numPr>
      </w:pPr>
      <w:r w:rsidRPr="00CD5D5C">
        <w:rPr>
          <w:b/>
          <w:bCs/>
        </w:rPr>
        <w:t>Continued Attachment to Labor Market.</w:t>
      </w:r>
      <w:r w:rsidRPr="00CD5D5C">
        <w:t xml:space="preserve"> Since 18 May</w:t>
      </w:r>
      <w:r w:rsidRPr="00CD5D5C">
        <w:rPr>
          <w:rFonts w:ascii="Times New Roman" w:hAnsi="Times New Roman" w:cs="Times New Roman"/>
        </w:rPr>
        <w:t> </w:t>
      </w:r>
      <w:r w:rsidRPr="00CD5D5C">
        <w:t>2025 I have filed every weekly claim and more than 30 job applications.</w:t>
      </w:r>
    </w:p>
    <w:p w14:paraId="282C373F" w14:textId="77777777" w:rsidR="00CD5D5C" w:rsidRPr="00CD5D5C" w:rsidRDefault="00CD5D5C" w:rsidP="00CD5D5C">
      <w:pPr>
        <w:rPr>
          <w:b/>
          <w:bCs/>
        </w:rPr>
      </w:pPr>
      <w:r w:rsidRPr="00CD5D5C">
        <w:rPr>
          <w:b/>
          <w:bCs/>
        </w:rPr>
        <w:t>III. Legal Argument</w:t>
      </w:r>
    </w:p>
    <w:p w14:paraId="435031A5" w14:textId="77777777" w:rsidR="00CD5D5C" w:rsidRPr="00CD5D5C" w:rsidRDefault="00CD5D5C" w:rsidP="00CD5D5C">
      <w:pPr>
        <w:numPr>
          <w:ilvl w:val="0"/>
          <w:numId w:val="2"/>
        </w:numPr>
      </w:pPr>
      <w:r w:rsidRPr="00CD5D5C">
        <w:rPr>
          <w:b/>
          <w:bCs/>
        </w:rPr>
        <w:t>Employer</w:t>
      </w:r>
      <w:r w:rsidRPr="00CD5D5C">
        <w:rPr>
          <w:b/>
          <w:bCs/>
        </w:rPr>
        <w:noBreakHyphen/>
        <w:t>Initiated Separation.</w:t>
      </w:r>
      <w:r w:rsidRPr="00CD5D5C">
        <w:t xml:space="preserve"> Under Utah Admin. Code R994</w:t>
      </w:r>
      <w:r w:rsidRPr="00CD5D5C">
        <w:noBreakHyphen/>
        <w:t>405</w:t>
      </w:r>
      <w:r w:rsidRPr="00CD5D5C">
        <w:noBreakHyphen/>
        <w:t>201 a separation is a discharge when the employer determines the last day worked. Granite’s unilateral lock</w:t>
      </w:r>
      <w:r w:rsidRPr="00CD5D5C">
        <w:noBreakHyphen/>
        <w:t xml:space="preserve">out meets that definition and parallels </w:t>
      </w:r>
      <w:r w:rsidRPr="00CD5D5C">
        <w:rPr>
          <w:i/>
          <w:iCs/>
        </w:rPr>
        <w:t>Clearfield City v. </w:t>
      </w:r>
      <w:proofErr w:type="spellStart"/>
      <w:r w:rsidRPr="00CD5D5C">
        <w:rPr>
          <w:i/>
          <w:iCs/>
        </w:rPr>
        <w:t>Dep’t</w:t>
      </w:r>
      <w:proofErr w:type="spellEnd"/>
      <w:r w:rsidRPr="00CD5D5C">
        <w:rPr>
          <w:rFonts w:ascii="Times New Roman" w:hAnsi="Times New Roman" w:cs="Times New Roman"/>
          <w:i/>
          <w:iCs/>
        </w:rPr>
        <w:t> </w:t>
      </w:r>
      <w:r w:rsidRPr="00CD5D5C">
        <w:rPr>
          <w:i/>
          <w:iCs/>
        </w:rPr>
        <w:t>of</w:t>
      </w:r>
      <w:r w:rsidRPr="00CD5D5C">
        <w:rPr>
          <w:rFonts w:ascii="Times New Roman" w:hAnsi="Times New Roman" w:cs="Times New Roman"/>
          <w:i/>
          <w:iCs/>
        </w:rPr>
        <w:t> </w:t>
      </w:r>
      <w:r w:rsidRPr="00CD5D5C">
        <w:rPr>
          <w:i/>
          <w:iCs/>
        </w:rPr>
        <w:t>Emp</w:t>
      </w:r>
      <w:r w:rsidRPr="00CD5D5C">
        <w:rPr>
          <w:rFonts w:cs="Garamond"/>
          <w:i/>
          <w:iCs/>
        </w:rPr>
        <w:t>’</w:t>
      </w:r>
      <w:r w:rsidRPr="00CD5D5C">
        <w:rPr>
          <w:i/>
          <w:iCs/>
        </w:rPr>
        <w:t>t</w:t>
      </w:r>
      <w:r w:rsidRPr="00CD5D5C">
        <w:rPr>
          <w:rFonts w:ascii="Times New Roman" w:hAnsi="Times New Roman" w:cs="Times New Roman"/>
          <w:i/>
          <w:iCs/>
        </w:rPr>
        <w:t> </w:t>
      </w:r>
      <w:r w:rsidRPr="00CD5D5C">
        <w:rPr>
          <w:i/>
          <w:iCs/>
        </w:rPr>
        <w:t>Sec.</w:t>
      </w:r>
      <w:r w:rsidRPr="00CD5D5C">
        <w:t>, 663 P.2d 440 (Utah 1983).</w:t>
      </w:r>
    </w:p>
    <w:p w14:paraId="768D64E6" w14:textId="77777777" w:rsidR="00CD5D5C" w:rsidRPr="00CD5D5C" w:rsidRDefault="00CD5D5C" w:rsidP="00CD5D5C">
      <w:pPr>
        <w:numPr>
          <w:ilvl w:val="0"/>
          <w:numId w:val="2"/>
        </w:numPr>
      </w:pPr>
      <w:r w:rsidRPr="00CD5D5C">
        <w:rPr>
          <w:b/>
          <w:bCs/>
        </w:rPr>
        <w:t>No Competent Proof of Resignation.</w:t>
      </w:r>
      <w:r w:rsidRPr="00CD5D5C">
        <w:t xml:space="preserve"> The only evidence of a quit is Bentley’s hazy recollection, which he repeatedly qualified, and which the ALJ found unreliable</w:t>
      </w:r>
      <w:r w:rsidRPr="00CD5D5C">
        <w:rPr>
          <w:rFonts w:ascii="MS Gothic" w:eastAsia="MS Gothic" w:hAnsi="MS Gothic" w:cs="MS Gothic" w:hint="eastAsia"/>
        </w:rPr>
        <w:t>【</w:t>
      </w:r>
      <w:r w:rsidRPr="00CD5D5C">
        <w:t>turn8file5†L3-L8</w:t>
      </w:r>
      <w:r w:rsidRPr="00CD5D5C">
        <w:rPr>
          <w:rFonts w:ascii="MS Gothic" w:eastAsia="MS Gothic" w:hAnsi="MS Gothic" w:cs="MS Gothic" w:hint="eastAsia"/>
        </w:rPr>
        <w:t>】【</w:t>
      </w:r>
      <w:r w:rsidRPr="00CD5D5C">
        <w:t>turn8file5†L67-L71</w:t>
      </w:r>
      <w:r w:rsidRPr="00CD5D5C">
        <w:rPr>
          <w:rFonts w:ascii="MS Gothic" w:eastAsia="MS Gothic" w:hAnsi="MS Gothic" w:cs="MS Gothic" w:hint="eastAsia"/>
        </w:rPr>
        <w:t>】</w:t>
      </w:r>
      <w:r w:rsidRPr="00CD5D5C">
        <w:t>. Hearsay paraphrase cannot satisfy Granite’s burden under R994</w:t>
      </w:r>
      <w:r w:rsidRPr="00CD5D5C">
        <w:noBreakHyphen/>
        <w:t>405</w:t>
      </w:r>
      <w:r w:rsidRPr="00CD5D5C">
        <w:noBreakHyphen/>
        <w:t>105.</w:t>
      </w:r>
    </w:p>
    <w:p w14:paraId="2964C338" w14:textId="77777777" w:rsidR="00CD5D5C" w:rsidRPr="00CD5D5C" w:rsidRDefault="00CD5D5C" w:rsidP="00CD5D5C">
      <w:pPr>
        <w:numPr>
          <w:ilvl w:val="0"/>
          <w:numId w:val="2"/>
        </w:numPr>
      </w:pPr>
      <w:r w:rsidRPr="00CD5D5C">
        <w:rPr>
          <w:b/>
          <w:bCs/>
        </w:rPr>
        <w:t>Just</w:t>
      </w:r>
      <w:r w:rsidRPr="00CD5D5C">
        <w:rPr>
          <w:b/>
          <w:bCs/>
        </w:rPr>
        <w:noBreakHyphen/>
        <w:t>Cause Elements Unsatisfied.</w:t>
      </w:r>
      <w:r w:rsidRPr="00CD5D5C">
        <w:t xml:space="preserve"> </w:t>
      </w:r>
      <w:r w:rsidRPr="00CD5D5C">
        <w:rPr>
          <w:i/>
          <w:iCs/>
        </w:rPr>
        <w:t>Kehl v. Bd. of Review</w:t>
      </w:r>
      <w:r w:rsidRPr="00CD5D5C">
        <w:t>, 700 P.2d 1129 (Utah 1985) requires employer proof of culpability, knowledge, and control. The transcript contains none.</w:t>
      </w:r>
    </w:p>
    <w:p w14:paraId="19A1F1F8" w14:textId="77777777" w:rsidR="00CD5D5C" w:rsidRPr="00CD5D5C" w:rsidRDefault="00CD5D5C" w:rsidP="00CD5D5C">
      <w:pPr>
        <w:numPr>
          <w:ilvl w:val="0"/>
          <w:numId w:val="2"/>
        </w:numPr>
      </w:pPr>
      <w:r w:rsidRPr="00CD5D5C">
        <w:rPr>
          <w:b/>
          <w:bCs/>
        </w:rPr>
        <w:lastRenderedPageBreak/>
        <w:t>Procedural Due</w:t>
      </w:r>
      <w:r w:rsidRPr="00CD5D5C">
        <w:rPr>
          <w:b/>
          <w:bCs/>
        </w:rPr>
        <w:noBreakHyphen/>
        <w:t>Process Error.</w:t>
      </w:r>
      <w:r w:rsidRPr="00CD5D5C">
        <w:t xml:space="preserve"> The ALJ used undisclosed Granite e</w:t>
      </w:r>
      <w:r w:rsidRPr="00CD5D5C">
        <w:noBreakHyphen/>
        <w:t>mails after excluding my timely exhibits—contrary to R994</w:t>
      </w:r>
      <w:r w:rsidRPr="00CD5D5C">
        <w:noBreakHyphen/>
        <w:t>508</w:t>
      </w:r>
      <w:r w:rsidRPr="00CD5D5C">
        <w:noBreakHyphen/>
        <w:t>118 and fundamental fairness.</w:t>
      </w:r>
    </w:p>
    <w:p w14:paraId="74CC7A87" w14:textId="77777777" w:rsidR="00CD5D5C" w:rsidRPr="00CD5D5C" w:rsidRDefault="00CD5D5C" w:rsidP="00CD5D5C">
      <w:pPr>
        <w:numPr>
          <w:ilvl w:val="0"/>
          <w:numId w:val="2"/>
        </w:numPr>
      </w:pPr>
      <w:r w:rsidRPr="00CD5D5C">
        <w:rPr>
          <w:b/>
          <w:bCs/>
        </w:rPr>
        <w:t>Equity</w:t>
      </w:r>
      <w:r w:rsidRPr="00CD5D5C">
        <w:rPr>
          <w:b/>
          <w:bCs/>
        </w:rPr>
        <w:noBreakHyphen/>
        <w:t>and</w:t>
      </w:r>
      <w:r w:rsidRPr="00CD5D5C">
        <w:rPr>
          <w:b/>
          <w:bCs/>
        </w:rPr>
        <w:noBreakHyphen/>
        <w:t>Good</w:t>
      </w:r>
      <w:r w:rsidRPr="00CD5D5C">
        <w:rPr>
          <w:b/>
          <w:bCs/>
        </w:rPr>
        <w:noBreakHyphen/>
        <w:t>Conscience.</w:t>
      </w:r>
      <w:r w:rsidRPr="00CD5D5C">
        <w:t xml:space="preserve"> Even if the Board classifies the separation as a quit, R994</w:t>
      </w:r>
      <w:r w:rsidRPr="00CD5D5C">
        <w:noBreakHyphen/>
        <w:t>405</w:t>
      </w:r>
      <w:r w:rsidRPr="00CD5D5C">
        <w:noBreakHyphen/>
        <w:t>103 mandates an equity analysis. My diligent job search and prompt claims filings satisfy it.</w:t>
      </w:r>
    </w:p>
    <w:p w14:paraId="6385792A" w14:textId="77777777" w:rsidR="00CD5D5C" w:rsidRPr="00CD5D5C" w:rsidRDefault="00CD5D5C" w:rsidP="00CD5D5C">
      <w:pPr>
        <w:numPr>
          <w:ilvl w:val="0"/>
          <w:numId w:val="2"/>
        </w:numPr>
      </w:pPr>
      <w:r w:rsidRPr="00CD5D5C">
        <w:rPr>
          <w:b/>
          <w:bCs/>
        </w:rPr>
        <w:t>Illicit Drug</w:t>
      </w:r>
      <w:r w:rsidRPr="00CD5D5C">
        <w:rPr>
          <w:b/>
          <w:bCs/>
        </w:rPr>
        <w:noBreakHyphen/>
        <w:t>Test Demand.</w:t>
      </w:r>
      <w:r w:rsidRPr="00CD5D5C">
        <w:t xml:space="preserve"> Granite’s hallway blood</w:t>
      </w:r>
      <w:r w:rsidRPr="00CD5D5C">
        <w:noBreakHyphen/>
        <w:t>draw ultimatum violated Utah Code §</w:t>
      </w:r>
      <w:r w:rsidRPr="00CD5D5C">
        <w:rPr>
          <w:rFonts w:ascii="Times New Roman" w:hAnsi="Times New Roman" w:cs="Times New Roman"/>
        </w:rPr>
        <w:t> </w:t>
      </w:r>
      <w:r w:rsidRPr="00CD5D5C">
        <w:t>34</w:t>
      </w:r>
      <w:r w:rsidRPr="00CD5D5C">
        <w:noBreakHyphen/>
        <w:t>38</w:t>
      </w:r>
      <w:r w:rsidRPr="00CD5D5C">
        <w:noBreakHyphen/>
        <w:t>6 and its own Policy</w:t>
      </w:r>
      <w:r w:rsidRPr="00CD5D5C">
        <w:rPr>
          <w:rFonts w:cs="Garamond"/>
        </w:rPr>
        <w:t> </w:t>
      </w:r>
      <w:r w:rsidRPr="00CD5D5C">
        <w:t>IX.A.1.b, rendering the workplace intolerable and excusing any purported quit.</w:t>
      </w:r>
    </w:p>
    <w:p w14:paraId="12861E4C" w14:textId="77777777" w:rsidR="00CD5D5C" w:rsidRPr="00CD5D5C" w:rsidRDefault="00CD5D5C" w:rsidP="00CD5D5C">
      <w:pPr>
        <w:rPr>
          <w:b/>
          <w:bCs/>
        </w:rPr>
      </w:pPr>
      <w:r w:rsidRPr="00CD5D5C">
        <w:rPr>
          <w:b/>
          <w:bCs/>
        </w:rPr>
        <w:t>IV. Relief Requested</w:t>
      </w:r>
    </w:p>
    <w:p w14:paraId="3E44FB83" w14:textId="77777777" w:rsidR="00CD5D5C" w:rsidRPr="00CD5D5C" w:rsidRDefault="00CD5D5C" w:rsidP="00CD5D5C">
      <w:pPr>
        <w:numPr>
          <w:ilvl w:val="0"/>
          <w:numId w:val="3"/>
        </w:numPr>
      </w:pPr>
      <w:r w:rsidRPr="00CD5D5C">
        <w:rPr>
          <w:b/>
          <w:bCs/>
        </w:rPr>
        <w:t>Reverse</w:t>
      </w:r>
      <w:r w:rsidRPr="00CD5D5C">
        <w:t xml:space="preserve"> the ALJ and allow benefits beginning the week ending 18 May</w:t>
      </w:r>
      <w:r w:rsidRPr="00CD5D5C">
        <w:rPr>
          <w:rFonts w:ascii="Times New Roman" w:hAnsi="Times New Roman" w:cs="Times New Roman"/>
        </w:rPr>
        <w:t> </w:t>
      </w:r>
      <w:r w:rsidRPr="00CD5D5C">
        <w:t>2025; or</w:t>
      </w:r>
    </w:p>
    <w:p w14:paraId="7771A960" w14:textId="77777777" w:rsidR="00CD5D5C" w:rsidRPr="00CD5D5C" w:rsidRDefault="00CD5D5C" w:rsidP="00CD5D5C">
      <w:pPr>
        <w:numPr>
          <w:ilvl w:val="0"/>
          <w:numId w:val="3"/>
        </w:numPr>
      </w:pPr>
      <w:r w:rsidRPr="00CD5D5C">
        <w:rPr>
          <w:b/>
          <w:bCs/>
        </w:rPr>
        <w:t>Remand</w:t>
      </w:r>
      <w:r w:rsidRPr="00CD5D5C">
        <w:t xml:space="preserve"> for de</w:t>
      </w:r>
      <w:r w:rsidRPr="00CD5D5C">
        <w:noBreakHyphen/>
        <w:t>novo hearing with instructions to compel full discovery of Granite’s 1–15 May 2025 e</w:t>
      </w:r>
      <w:r w:rsidRPr="00CD5D5C">
        <w:noBreakHyphen/>
        <w:t>mails and subpoena witnesses to the 5 May K</w:t>
      </w:r>
      <w:r w:rsidRPr="00CD5D5C">
        <w:noBreakHyphen/>
        <w:t>9 incident.</w:t>
      </w:r>
    </w:p>
    <w:p w14:paraId="5E7BD171" w14:textId="77777777" w:rsidR="00CD5D5C" w:rsidRPr="00CD5D5C" w:rsidRDefault="00CD5D5C" w:rsidP="00CD5D5C">
      <w:r w:rsidRPr="00CD5D5C">
        <w:t>Respectfully submitted,</w:t>
      </w:r>
    </w:p>
    <w:p w14:paraId="4F1EC8C5" w14:textId="77777777" w:rsidR="00CD5D5C" w:rsidRPr="00CD5D5C" w:rsidRDefault="00CD5D5C" w:rsidP="00CD5D5C">
      <w:r w:rsidRPr="00CD5D5C">
        <w:pict w14:anchorId="1389946F">
          <v:rect id="_x0000_i1026" style="width:0;height:1.5pt" o:hralign="center" o:hrstd="t" o:hr="t" fillcolor="#a0a0a0" stroked="f"/>
        </w:pict>
      </w:r>
    </w:p>
    <w:p w14:paraId="6B091CE8" w14:textId="77777777" w:rsidR="00CD5D5C" w:rsidRPr="00CD5D5C" w:rsidRDefault="00CD5D5C" w:rsidP="00CD5D5C">
      <w:r w:rsidRPr="00CD5D5C">
        <w:rPr>
          <w:b/>
          <w:bCs/>
        </w:rPr>
        <w:t>Peter Golub</w:t>
      </w:r>
      <w:r w:rsidRPr="00CD5D5C">
        <w:t>, Appellant</w:t>
      </w:r>
      <w:r w:rsidRPr="00CD5D5C">
        <w:noBreakHyphen/>
        <w:t>Claimant</w:t>
      </w:r>
    </w:p>
    <w:p w14:paraId="57A6ED56" w14:textId="77777777" w:rsidR="00CD5D5C" w:rsidRPr="00CD5D5C" w:rsidRDefault="00CD5D5C" w:rsidP="00CD5D5C">
      <w:r w:rsidRPr="00CD5D5C">
        <w:rPr>
          <w:b/>
          <w:bCs/>
        </w:rPr>
        <w:t>Attachments</w:t>
      </w:r>
      <w:r w:rsidRPr="00CD5D5C">
        <w:br/>
        <w:t>A. Certified July 8</w:t>
      </w:r>
      <w:r w:rsidRPr="00CD5D5C">
        <w:rPr>
          <w:rFonts w:ascii="Times New Roman" w:hAnsi="Times New Roman" w:cs="Times New Roman"/>
        </w:rPr>
        <w:t> </w:t>
      </w:r>
      <w:r w:rsidRPr="00CD5D5C">
        <w:t>2025 Hearing Transcript (excerpts highlighted)</w:t>
      </w:r>
      <w:r w:rsidRPr="00CD5D5C">
        <w:br/>
        <w:t>B. Screenshot</w:t>
      </w:r>
      <w:r w:rsidRPr="00CD5D5C">
        <w:rPr>
          <w:rFonts w:cs="Garamond"/>
        </w:rPr>
        <w:t>—</w:t>
      </w:r>
      <w:r w:rsidRPr="00CD5D5C">
        <w:t xml:space="preserve">Frontline </w:t>
      </w:r>
      <w:r w:rsidRPr="00CD5D5C">
        <w:rPr>
          <w:rFonts w:cs="Garamond"/>
        </w:rPr>
        <w:t>“</w:t>
      </w:r>
      <w:r w:rsidRPr="00CD5D5C">
        <w:t>Credentials Disabled</w:t>
      </w:r>
      <w:r w:rsidRPr="00CD5D5C">
        <w:rPr>
          <w:rFonts w:cs="Garamond"/>
        </w:rPr>
        <w:t>”</w:t>
      </w:r>
      <w:r w:rsidRPr="00CD5D5C">
        <w:t xml:space="preserve"> (5</w:t>
      </w:r>
      <w:r w:rsidRPr="00CD5D5C">
        <w:rPr>
          <w:rFonts w:cs="Garamond"/>
        </w:rPr>
        <w:t> </w:t>
      </w:r>
      <w:r w:rsidRPr="00CD5D5C">
        <w:t>May</w:t>
      </w:r>
      <w:r w:rsidRPr="00CD5D5C">
        <w:rPr>
          <w:rFonts w:cs="Garamond"/>
        </w:rPr>
        <w:t> </w:t>
      </w:r>
      <w:r w:rsidRPr="00CD5D5C">
        <w:t>2025)</w:t>
      </w:r>
      <w:r w:rsidRPr="00CD5D5C">
        <w:br/>
        <w:t>C. Granite Deactivation E</w:t>
      </w:r>
      <w:r w:rsidRPr="00CD5D5C">
        <w:noBreakHyphen/>
        <w:t>mail (10</w:t>
      </w:r>
      <w:r w:rsidRPr="00CD5D5C">
        <w:rPr>
          <w:rFonts w:cs="Garamond"/>
        </w:rPr>
        <w:t> </w:t>
      </w:r>
      <w:r w:rsidRPr="00CD5D5C">
        <w:t>May</w:t>
      </w:r>
      <w:r w:rsidRPr="00CD5D5C">
        <w:rPr>
          <w:rFonts w:cs="Garamond"/>
        </w:rPr>
        <w:t> </w:t>
      </w:r>
      <w:r w:rsidRPr="00CD5D5C">
        <w:t>2025)</w:t>
      </w:r>
    </w:p>
    <w:p w14:paraId="61C926BA" w14:textId="77777777" w:rsidR="002C4B8B" w:rsidRDefault="002C4B8B"/>
    <w:p w14:paraId="47366D38" w14:textId="77777777" w:rsidR="00DB5F20" w:rsidRDefault="00DB5F20"/>
    <w:p w14:paraId="62B31C85" w14:textId="77777777" w:rsidR="00DB5F20" w:rsidRPr="005838CF" w:rsidRDefault="00DB5F20" w:rsidP="00DB5F20">
      <w:r w:rsidRPr="005838CF">
        <w:rPr>
          <w:b/>
          <w:bCs/>
        </w:rPr>
        <w:t>1. Your account was locked on May 5; no discharge decision had been made yet:</w:t>
      </w:r>
    </w:p>
    <w:p w14:paraId="0C5A174D" w14:textId="77777777" w:rsidR="00DB5F20" w:rsidRPr="005838CF" w:rsidRDefault="00DB5F20" w:rsidP="00DB5F20">
      <w:pPr>
        <w:numPr>
          <w:ilvl w:val="0"/>
          <w:numId w:val="4"/>
        </w:numPr>
      </w:pPr>
      <w:r w:rsidRPr="005838CF">
        <w:t>Page 16, Lines 17-26</w:t>
      </w:r>
      <w:r w:rsidRPr="005838CF">
        <w:br/>
        <w:t>Bentley confirms explicitly your account was locked pending investigation; no decision to discharge had been made at that time.</w:t>
      </w:r>
    </w:p>
    <w:p w14:paraId="773CAE8D" w14:textId="77777777" w:rsidR="00DB5F20" w:rsidRPr="005838CF" w:rsidRDefault="00DB5F20" w:rsidP="00DB5F20">
      <w:r w:rsidRPr="005838CF">
        <w:rPr>
          <w:b/>
          <w:bCs/>
        </w:rPr>
        <w:t>2. Bentley admits he does not remember exactly what you said (about resignation):</w:t>
      </w:r>
    </w:p>
    <w:p w14:paraId="6E013F4C" w14:textId="77777777" w:rsidR="00DB5F20" w:rsidRPr="005838CF" w:rsidRDefault="00DB5F20" w:rsidP="00DB5F20">
      <w:pPr>
        <w:numPr>
          <w:ilvl w:val="0"/>
          <w:numId w:val="5"/>
        </w:numPr>
      </w:pPr>
      <w:r w:rsidRPr="005838CF">
        <w:t>Page 19, Lines 4-10</w:t>
      </w:r>
      <w:r w:rsidRPr="005838CF">
        <w:br/>
        <w:t>"I don't, to be fair, with you the exact wording."</w:t>
      </w:r>
    </w:p>
    <w:p w14:paraId="40E62BFD" w14:textId="77777777" w:rsidR="00DB5F20" w:rsidRPr="005838CF" w:rsidRDefault="00DB5F20" w:rsidP="00DB5F20">
      <w:pPr>
        <w:numPr>
          <w:ilvl w:val="0"/>
          <w:numId w:val="5"/>
        </w:numPr>
      </w:pPr>
      <w:r w:rsidRPr="005838CF">
        <w:t>Page 20, Lines 7-11 (ALJ confirms explicitly)</w:t>
      </w:r>
      <w:r w:rsidRPr="005838CF">
        <w:br/>
        <w:t>"Right, but he's already said he doesn't remember exactly what you said."</w:t>
      </w:r>
    </w:p>
    <w:p w14:paraId="5932599B" w14:textId="77777777" w:rsidR="00DB5F20" w:rsidRPr="005838CF" w:rsidRDefault="00DB5F20" w:rsidP="00DB5F20">
      <w:r w:rsidRPr="005838CF">
        <w:rPr>
          <w:b/>
          <w:bCs/>
        </w:rPr>
        <w:t>3. Employer can't verify whether the email notifying deactivation was sent on May 5:</w:t>
      </w:r>
    </w:p>
    <w:p w14:paraId="7BA48132" w14:textId="77777777" w:rsidR="00DB5F20" w:rsidRPr="005838CF" w:rsidRDefault="00DB5F20" w:rsidP="00DB5F20">
      <w:pPr>
        <w:numPr>
          <w:ilvl w:val="0"/>
          <w:numId w:val="6"/>
        </w:numPr>
      </w:pPr>
      <w:r w:rsidRPr="005838CF">
        <w:t>Page 17, Lines 2-6</w:t>
      </w:r>
      <w:r w:rsidRPr="005838CF">
        <w:br/>
        <w:t>Bentley admits explicitly: "I'm going to be honest with you. I don't have the date that it was sent out."</w:t>
      </w:r>
    </w:p>
    <w:p w14:paraId="70FD5EF6" w14:textId="77777777" w:rsidR="00DB5F20" w:rsidRPr="005838CF" w:rsidRDefault="00DB5F20" w:rsidP="00DB5F20">
      <w:r w:rsidRPr="005838CF">
        <w:rPr>
          <w:b/>
          <w:bCs/>
        </w:rPr>
        <w:t>4. Exclusion of Your Exhibits (Procedural Fairness Issue):</w:t>
      </w:r>
    </w:p>
    <w:p w14:paraId="4330F0B0" w14:textId="77777777" w:rsidR="00DB5F20" w:rsidRPr="005838CF" w:rsidRDefault="00DB5F20" w:rsidP="00DB5F20">
      <w:pPr>
        <w:numPr>
          <w:ilvl w:val="0"/>
          <w:numId w:val="7"/>
        </w:numPr>
      </w:pPr>
      <w:r w:rsidRPr="005838CF">
        <w:t>Page 6, Lines 3-8</w:t>
      </w:r>
      <w:r w:rsidRPr="005838CF">
        <w:br/>
        <w:t>Judge explicitly states your exhibits weren’t admitted due to technicality.</w:t>
      </w:r>
    </w:p>
    <w:p w14:paraId="478E6A60" w14:textId="77777777" w:rsidR="00DB5F20" w:rsidRPr="005838CF" w:rsidRDefault="00DB5F20" w:rsidP="00DB5F20">
      <w:r w:rsidRPr="005838CF">
        <w:rPr>
          <w:b/>
          <w:bCs/>
        </w:rPr>
        <w:t>5. Confusion Over Employment Status (Your Testimony):</w:t>
      </w:r>
    </w:p>
    <w:p w14:paraId="3D93C7EE" w14:textId="77777777" w:rsidR="00DB5F20" w:rsidRDefault="00DB5F20" w:rsidP="00DB5F20">
      <w:pPr>
        <w:numPr>
          <w:ilvl w:val="0"/>
          <w:numId w:val="8"/>
        </w:numPr>
      </w:pPr>
      <w:r w:rsidRPr="005838CF">
        <w:t>Page 12, Lines 33-44; Page 13, Lines 1-18</w:t>
      </w:r>
      <w:r w:rsidRPr="005838CF">
        <w:br/>
        <w:t>Your explicit testimony explaining confusion over your employment status, showing you reasonably believed you’d been effectively discharged.</w:t>
      </w:r>
    </w:p>
    <w:p w14:paraId="6969D43E" w14:textId="77777777" w:rsidR="00DB5F20" w:rsidRPr="005838CF" w:rsidRDefault="00DB5F20" w:rsidP="00DB5F20">
      <w:r w:rsidRPr="005838CF">
        <w:rPr>
          <w:b/>
          <w:bCs/>
        </w:rPr>
        <w:t>Employer's Arbitrary and Evasive Approach to Probation:</w:t>
      </w:r>
    </w:p>
    <w:p w14:paraId="1C00461D" w14:textId="77777777" w:rsidR="00DB5F20" w:rsidRPr="005838CF" w:rsidRDefault="00DB5F20" w:rsidP="00DB5F20">
      <w:pPr>
        <w:numPr>
          <w:ilvl w:val="0"/>
          <w:numId w:val="9"/>
        </w:numPr>
      </w:pPr>
      <w:r w:rsidRPr="005838CF">
        <w:t>Page 16, Lines 31-34</w:t>
      </w:r>
    </w:p>
    <w:p w14:paraId="518E761D" w14:textId="77777777" w:rsidR="00DB5F20" w:rsidRPr="005838CF" w:rsidRDefault="00DB5F20" w:rsidP="00DB5F20">
      <w:r w:rsidRPr="005838CF">
        <w:t>"With our hourly employees or our substitutes, we don't necessarily consider probation. It's just depending on the concerns, the level that they rise to or how many we've had, we'll just say we want to, I guess it would be an informal probation, but not necessarily something that's formal, no."</w:t>
      </w:r>
    </w:p>
    <w:p w14:paraId="61561D7C" w14:textId="77777777" w:rsidR="00DB5F20" w:rsidRPr="005838CF" w:rsidRDefault="00DB5F20" w:rsidP="00DB5F20">
      <w:r w:rsidRPr="005838CF">
        <w:rPr>
          <w:b/>
          <w:bCs/>
        </w:rPr>
        <w:t>Your Clear Timeline Testimony (Demonstrating Good Faith Effort):</w:t>
      </w:r>
    </w:p>
    <w:p w14:paraId="3FB60DEA" w14:textId="77777777" w:rsidR="00DB5F20" w:rsidRPr="005838CF" w:rsidRDefault="00DB5F20" w:rsidP="00DB5F20">
      <w:pPr>
        <w:numPr>
          <w:ilvl w:val="0"/>
          <w:numId w:val="10"/>
        </w:numPr>
      </w:pPr>
      <w:r w:rsidRPr="005838CF">
        <w:lastRenderedPageBreak/>
        <w:t>Page 20, Lines 24-34</w:t>
      </w:r>
      <w:r w:rsidRPr="005838CF">
        <w:br/>
        <w:t>You clearly outline the timeline from May 5 to July 8, reflecting persistent attempts to clarify employment status.</w:t>
      </w:r>
    </w:p>
    <w:p w14:paraId="4640AB1D" w14:textId="77777777" w:rsidR="00DB5F20" w:rsidRPr="005838CF" w:rsidRDefault="00DB5F20" w:rsidP="00DB5F20">
      <w:r w:rsidRPr="005838CF">
        <w:rPr>
          <w:b/>
          <w:bCs/>
        </w:rPr>
        <w:t>Your Final Statement (Clearly Articulating Legal Position):</w:t>
      </w:r>
    </w:p>
    <w:p w14:paraId="39F160F6" w14:textId="77777777" w:rsidR="00DB5F20" w:rsidRPr="005838CF" w:rsidRDefault="00DB5F20" w:rsidP="00DB5F20">
      <w:pPr>
        <w:numPr>
          <w:ilvl w:val="0"/>
          <w:numId w:val="11"/>
        </w:numPr>
      </w:pPr>
      <w:r w:rsidRPr="005838CF">
        <w:t>Page 21, Lines 21-31</w:t>
      </w:r>
      <w:r w:rsidRPr="005838CF">
        <w:br/>
        <w:t>Clearly summarizing your argument, referencing Clearfield City precedent regarding unilateral lockout as discharge, and emphasizing equity/good conscience.</w:t>
      </w:r>
    </w:p>
    <w:p w14:paraId="7C2186A5" w14:textId="77777777" w:rsidR="00DB5F20" w:rsidRPr="005838CF" w:rsidRDefault="00DB5F20" w:rsidP="00DB5F20"/>
    <w:p w14:paraId="2D375A82" w14:textId="77777777" w:rsidR="00DB5F20" w:rsidRPr="005838CF" w:rsidRDefault="00DB5F20" w:rsidP="00DB5F20"/>
    <w:p w14:paraId="034E0219" w14:textId="77777777" w:rsidR="00DB5F20" w:rsidRDefault="00DB5F20"/>
    <w:sectPr w:rsidR="00DB5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7D55"/>
    <w:multiLevelType w:val="multilevel"/>
    <w:tmpl w:val="CD28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9E1"/>
    <w:multiLevelType w:val="multilevel"/>
    <w:tmpl w:val="47506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F2DA0"/>
    <w:multiLevelType w:val="multilevel"/>
    <w:tmpl w:val="1E34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14639"/>
    <w:multiLevelType w:val="multilevel"/>
    <w:tmpl w:val="53F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B24C2"/>
    <w:multiLevelType w:val="multilevel"/>
    <w:tmpl w:val="C31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F4872"/>
    <w:multiLevelType w:val="multilevel"/>
    <w:tmpl w:val="289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6724D"/>
    <w:multiLevelType w:val="multilevel"/>
    <w:tmpl w:val="9DF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A036C"/>
    <w:multiLevelType w:val="multilevel"/>
    <w:tmpl w:val="D2E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2187C"/>
    <w:multiLevelType w:val="multilevel"/>
    <w:tmpl w:val="EAD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675CA"/>
    <w:multiLevelType w:val="multilevel"/>
    <w:tmpl w:val="1E34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A1D1C"/>
    <w:multiLevelType w:val="multilevel"/>
    <w:tmpl w:val="F36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103127">
    <w:abstractNumId w:val="1"/>
  </w:num>
  <w:num w:numId="2" w16cid:durableId="188498247">
    <w:abstractNumId w:val="9"/>
  </w:num>
  <w:num w:numId="3" w16cid:durableId="2053768243">
    <w:abstractNumId w:val="7"/>
  </w:num>
  <w:num w:numId="4" w16cid:durableId="1394620108">
    <w:abstractNumId w:val="5"/>
  </w:num>
  <w:num w:numId="5" w16cid:durableId="1219825779">
    <w:abstractNumId w:val="10"/>
  </w:num>
  <w:num w:numId="6" w16cid:durableId="1428967206">
    <w:abstractNumId w:val="2"/>
  </w:num>
  <w:num w:numId="7" w16cid:durableId="1777289458">
    <w:abstractNumId w:val="3"/>
  </w:num>
  <w:num w:numId="8" w16cid:durableId="2081753918">
    <w:abstractNumId w:val="4"/>
  </w:num>
  <w:num w:numId="9" w16cid:durableId="241843560">
    <w:abstractNumId w:val="8"/>
  </w:num>
  <w:num w:numId="10" w16cid:durableId="1249464357">
    <w:abstractNumId w:val="0"/>
  </w:num>
  <w:num w:numId="11" w16cid:durableId="1349520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C"/>
    <w:rsid w:val="00290199"/>
    <w:rsid w:val="002C4B8B"/>
    <w:rsid w:val="00A20A5C"/>
    <w:rsid w:val="00CD5D5C"/>
    <w:rsid w:val="00DA5177"/>
    <w:rsid w:val="00DB5F20"/>
    <w:rsid w:val="00E7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76BC"/>
  <w15:chartTrackingRefBased/>
  <w15:docId w15:val="{76185DE5-86B2-4D77-862F-49E043F8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D5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D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D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5D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5D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5D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5D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5D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D5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D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5D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5D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5D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5D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5D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5D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5D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D5C"/>
    <w:rPr>
      <w:i/>
      <w:iCs/>
      <w:color w:val="404040" w:themeColor="text1" w:themeTint="BF"/>
    </w:rPr>
  </w:style>
  <w:style w:type="paragraph" w:styleId="ListParagraph">
    <w:name w:val="List Paragraph"/>
    <w:basedOn w:val="Normal"/>
    <w:uiPriority w:val="34"/>
    <w:qFormat/>
    <w:rsid w:val="00CD5D5C"/>
    <w:pPr>
      <w:ind w:left="720"/>
      <w:contextualSpacing/>
    </w:pPr>
  </w:style>
  <w:style w:type="character" w:styleId="IntenseEmphasis">
    <w:name w:val="Intense Emphasis"/>
    <w:basedOn w:val="DefaultParagraphFont"/>
    <w:uiPriority w:val="21"/>
    <w:qFormat/>
    <w:rsid w:val="00CD5D5C"/>
    <w:rPr>
      <w:i/>
      <w:iCs/>
      <w:color w:val="2F5496" w:themeColor="accent1" w:themeShade="BF"/>
    </w:rPr>
  </w:style>
  <w:style w:type="paragraph" w:styleId="IntenseQuote">
    <w:name w:val="Intense Quote"/>
    <w:basedOn w:val="Normal"/>
    <w:next w:val="Normal"/>
    <w:link w:val="IntenseQuoteChar"/>
    <w:uiPriority w:val="30"/>
    <w:qFormat/>
    <w:rsid w:val="00CD5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D5C"/>
    <w:rPr>
      <w:i/>
      <w:iCs/>
      <w:color w:val="2F5496" w:themeColor="accent1" w:themeShade="BF"/>
    </w:rPr>
  </w:style>
  <w:style w:type="character" w:styleId="IntenseReference">
    <w:name w:val="Intense Reference"/>
    <w:basedOn w:val="DefaultParagraphFont"/>
    <w:uiPriority w:val="32"/>
    <w:qFormat/>
    <w:rsid w:val="00CD5D5C"/>
    <w:rPr>
      <w:b/>
      <w:bCs/>
      <w:smallCaps/>
      <w:color w:val="2F5496" w:themeColor="accent1" w:themeShade="BF"/>
      <w:spacing w:val="5"/>
    </w:rPr>
  </w:style>
  <w:style w:type="character" w:styleId="Hyperlink">
    <w:name w:val="Hyperlink"/>
    <w:basedOn w:val="DefaultParagraphFont"/>
    <w:uiPriority w:val="99"/>
    <w:unhideWhenUsed/>
    <w:rsid w:val="00CD5D5C"/>
    <w:rPr>
      <w:color w:val="0563C1" w:themeColor="hyperlink"/>
      <w:u w:val="single"/>
    </w:rPr>
  </w:style>
  <w:style w:type="character" w:styleId="UnresolvedMention">
    <w:name w:val="Unresolved Mention"/>
    <w:basedOn w:val="DefaultParagraphFont"/>
    <w:uiPriority w:val="99"/>
    <w:semiHidden/>
    <w:unhideWhenUsed/>
    <w:rsid w:val="00CD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28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2025-07-23T17:56:00Z</dcterms:created>
  <dcterms:modified xsi:type="dcterms:W3CDTF">2025-07-27T08:01:00Z</dcterms:modified>
</cp:coreProperties>
</file>