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FE30" w14:textId="304708C5" w:rsidR="0007557E" w:rsidRPr="0007557E" w:rsidRDefault="00000000" w:rsidP="0007557E">
      <w:pPr>
        <w:pStyle w:val="FirstParagraph"/>
        <w:spacing w:before="0" w:after="0"/>
        <w:rPr>
          <w:rFonts w:ascii="Garamond" w:hAnsi="Garamond"/>
        </w:rPr>
      </w:pPr>
      <w:r w:rsidRPr="004371EB">
        <w:rPr>
          <w:rFonts w:ascii="Garamond" w:hAnsi="Garamond"/>
        </w:rPr>
        <w:t>Peter Golub • SSN xxx</w:t>
      </w:r>
      <w:r w:rsidRPr="004371EB">
        <w:rPr>
          <w:rFonts w:ascii="Cambria Math" w:hAnsi="Cambria Math" w:cs="Cambria Math"/>
        </w:rPr>
        <w:t>‑</w:t>
      </w:r>
      <w:r w:rsidRPr="004371EB">
        <w:rPr>
          <w:rFonts w:ascii="Garamond" w:hAnsi="Garamond"/>
        </w:rPr>
        <w:t>x</w:t>
      </w:r>
      <w:r w:rsidR="0007557E">
        <w:rPr>
          <w:rFonts w:ascii="Garamond" w:hAnsi="Garamond"/>
        </w:rPr>
        <w:t>1</w:t>
      </w:r>
      <w:r w:rsidRPr="004371EB">
        <w:rPr>
          <w:rFonts w:ascii="Cambria Math" w:hAnsi="Cambria Math" w:cs="Cambria Math"/>
        </w:rPr>
        <w:t>‑</w:t>
      </w:r>
      <w:r w:rsidRPr="004371EB">
        <w:rPr>
          <w:rFonts w:ascii="Garamond" w:hAnsi="Garamond"/>
        </w:rPr>
        <w:t>2127</w:t>
      </w:r>
      <w:r w:rsidRPr="004371EB">
        <w:rPr>
          <w:rFonts w:ascii="Garamond" w:hAnsi="Garamond"/>
        </w:rPr>
        <w:br/>
        <w:t>3921</w:t>
      </w:r>
      <w:r w:rsidRPr="004371EB">
        <w:rPr>
          <w:rFonts w:ascii="Garamond" w:hAnsi="Garamond" w:cs="Garamond"/>
        </w:rPr>
        <w:t> </w:t>
      </w:r>
      <w:r w:rsidRPr="004371EB">
        <w:rPr>
          <w:rFonts w:ascii="Garamond" w:hAnsi="Garamond"/>
        </w:rPr>
        <w:t>S</w:t>
      </w:r>
      <w:r w:rsidRPr="004371EB">
        <w:rPr>
          <w:rFonts w:ascii="Garamond" w:hAnsi="Garamond" w:cs="Garamond"/>
        </w:rPr>
        <w:t> </w:t>
      </w:r>
      <w:r w:rsidRPr="004371EB">
        <w:rPr>
          <w:rFonts w:ascii="Garamond" w:hAnsi="Garamond"/>
        </w:rPr>
        <w:t>2000</w:t>
      </w:r>
      <w:r w:rsidRPr="004371EB">
        <w:rPr>
          <w:rFonts w:ascii="Garamond" w:hAnsi="Garamond" w:cs="Garamond"/>
        </w:rPr>
        <w:t> </w:t>
      </w:r>
      <w:r w:rsidRPr="004371EB">
        <w:rPr>
          <w:rFonts w:ascii="Garamond" w:hAnsi="Garamond"/>
        </w:rPr>
        <w:t>E, Holladay</w:t>
      </w:r>
      <w:r w:rsidRPr="004371EB">
        <w:rPr>
          <w:rFonts w:ascii="Garamond" w:hAnsi="Garamond" w:cs="Garamond"/>
        </w:rPr>
        <w:t> </w:t>
      </w:r>
      <w:r w:rsidRPr="004371EB">
        <w:rPr>
          <w:rFonts w:ascii="Garamond" w:hAnsi="Garamond"/>
        </w:rPr>
        <w:t>UT</w:t>
      </w:r>
      <w:r w:rsidRPr="004371EB">
        <w:rPr>
          <w:rFonts w:ascii="Garamond" w:hAnsi="Garamond" w:cs="Garamond"/>
        </w:rPr>
        <w:t> </w:t>
      </w:r>
      <w:r w:rsidRPr="004371EB">
        <w:rPr>
          <w:rFonts w:ascii="Garamond" w:hAnsi="Garamond"/>
        </w:rPr>
        <w:t>84124</w:t>
      </w:r>
      <w:r w:rsidRPr="004371EB">
        <w:rPr>
          <w:rFonts w:ascii="Garamond" w:hAnsi="Garamond"/>
        </w:rPr>
        <w:br/>
      </w:r>
      <w:hyperlink r:id="rId5">
        <w:r w:rsidRPr="004371EB">
          <w:rPr>
            <w:rStyle w:val="Hyperlink"/>
            <w:rFonts w:ascii="Garamond" w:hAnsi="Garamond"/>
            <w:color w:val="auto"/>
          </w:rPr>
          <w:t>peter.golub@gmail.com</w:t>
        </w:r>
      </w:hyperlink>
      <w:r w:rsidRPr="004371EB">
        <w:rPr>
          <w:rFonts w:ascii="Garamond" w:hAnsi="Garamond"/>
        </w:rPr>
        <w:t xml:space="preserve"> • (801)</w:t>
      </w:r>
      <w:r w:rsidRPr="004371EB">
        <w:rPr>
          <w:rFonts w:ascii="Times New Roman" w:hAnsi="Times New Roman" w:cs="Times New Roman"/>
        </w:rPr>
        <w:t> </w:t>
      </w:r>
      <w:r w:rsidRPr="004371EB">
        <w:rPr>
          <w:rFonts w:ascii="Garamond" w:hAnsi="Garamond"/>
        </w:rPr>
        <w:t>618</w:t>
      </w:r>
      <w:r w:rsidRPr="004371EB">
        <w:rPr>
          <w:rFonts w:ascii="Cambria Math" w:hAnsi="Cambria Math" w:cs="Cambria Math"/>
        </w:rPr>
        <w:t>‑</w:t>
      </w:r>
      <w:r w:rsidRPr="004371EB">
        <w:rPr>
          <w:rFonts w:ascii="Garamond" w:hAnsi="Garamond"/>
        </w:rPr>
        <w:t>7609</w:t>
      </w:r>
    </w:p>
    <w:p w14:paraId="676D0F8C" w14:textId="69F8BD85" w:rsidR="0007557E" w:rsidRDefault="0007557E" w:rsidP="0007557E">
      <w:pPr>
        <w:pStyle w:val="BodyText"/>
        <w:spacing w:before="0" w:after="0"/>
        <w:rPr>
          <w:rFonts w:ascii="Garamond" w:hAnsi="Garamond"/>
          <w:b/>
          <w:bCs/>
        </w:rPr>
      </w:pPr>
    </w:p>
    <w:p w14:paraId="4A12C2EA" w14:textId="5DFA64C5" w:rsidR="00011206" w:rsidRPr="004371EB" w:rsidRDefault="0007557E" w:rsidP="0007557E">
      <w:pPr>
        <w:pStyle w:val="BodyText"/>
        <w:spacing w:before="0" w:after="0"/>
        <w:rPr>
          <w:rFonts w:ascii="Garamond" w:hAnsi="Garamond"/>
        </w:rPr>
      </w:pPr>
      <w:r>
        <w:rPr>
          <w:rFonts w:ascii="Garamond" w:hAnsi="Garamond"/>
          <w:b/>
          <w:bCs/>
        </w:rPr>
        <w:t>J</w:t>
      </w:r>
      <w:r w:rsidR="00000000" w:rsidRPr="004371EB">
        <w:rPr>
          <w:rFonts w:ascii="Garamond" w:hAnsi="Garamond"/>
          <w:b/>
          <w:bCs/>
        </w:rPr>
        <w:t>uly </w:t>
      </w:r>
      <w:r w:rsidR="0090519C" w:rsidRPr="004371EB">
        <w:rPr>
          <w:rFonts w:ascii="Garamond" w:hAnsi="Garamond"/>
          <w:b/>
          <w:bCs/>
        </w:rPr>
        <w:t>2</w:t>
      </w:r>
      <w:r w:rsidR="001E15A0" w:rsidRPr="004371EB">
        <w:rPr>
          <w:rFonts w:ascii="Garamond" w:hAnsi="Garamond"/>
          <w:b/>
          <w:bCs/>
        </w:rPr>
        <w:t>2</w:t>
      </w:r>
      <w:r w:rsidR="0090519C" w:rsidRPr="004371EB">
        <w:rPr>
          <w:rFonts w:ascii="Garamond" w:hAnsi="Garamond"/>
          <w:b/>
          <w:bCs/>
        </w:rPr>
        <w:t xml:space="preserve">, </w:t>
      </w:r>
      <w:r w:rsidR="00000000" w:rsidRPr="004371EB">
        <w:rPr>
          <w:rFonts w:ascii="Garamond" w:hAnsi="Garamond"/>
          <w:b/>
          <w:bCs/>
        </w:rPr>
        <w:t>2025</w:t>
      </w:r>
    </w:p>
    <w:p w14:paraId="4CCC6E23" w14:textId="77777777" w:rsidR="00011206" w:rsidRPr="004371EB" w:rsidRDefault="00000000" w:rsidP="0007557E">
      <w:pPr>
        <w:pStyle w:val="BodyText"/>
        <w:spacing w:before="0" w:after="0"/>
        <w:rPr>
          <w:rFonts w:ascii="Garamond" w:hAnsi="Garamond"/>
        </w:rPr>
      </w:pPr>
      <w:r w:rsidRPr="004371EB">
        <w:rPr>
          <w:rFonts w:ascii="Garamond" w:hAnsi="Garamond"/>
          <w:b/>
          <w:bCs/>
        </w:rPr>
        <w:t>Workforce Appeals Board</w:t>
      </w:r>
      <w:r w:rsidRPr="004371EB">
        <w:rPr>
          <w:rFonts w:ascii="Garamond" w:hAnsi="Garamond"/>
        </w:rPr>
        <w:br/>
        <w:t>P.O. Box 45244</w:t>
      </w:r>
      <w:r w:rsidRPr="004371EB">
        <w:rPr>
          <w:rFonts w:ascii="Garamond" w:hAnsi="Garamond"/>
        </w:rPr>
        <w:br/>
        <w:t>Salt Lake City, Utah 84145</w:t>
      </w:r>
      <w:r w:rsidRPr="004371EB">
        <w:rPr>
          <w:rFonts w:ascii="Cambria Math" w:hAnsi="Cambria Math" w:cs="Cambria Math"/>
        </w:rPr>
        <w:t>‑</w:t>
      </w:r>
      <w:r w:rsidRPr="004371EB">
        <w:rPr>
          <w:rFonts w:ascii="Garamond" w:hAnsi="Garamond"/>
        </w:rPr>
        <w:t>0244</w:t>
      </w:r>
    </w:p>
    <w:p w14:paraId="6DC63AB1" w14:textId="046A4186" w:rsidR="00011206" w:rsidRPr="004371EB" w:rsidRDefault="00000000" w:rsidP="0007557E">
      <w:pPr>
        <w:pStyle w:val="BodyText"/>
        <w:spacing w:before="0" w:after="0"/>
        <w:rPr>
          <w:rFonts w:ascii="Garamond" w:hAnsi="Garamond"/>
        </w:rPr>
      </w:pPr>
      <w:r w:rsidRPr="004371EB">
        <w:rPr>
          <w:rFonts w:ascii="Garamond" w:hAnsi="Garamond"/>
          <w:b/>
          <w:bCs/>
        </w:rPr>
        <w:t>Re:</w:t>
      </w:r>
      <w:r w:rsidRPr="004371EB">
        <w:rPr>
          <w:rFonts w:ascii="Garamond" w:hAnsi="Garamond"/>
        </w:rPr>
        <w:t xml:space="preserve"> Appeal of ALJ Decision — Case Nos. 25</w:t>
      </w:r>
      <w:r w:rsidRPr="004371EB">
        <w:rPr>
          <w:rFonts w:ascii="Cambria Math" w:hAnsi="Cambria Math" w:cs="Cambria Math"/>
        </w:rPr>
        <w:t>‑</w:t>
      </w:r>
      <w:r w:rsidRPr="004371EB">
        <w:rPr>
          <w:rFonts w:ascii="Garamond" w:hAnsi="Garamond"/>
        </w:rPr>
        <w:t>B</w:t>
      </w:r>
      <w:r w:rsidRPr="004371EB">
        <w:rPr>
          <w:rFonts w:ascii="Cambria Math" w:hAnsi="Cambria Math" w:cs="Cambria Math"/>
        </w:rPr>
        <w:t>‑</w:t>
      </w:r>
      <w:r w:rsidRPr="004371EB">
        <w:rPr>
          <w:rFonts w:ascii="Garamond" w:hAnsi="Garamond"/>
        </w:rPr>
        <w:t>00327 / 25</w:t>
      </w:r>
      <w:r w:rsidRPr="004371EB">
        <w:rPr>
          <w:rFonts w:ascii="Cambria Math" w:hAnsi="Cambria Math" w:cs="Cambria Math"/>
        </w:rPr>
        <w:t>‑</w:t>
      </w:r>
      <w:r w:rsidRPr="004371EB">
        <w:rPr>
          <w:rFonts w:ascii="Garamond" w:hAnsi="Garamond"/>
        </w:rPr>
        <w:t>A</w:t>
      </w:r>
      <w:r w:rsidRPr="004371EB">
        <w:rPr>
          <w:rFonts w:ascii="Cambria Math" w:hAnsi="Cambria Math" w:cs="Cambria Math"/>
        </w:rPr>
        <w:t>‑</w:t>
      </w:r>
      <w:r w:rsidRPr="004371EB">
        <w:rPr>
          <w:rFonts w:ascii="Garamond" w:hAnsi="Garamond"/>
        </w:rPr>
        <w:t>05051</w:t>
      </w:r>
    </w:p>
    <w:p w14:paraId="044E584A" w14:textId="77777777" w:rsidR="004D6E6C" w:rsidRPr="004371EB" w:rsidRDefault="004D6E6C" w:rsidP="004371EB">
      <w:pPr>
        <w:pStyle w:val="BodyText"/>
        <w:spacing w:before="0" w:after="0" w:line="480" w:lineRule="auto"/>
        <w:rPr>
          <w:rFonts w:ascii="Garamond" w:hAnsi="Garamond"/>
        </w:rPr>
      </w:pPr>
    </w:p>
    <w:p w14:paraId="5A9DBBF2" w14:textId="1685FAF2" w:rsidR="004D6E6C" w:rsidRPr="004371EB" w:rsidRDefault="004D6E6C" w:rsidP="004371EB">
      <w:pPr>
        <w:pStyle w:val="BodyText"/>
        <w:numPr>
          <w:ilvl w:val="0"/>
          <w:numId w:val="12"/>
        </w:numPr>
        <w:spacing w:before="0" w:after="0" w:line="480" w:lineRule="auto"/>
        <w:rPr>
          <w:rFonts w:ascii="Garamond" w:hAnsi="Garamond"/>
          <w:b/>
          <w:bCs/>
        </w:rPr>
      </w:pPr>
      <w:bookmarkStart w:id="0" w:name="iv.-relief-requested"/>
      <w:r w:rsidRPr="004371EB">
        <w:rPr>
          <w:rFonts w:ascii="Garamond" w:hAnsi="Garamond"/>
          <w:b/>
          <w:bCs/>
        </w:rPr>
        <w:t xml:space="preserve">Introduction </w:t>
      </w:r>
    </w:p>
    <w:p w14:paraId="6B583FD0" w14:textId="10E8A967" w:rsidR="004D6E6C" w:rsidRPr="004371EB" w:rsidRDefault="004D6E6C" w:rsidP="004371EB">
      <w:pPr>
        <w:pStyle w:val="FirstParagraph"/>
        <w:spacing w:before="0" w:after="0" w:line="480" w:lineRule="auto"/>
        <w:ind w:firstLine="720"/>
        <w:rPr>
          <w:rFonts w:ascii="Garamond" w:eastAsiaTheme="majorEastAsia" w:hAnsi="Garamond" w:cstheme="majorBidi"/>
        </w:rPr>
      </w:pPr>
      <w:r w:rsidRPr="004371EB">
        <w:rPr>
          <w:rFonts w:ascii="Garamond" w:eastAsiaTheme="majorEastAsia" w:hAnsi="Garamond" w:cstheme="majorBidi"/>
        </w:rPr>
        <w:t>This appeal challenges the Administrative Law Judge’s (ALJ) July 9, 2025 decision, which incorrectly found that Peter Golub voluntarily quit employment with Granite School District ("Granite"). The certified hearing transcript conclusively demonstrates that Granite initiated the separation by deactivating Mr. Golub’s credentials on May 5, 2025, before any alleged resignation occurred. Granite failed to meet its burden of proving voluntary resignation, and the ALJ explicitly acknowledged uncertainty regarding critical employer testimony. Therefore, this Board should reverse the ALJ’s decision or, at minimum, remand for a fair rehearing</w:t>
      </w:r>
      <w:r w:rsidR="0090519C" w:rsidRPr="004371EB">
        <w:rPr>
          <w:rFonts w:ascii="Garamond" w:eastAsiaTheme="majorEastAsia" w:hAnsi="Garamond" w:cstheme="majorBidi"/>
        </w:rPr>
        <w:t xml:space="preserve"> error of law.</w:t>
      </w:r>
    </w:p>
    <w:p w14:paraId="480B9FF7" w14:textId="4E110C74" w:rsidR="004D6E6C" w:rsidRPr="004371EB" w:rsidRDefault="00B966B2" w:rsidP="004371EB">
      <w:pPr>
        <w:pStyle w:val="ListParagraph"/>
        <w:numPr>
          <w:ilvl w:val="0"/>
          <w:numId w:val="12"/>
        </w:numPr>
        <w:spacing w:after="0" w:line="480" w:lineRule="auto"/>
        <w:rPr>
          <w:rStyle w:val="Strong"/>
          <w:rFonts w:ascii="Garamond" w:eastAsia="Times New Roman" w:hAnsi="Garamond" w:cs="Times New Roman"/>
          <w:b w:val="0"/>
          <w:bCs w:val="0"/>
        </w:rPr>
      </w:pPr>
      <w:r w:rsidRPr="004371EB">
        <w:rPr>
          <w:rStyle w:val="Strong"/>
          <w:rFonts w:ascii="Garamond" w:hAnsi="Garamond"/>
        </w:rPr>
        <w:t>Statement of Fact</w:t>
      </w:r>
      <w:r w:rsidR="004D6E6C" w:rsidRPr="004371EB">
        <w:rPr>
          <w:rStyle w:val="Strong"/>
          <w:rFonts w:ascii="Garamond" w:hAnsi="Garamond"/>
        </w:rPr>
        <w:t xml:space="preserve">s: </w:t>
      </w:r>
    </w:p>
    <w:p w14:paraId="1EBA610A" w14:textId="6628DD49" w:rsidR="0090519C" w:rsidRPr="004371EB" w:rsidRDefault="0090519C" w:rsidP="004371EB">
      <w:pPr>
        <w:pStyle w:val="ListParagraph"/>
        <w:numPr>
          <w:ilvl w:val="0"/>
          <w:numId w:val="13"/>
        </w:numPr>
        <w:spacing w:after="0" w:line="480" w:lineRule="auto"/>
        <w:rPr>
          <w:rFonts w:ascii="Garamond" w:hAnsi="Garamond"/>
        </w:rPr>
      </w:pPr>
      <w:r w:rsidRPr="0090519C">
        <w:rPr>
          <w:rFonts w:ascii="Garamond" w:eastAsia="Times New Roman" w:hAnsi="Garamond" w:cs="Times New Roman"/>
          <w:i/>
          <w:iCs/>
        </w:rPr>
        <w:t>Employer-Initiated Lockout</w:t>
      </w:r>
      <w:r w:rsidR="004D6E6C" w:rsidRPr="004371EB">
        <w:rPr>
          <w:rFonts w:ascii="Garamond" w:eastAsia="Times New Roman" w:hAnsi="Garamond" w:cs="Times New Roman"/>
          <w:i/>
          <w:iCs/>
        </w:rPr>
        <w:t xml:space="preserve"> (</w:t>
      </w:r>
      <w:r w:rsidRPr="0090519C">
        <w:rPr>
          <w:rFonts w:ascii="Garamond" w:eastAsia="Times New Roman" w:hAnsi="Garamond" w:cs="Times New Roman"/>
          <w:i/>
          <w:iCs/>
        </w:rPr>
        <w:t>May 5, 2025</w:t>
      </w:r>
      <w:r w:rsidR="004D6E6C" w:rsidRPr="004371EB">
        <w:rPr>
          <w:rFonts w:ascii="Garamond" w:eastAsia="Times New Roman" w:hAnsi="Garamond" w:cs="Times New Roman"/>
          <w:i/>
          <w:iCs/>
        </w:rPr>
        <w:t>)</w:t>
      </w:r>
      <w:r w:rsidR="004D6E6C" w:rsidRPr="004371EB">
        <w:rPr>
          <w:rFonts w:ascii="Garamond" w:eastAsia="Times New Roman" w:hAnsi="Garamond" w:cs="Times New Roman"/>
        </w:rPr>
        <w:t xml:space="preserve">: </w:t>
      </w:r>
      <w:r w:rsidRPr="0090519C">
        <w:rPr>
          <w:rFonts w:ascii="Garamond" w:eastAsia="Times New Roman" w:hAnsi="Garamond" w:cs="Times New Roman"/>
        </w:rPr>
        <w:t xml:space="preserve"> </w:t>
      </w:r>
      <w:r w:rsidR="004D6E6C" w:rsidRPr="004371EB">
        <w:rPr>
          <w:rFonts w:ascii="Garamond" w:hAnsi="Garamond"/>
        </w:rPr>
        <w:t>Granite unilaterally locked Mr. Golub out of his substitute-teacher employment portal ("Frontline"), thus barring him from employment opportunities (Tr. p.16, ll.17-26). Mr. Wyatt Bentley, Granite’s witness, explicitly admitted Granite had not decided to discharge Mr. Golub at that time, making the lockout unjustified (Tr. p.16, ll.24-26).</w:t>
      </w:r>
    </w:p>
    <w:p w14:paraId="6F297D98" w14:textId="01F66365" w:rsidR="0090519C" w:rsidRPr="0090519C" w:rsidRDefault="0090519C" w:rsidP="004371EB">
      <w:pPr>
        <w:pStyle w:val="NormalWeb"/>
        <w:numPr>
          <w:ilvl w:val="0"/>
          <w:numId w:val="13"/>
        </w:numPr>
        <w:spacing w:before="0" w:beforeAutospacing="0" w:after="0" w:afterAutospacing="0" w:line="480" w:lineRule="auto"/>
        <w:rPr>
          <w:rFonts w:ascii="Garamond" w:hAnsi="Garamond"/>
        </w:rPr>
      </w:pPr>
      <w:r w:rsidRPr="0090519C">
        <w:rPr>
          <w:rFonts w:ascii="Garamond" w:hAnsi="Garamond"/>
          <w:i/>
          <w:iCs/>
        </w:rPr>
        <w:t>No Timely Notice from Employer</w:t>
      </w:r>
      <w:r w:rsidRPr="0090519C">
        <w:rPr>
          <w:rFonts w:ascii="Garamond" w:hAnsi="Garamond"/>
          <w:b/>
          <w:bCs/>
        </w:rPr>
        <w:t>:</w:t>
      </w:r>
      <w:r w:rsidRPr="0090519C">
        <w:rPr>
          <w:rFonts w:ascii="Garamond" w:hAnsi="Garamond"/>
        </w:rPr>
        <w:t xml:space="preserve"> Granite failed to notify me of this action. When asked if a notification email was sent on May 5, Granite’s witness, Mr. Wyatt Bentley, testified, “I don't have the date that it was sent out. I would have to go back and look…” (Tr. p. 17, ll. 4-6). The record shows the first contact from Granite was an email on May 13, 2025, </w:t>
      </w:r>
      <w:r w:rsidRPr="0090519C">
        <w:rPr>
          <w:rFonts w:ascii="Garamond" w:hAnsi="Garamond"/>
        </w:rPr>
        <w:lastRenderedPageBreak/>
        <w:t>eight days after the lockout.</w:t>
      </w:r>
      <w:r w:rsidR="004D6E6C" w:rsidRPr="004371EB">
        <w:rPr>
          <w:rFonts w:ascii="Garamond" w:hAnsi="Garamond"/>
        </w:rPr>
        <w:t xml:space="preserve"> </w:t>
      </w:r>
      <w:r w:rsidR="004D6E6C" w:rsidRPr="004371EB">
        <w:rPr>
          <w:rFonts w:ascii="Garamond" w:hAnsi="Garamond"/>
        </w:rPr>
        <w:t>Mr. Bentley was unable to confirm whether Granite provided Mr. Golub with timely notification of the lockou</w:t>
      </w:r>
      <w:r w:rsidR="004D6E6C" w:rsidRPr="004371EB">
        <w:rPr>
          <w:rFonts w:ascii="Garamond" w:hAnsi="Garamond"/>
        </w:rPr>
        <w:t>t (</w:t>
      </w:r>
      <w:r w:rsidR="004D6E6C" w:rsidRPr="004371EB">
        <w:rPr>
          <w:rFonts w:ascii="Garamond" w:hAnsi="Garamond"/>
        </w:rPr>
        <w:t>Tr. p.17, ll.2-6). No notification was ever received; the first employer contact was eight days later (May 13).</w:t>
      </w:r>
    </w:p>
    <w:p w14:paraId="2CE39763" w14:textId="0F5DA757" w:rsidR="004D6E6C" w:rsidRPr="004371EB" w:rsidRDefault="004D6E6C" w:rsidP="004371EB">
      <w:pPr>
        <w:pStyle w:val="NormalWeb"/>
        <w:numPr>
          <w:ilvl w:val="0"/>
          <w:numId w:val="13"/>
        </w:numPr>
        <w:spacing w:before="0" w:beforeAutospacing="0" w:after="0" w:afterAutospacing="0" w:line="480" w:lineRule="auto"/>
        <w:rPr>
          <w:rFonts w:ascii="Garamond" w:hAnsi="Garamond"/>
        </w:rPr>
      </w:pPr>
      <w:r w:rsidRPr="004371EB">
        <w:rPr>
          <w:rFonts w:ascii="Garamond" w:hAnsi="Garamond"/>
          <w:i/>
          <w:iCs/>
        </w:rPr>
        <w:t>Employer’s Ambiguous Testimony Regarding Employment Status</w:t>
      </w:r>
      <w:r w:rsidR="004371EB">
        <w:rPr>
          <w:rFonts w:ascii="Garamond" w:hAnsi="Garamond"/>
        </w:rPr>
        <w:t xml:space="preserve">: </w:t>
      </w:r>
      <w:r w:rsidRPr="004371EB">
        <w:rPr>
          <w:rFonts w:ascii="Garamond" w:hAnsi="Garamond"/>
        </w:rPr>
        <w:t>When asked directly whether Mr. Golub was placed on probation or suspension, Mr. Bentley responded ambiguously:</w:t>
      </w:r>
    </w:p>
    <w:p w14:paraId="32338F3A" w14:textId="77777777" w:rsidR="004D6E6C" w:rsidRPr="004D6E6C" w:rsidRDefault="004D6E6C" w:rsidP="004371EB">
      <w:pPr>
        <w:pStyle w:val="NormalWeb"/>
        <w:spacing w:before="0" w:beforeAutospacing="0" w:after="0" w:afterAutospacing="0" w:line="480" w:lineRule="auto"/>
        <w:ind w:left="1440"/>
        <w:rPr>
          <w:rFonts w:ascii="Garamond" w:hAnsi="Garamond"/>
        </w:rPr>
      </w:pPr>
      <w:r w:rsidRPr="004D6E6C">
        <w:rPr>
          <w:rFonts w:ascii="Garamond" w:hAnsi="Garamond"/>
        </w:rPr>
        <w:t>"With our hourly employees or our substitutes, we don't necessarily consider probation... I guess it would be an informal probation, but not necessarily something that's formal, no." (Tr. p.16, ll.31-34)</w:t>
      </w:r>
    </w:p>
    <w:p w14:paraId="25C41C91" w14:textId="28B4C180" w:rsidR="0090519C" w:rsidRPr="0090519C" w:rsidRDefault="004D6E6C" w:rsidP="004371EB">
      <w:pPr>
        <w:pStyle w:val="NormalWeb"/>
        <w:spacing w:before="0" w:beforeAutospacing="0" w:after="0" w:afterAutospacing="0" w:line="480" w:lineRule="auto"/>
        <w:ind w:left="1080"/>
        <w:rPr>
          <w:rFonts w:ascii="Garamond" w:hAnsi="Garamond"/>
        </w:rPr>
      </w:pPr>
      <w:r w:rsidRPr="004D6E6C">
        <w:rPr>
          <w:rFonts w:ascii="Garamond" w:hAnsi="Garamond"/>
        </w:rPr>
        <w:t>This equivocal testimony clearly indicates procedural confusion, supporting Mr. Golub’s reasonable belief that his employment had ended involuntarily.</w:t>
      </w:r>
    </w:p>
    <w:p w14:paraId="611DB93C" w14:textId="15A66425" w:rsidR="004D6E6C" w:rsidRPr="004D6E6C" w:rsidRDefault="004D6E6C" w:rsidP="004371EB">
      <w:pPr>
        <w:pStyle w:val="NormalWeb"/>
        <w:numPr>
          <w:ilvl w:val="0"/>
          <w:numId w:val="13"/>
        </w:numPr>
        <w:spacing w:before="0" w:beforeAutospacing="0" w:after="0" w:afterAutospacing="0" w:line="480" w:lineRule="auto"/>
        <w:rPr>
          <w:rFonts w:ascii="Garamond" w:hAnsi="Garamond"/>
        </w:rPr>
      </w:pPr>
      <w:r w:rsidRPr="004371EB">
        <w:rPr>
          <w:rFonts w:ascii="Garamond" w:hAnsi="Garamond"/>
          <w:i/>
          <w:iCs/>
        </w:rPr>
        <w:t>Employer Unable to Verify Alleged Resignation</w:t>
      </w:r>
      <w:r w:rsidR="004371EB">
        <w:rPr>
          <w:rFonts w:ascii="Garamond" w:hAnsi="Garamond"/>
        </w:rPr>
        <w:t>:</w:t>
      </w:r>
      <w:r w:rsidR="0090519C" w:rsidRPr="0090519C">
        <w:rPr>
          <w:rFonts w:ascii="Garamond" w:hAnsi="Garamond"/>
        </w:rPr>
        <w:t> </w:t>
      </w:r>
      <w:r w:rsidRPr="004371EB">
        <w:rPr>
          <w:rFonts w:ascii="Garamond" w:hAnsi="Garamond"/>
        </w:rPr>
        <w:t xml:space="preserve">During his testimony, </w:t>
      </w:r>
      <w:r w:rsidRPr="004371EB">
        <w:rPr>
          <w:rFonts w:ascii="Garamond" w:hAnsi="Garamond"/>
        </w:rPr>
        <w:t>Mr. Bentley admitted he could not recall Mr. Golub’s exact words regarding the alleged resignation, testifying: "I don't remember the exact wording" (Tr. p.19, ll.4-10). The ALJ subsequently reinforced this critical uncertainty on the record:</w:t>
      </w:r>
      <w:r w:rsidRPr="004371EB">
        <w:rPr>
          <w:rFonts w:ascii="Garamond" w:hAnsi="Garamond"/>
        </w:rPr>
        <w:t xml:space="preserve"> </w:t>
      </w:r>
      <w:r w:rsidRPr="004D6E6C">
        <w:rPr>
          <w:rFonts w:ascii="Garamond" w:hAnsi="Garamond"/>
        </w:rPr>
        <w:t xml:space="preserve">"He's </w:t>
      </w:r>
      <w:r w:rsidRPr="004371EB">
        <w:rPr>
          <w:rFonts w:ascii="Garamond" w:hAnsi="Garamond"/>
        </w:rPr>
        <w:t xml:space="preserve">[Mr. Bentley] </w:t>
      </w:r>
      <w:r w:rsidRPr="004D6E6C">
        <w:rPr>
          <w:rFonts w:ascii="Garamond" w:hAnsi="Garamond"/>
        </w:rPr>
        <w:t xml:space="preserve">already said he doesn't remember exactly what you </w:t>
      </w:r>
      <w:r w:rsidRPr="004371EB">
        <w:rPr>
          <w:rFonts w:ascii="Garamond" w:hAnsi="Garamond"/>
        </w:rPr>
        <w:t xml:space="preserve">[Mr. Golub] </w:t>
      </w:r>
      <w:r w:rsidRPr="004D6E6C">
        <w:rPr>
          <w:rFonts w:ascii="Garamond" w:hAnsi="Garamond"/>
        </w:rPr>
        <w:t>said." (Tr. p.20, ll.7-11)</w:t>
      </w:r>
      <w:r w:rsidRPr="004371EB">
        <w:rPr>
          <w:rFonts w:ascii="Garamond" w:hAnsi="Garamond"/>
        </w:rPr>
        <w:t xml:space="preserve">. </w:t>
      </w:r>
      <w:r w:rsidRPr="004D6E6C">
        <w:rPr>
          <w:rFonts w:ascii="Garamond" w:hAnsi="Garamond"/>
        </w:rPr>
        <w:t>Granite thus provided no credible evidence that Mr. Golub voluntarily quit.</w:t>
      </w:r>
    </w:p>
    <w:p w14:paraId="3DCFBFE6" w14:textId="57C23C30" w:rsidR="0090519C" w:rsidRPr="004371EB" w:rsidRDefault="004371EB" w:rsidP="004371EB">
      <w:pPr>
        <w:pStyle w:val="NormalWeb"/>
        <w:numPr>
          <w:ilvl w:val="0"/>
          <w:numId w:val="13"/>
        </w:numPr>
        <w:spacing w:before="0" w:beforeAutospacing="0" w:after="0" w:afterAutospacing="0" w:line="480" w:lineRule="auto"/>
        <w:rPr>
          <w:rFonts w:ascii="Garamond" w:hAnsi="Garamond"/>
        </w:rPr>
      </w:pPr>
      <w:r w:rsidRPr="004371EB">
        <w:rPr>
          <w:rFonts w:ascii="Garamond" w:hAnsi="Garamond"/>
          <w:i/>
          <w:iCs/>
        </w:rPr>
        <w:t>Procedural Due Process</w:t>
      </w:r>
      <w:r w:rsidRPr="004371EB">
        <w:rPr>
          <w:rFonts w:ascii="Garamond" w:hAnsi="Garamond"/>
          <w:i/>
          <w:iCs/>
        </w:rPr>
        <w:t xml:space="preserve"> Violation</w:t>
      </w:r>
      <w:r w:rsidRPr="004371EB">
        <w:rPr>
          <w:rFonts w:ascii="Garamond" w:hAnsi="Garamond"/>
        </w:rPr>
        <w:t>:</w:t>
      </w:r>
      <w:r w:rsidR="0090519C" w:rsidRPr="004371EB">
        <w:rPr>
          <w:rFonts w:ascii="Garamond" w:hAnsi="Garamond"/>
        </w:rPr>
        <w:t> </w:t>
      </w:r>
      <w:r w:rsidRPr="004371EB">
        <w:rPr>
          <w:rFonts w:ascii="Garamond" w:hAnsi="Garamond"/>
        </w:rPr>
        <w:t>T</w:t>
      </w:r>
      <w:r w:rsidRPr="004371EB">
        <w:rPr>
          <w:rFonts w:ascii="Garamond" w:hAnsi="Garamond"/>
        </w:rPr>
        <w:t>he ALJ excluded key evidence timely submitted by Mr. Golub, severely prejudicing his ability to present a complete defense (Tr. p.6, ll.3-8). Meanwhile, Granite selectively utilized documents Mr. Golub had no access to, causing substantial procedural unfairness.</w:t>
      </w:r>
    </w:p>
    <w:p w14:paraId="6601A4A8" w14:textId="3C900C0E" w:rsidR="0090519C" w:rsidRPr="0090519C" w:rsidRDefault="0090519C" w:rsidP="004371EB">
      <w:pPr>
        <w:pStyle w:val="NormalWeb"/>
        <w:numPr>
          <w:ilvl w:val="0"/>
          <w:numId w:val="13"/>
        </w:numPr>
        <w:spacing w:before="0" w:beforeAutospacing="0" w:after="0" w:afterAutospacing="0" w:line="480" w:lineRule="auto"/>
        <w:rPr>
          <w:rFonts w:ascii="Garamond" w:hAnsi="Garamond"/>
        </w:rPr>
      </w:pPr>
      <w:r w:rsidRPr="0090519C">
        <w:rPr>
          <w:rFonts w:ascii="Garamond" w:hAnsi="Garamond"/>
          <w:i/>
          <w:iCs/>
        </w:rPr>
        <w:t>The Employer Failed to Meet Its Burden of Proof</w:t>
      </w:r>
      <w:r w:rsidR="004371EB">
        <w:rPr>
          <w:rFonts w:ascii="Garamond" w:hAnsi="Garamond"/>
        </w:rPr>
        <w:t>:</w:t>
      </w:r>
      <w:r w:rsidRPr="0090519C">
        <w:rPr>
          <w:rFonts w:ascii="Garamond" w:hAnsi="Garamond"/>
        </w:rPr>
        <w:t xml:space="preserve"> Utah Admin. Code R994-405-105 places the burden of proof squarely on the employer to show that a claimant’s separation was a voluntary quit. An employer's claim based on testimony that "I don't remember the exact words" is not proof; it is conjecture. Granite offered no credible, competent evidence to </w:t>
      </w:r>
      <w:r w:rsidRPr="0090519C">
        <w:rPr>
          <w:rFonts w:ascii="Garamond" w:hAnsi="Garamond"/>
        </w:rPr>
        <w:lastRenderedPageBreak/>
        <w:t>meet its burden. The ALJ erred in finding for the employer when the employer’s own witness admitted his memory failed on the most critical point.</w:t>
      </w:r>
    </w:p>
    <w:p w14:paraId="77E6C2F2" w14:textId="43661093" w:rsidR="00B966B2" w:rsidRPr="004371EB" w:rsidRDefault="0090519C" w:rsidP="004371EB">
      <w:pPr>
        <w:pStyle w:val="NormalWeb"/>
        <w:numPr>
          <w:ilvl w:val="0"/>
          <w:numId w:val="13"/>
        </w:numPr>
        <w:spacing w:before="0" w:beforeAutospacing="0" w:after="0" w:afterAutospacing="0" w:line="480" w:lineRule="auto"/>
        <w:rPr>
          <w:rFonts w:ascii="Garamond" w:hAnsi="Garamond"/>
        </w:rPr>
      </w:pPr>
      <w:r w:rsidRPr="0090519C">
        <w:rPr>
          <w:rFonts w:ascii="Garamond" w:hAnsi="Garamond"/>
          <w:i/>
          <w:iCs/>
        </w:rPr>
        <w:t>My Actions Were a Reasonable Response to a Constructive Discharge</w:t>
      </w:r>
      <w:r w:rsidR="00EA5EAF">
        <w:rPr>
          <w:rFonts w:ascii="Garamond" w:hAnsi="Garamond"/>
        </w:rPr>
        <w:t xml:space="preserve">: </w:t>
      </w:r>
      <w:r w:rsidRPr="0090519C">
        <w:rPr>
          <w:rFonts w:ascii="Garamond" w:hAnsi="Garamond"/>
        </w:rPr>
        <w:t>After being locked out of my job and having my attempts at contact ignored for over a week, any reasonable person would conclude their employment had been terminated. My email of May 13 was not the act of quitting; it was a confused response to what I reasonably believed was an already-completed termination.</w:t>
      </w:r>
    </w:p>
    <w:p w14:paraId="4BA0628E" w14:textId="73F0DEB1" w:rsidR="004371EB" w:rsidRPr="004371EB" w:rsidRDefault="004371EB" w:rsidP="004371EB">
      <w:pPr>
        <w:pStyle w:val="NormalWeb"/>
        <w:numPr>
          <w:ilvl w:val="0"/>
          <w:numId w:val="13"/>
        </w:numPr>
        <w:spacing w:before="0" w:beforeAutospacing="0" w:after="0" w:afterAutospacing="0" w:line="480" w:lineRule="auto"/>
        <w:rPr>
          <w:rFonts w:ascii="Garamond" w:hAnsi="Garamond"/>
        </w:rPr>
      </w:pPr>
      <w:r w:rsidRPr="00EA5EAF">
        <w:rPr>
          <w:rFonts w:ascii="Garamond" w:hAnsi="Garamond"/>
          <w:i/>
          <w:iCs/>
        </w:rPr>
        <w:t>Continued Effort and Good-Faith Compliance</w:t>
      </w:r>
      <w:r w:rsidR="00EA5EAF">
        <w:rPr>
          <w:rFonts w:ascii="Garamond" w:hAnsi="Garamond"/>
        </w:rPr>
        <w:t xml:space="preserve">: </w:t>
      </w:r>
      <w:r w:rsidRPr="004371EB">
        <w:rPr>
          <w:rFonts w:ascii="Garamond" w:hAnsi="Garamond"/>
        </w:rPr>
        <w:t>Since May 18, 2025, Mr. Golub has maintained an active job search and timely weekly claim filings, clearly satisfying the equity-and-good-conscience standards.</w:t>
      </w:r>
    </w:p>
    <w:p w14:paraId="51E11EDC" w14:textId="596C4B26" w:rsidR="004371EB" w:rsidRPr="004371EB" w:rsidRDefault="004371EB" w:rsidP="004371EB">
      <w:pPr>
        <w:pStyle w:val="NormalWeb"/>
        <w:numPr>
          <w:ilvl w:val="0"/>
          <w:numId w:val="12"/>
        </w:numPr>
        <w:spacing w:before="0" w:beforeAutospacing="0" w:after="0" w:afterAutospacing="0" w:line="480" w:lineRule="auto"/>
        <w:rPr>
          <w:rFonts w:ascii="Garamond" w:hAnsi="Garamond"/>
        </w:rPr>
      </w:pPr>
      <w:r w:rsidRPr="004371EB">
        <w:rPr>
          <w:rStyle w:val="Strong"/>
          <w:rFonts w:ascii="Garamond" w:hAnsi="Garamond"/>
        </w:rPr>
        <w:t>Legal Argument</w:t>
      </w:r>
      <w:r w:rsidR="0007557E">
        <w:rPr>
          <w:rStyle w:val="Strong"/>
          <w:rFonts w:ascii="Garamond" w:hAnsi="Garamond"/>
        </w:rPr>
        <w:t>s</w:t>
      </w:r>
    </w:p>
    <w:p w14:paraId="4469B1FE" w14:textId="01594B68" w:rsidR="004371EB" w:rsidRPr="004371EB" w:rsidRDefault="004371EB" w:rsidP="004371EB">
      <w:pPr>
        <w:pStyle w:val="NormalWeb"/>
        <w:numPr>
          <w:ilvl w:val="0"/>
          <w:numId w:val="14"/>
        </w:numPr>
        <w:spacing w:before="0" w:beforeAutospacing="0" w:after="0" w:afterAutospacing="0" w:line="480" w:lineRule="auto"/>
        <w:rPr>
          <w:rFonts w:ascii="Garamond" w:hAnsi="Garamond"/>
        </w:rPr>
      </w:pPr>
      <w:r w:rsidRPr="00EA5EAF">
        <w:rPr>
          <w:rStyle w:val="Strong"/>
          <w:rFonts w:ascii="Garamond" w:hAnsi="Garamond"/>
          <w:b w:val="0"/>
          <w:bCs w:val="0"/>
          <w:i/>
          <w:iCs/>
        </w:rPr>
        <w:t>Employer-Initiated</w:t>
      </w:r>
      <w:r w:rsidRPr="00EA5EAF">
        <w:rPr>
          <w:rStyle w:val="Strong"/>
          <w:rFonts w:ascii="Garamond" w:hAnsi="Garamond"/>
          <w:b w:val="0"/>
          <w:bCs w:val="0"/>
        </w:rPr>
        <w:t xml:space="preserve"> </w:t>
      </w:r>
      <w:r w:rsidRPr="00EA5EAF">
        <w:rPr>
          <w:rStyle w:val="Strong"/>
          <w:rFonts w:ascii="Garamond" w:hAnsi="Garamond"/>
          <w:b w:val="0"/>
          <w:bCs w:val="0"/>
          <w:i/>
          <w:iCs/>
        </w:rPr>
        <w:t>Separation</w:t>
      </w:r>
      <w:r w:rsidR="00EA5EAF">
        <w:rPr>
          <w:rFonts w:ascii="Garamond" w:hAnsi="Garamond"/>
        </w:rPr>
        <w:t xml:space="preserve">: </w:t>
      </w:r>
      <w:r w:rsidRPr="004371EB">
        <w:rPr>
          <w:rFonts w:ascii="Garamond" w:hAnsi="Garamond"/>
        </w:rPr>
        <w:t xml:space="preserve">Under Utah Admin. Code R994-405-201, a separation is employer-initiated if the employer’s actions determine the claimant’s last working day. Granite’s unilateral lockout constitutes precisely such an action, as established by </w:t>
      </w:r>
      <w:r w:rsidRPr="004371EB">
        <w:rPr>
          <w:rStyle w:val="Emphasis"/>
          <w:rFonts w:ascii="Garamond" w:hAnsi="Garamond"/>
        </w:rPr>
        <w:t>Clearfield City v. Dept. of Employment Security</w:t>
      </w:r>
      <w:r w:rsidRPr="004371EB">
        <w:rPr>
          <w:rFonts w:ascii="Garamond" w:hAnsi="Garamond"/>
        </w:rPr>
        <w:t>, 663 P.2d 440 (Utah 1983).</w:t>
      </w:r>
    </w:p>
    <w:p w14:paraId="25DE2F79" w14:textId="4EA7C031" w:rsidR="004371EB" w:rsidRPr="004371EB" w:rsidRDefault="004371EB" w:rsidP="004371EB">
      <w:pPr>
        <w:pStyle w:val="NormalWeb"/>
        <w:numPr>
          <w:ilvl w:val="0"/>
          <w:numId w:val="14"/>
        </w:numPr>
        <w:spacing w:before="0" w:beforeAutospacing="0" w:after="0" w:afterAutospacing="0" w:line="480" w:lineRule="auto"/>
        <w:rPr>
          <w:rFonts w:ascii="Garamond" w:hAnsi="Garamond"/>
        </w:rPr>
      </w:pPr>
      <w:r w:rsidRPr="00EA5EAF">
        <w:rPr>
          <w:rStyle w:val="Strong"/>
          <w:rFonts w:ascii="Garamond" w:hAnsi="Garamond"/>
          <w:b w:val="0"/>
          <w:bCs w:val="0"/>
          <w:i/>
          <w:iCs/>
        </w:rPr>
        <w:t>Employer Failed to Meet Burden of Proof</w:t>
      </w:r>
      <w:r w:rsidR="00EA5EAF">
        <w:rPr>
          <w:rFonts w:ascii="Garamond" w:hAnsi="Garamond"/>
        </w:rPr>
        <w:t xml:space="preserve">: </w:t>
      </w:r>
      <w:r w:rsidRPr="004371EB">
        <w:rPr>
          <w:rFonts w:ascii="Garamond" w:hAnsi="Garamond"/>
        </w:rPr>
        <w:t>Utah Admin. Code R994-405-105 mandates that Granite bear the burden of proving voluntary resignation. Testimony admitting uncertainty about Mr. Golub’s words (Tr. p.19, ll.4-10; Tr. p.20, ll.7-11) does not satisfy this burden, rendering the ALJ’s finding clearly erroneous.</w:t>
      </w:r>
    </w:p>
    <w:p w14:paraId="57CFF266" w14:textId="7EA93571" w:rsidR="004371EB" w:rsidRPr="004371EB" w:rsidRDefault="004371EB" w:rsidP="004371EB">
      <w:pPr>
        <w:pStyle w:val="NormalWeb"/>
        <w:numPr>
          <w:ilvl w:val="0"/>
          <w:numId w:val="14"/>
        </w:numPr>
        <w:spacing w:before="0" w:beforeAutospacing="0" w:after="0" w:afterAutospacing="0" w:line="480" w:lineRule="auto"/>
        <w:rPr>
          <w:rFonts w:ascii="Garamond" w:hAnsi="Garamond"/>
        </w:rPr>
      </w:pPr>
      <w:r w:rsidRPr="00EA5EAF">
        <w:rPr>
          <w:rStyle w:val="Strong"/>
          <w:rFonts w:ascii="Garamond" w:hAnsi="Garamond"/>
          <w:b w:val="0"/>
          <w:bCs w:val="0"/>
          <w:i/>
          <w:iCs/>
        </w:rPr>
        <w:t>Lack of Just Cause</w:t>
      </w:r>
      <w:r w:rsidR="00EA5EAF">
        <w:rPr>
          <w:rFonts w:ascii="Garamond" w:hAnsi="Garamond"/>
        </w:rPr>
        <w:t xml:space="preserve">: </w:t>
      </w:r>
      <w:r w:rsidRPr="004371EB">
        <w:rPr>
          <w:rFonts w:ascii="Garamond" w:hAnsi="Garamond"/>
        </w:rPr>
        <w:t xml:space="preserve">Under </w:t>
      </w:r>
      <w:r w:rsidRPr="004371EB">
        <w:rPr>
          <w:rStyle w:val="Emphasis"/>
          <w:rFonts w:ascii="Garamond" w:hAnsi="Garamond"/>
        </w:rPr>
        <w:t>Kehl v. Board of Review</w:t>
      </w:r>
      <w:r w:rsidRPr="004371EB">
        <w:rPr>
          <w:rFonts w:ascii="Garamond" w:hAnsi="Garamond"/>
        </w:rPr>
        <w:t>, 700 P.2d 1129 (Utah 1985), Granite was required to demonstrate culpability, knowledge, and control—none of which appear in the record.</w:t>
      </w:r>
    </w:p>
    <w:p w14:paraId="5F930ACB" w14:textId="3AA725ED" w:rsidR="004371EB" w:rsidRPr="004371EB" w:rsidRDefault="004371EB" w:rsidP="004371EB">
      <w:pPr>
        <w:pStyle w:val="NormalWeb"/>
        <w:numPr>
          <w:ilvl w:val="0"/>
          <w:numId w:val="14"/>
        </w:numPr>
        <w:spacing w:before="0" w:beforeAutospacing="0" w:after="0" w:afterAutospacing="0" w:line="480" w:lineRule="auto"/>
        <w:rPr>
          <w:rFonts w:ascii="Garamond" w:hAnsi="Garamond"/>
        </w:rPr>
      </w:pPr>
      <w:r w:rsidRPr="00EA5EAF">
        <w:rPr>
          <w:rStyle w:val="Strong"/>
          <w:rFonts w:ascii="Garamond" w:hAnsi="Garamond"/>
          <w:b w:val="0"/>
          <w:bCs w:val="0"/>
          <w:i/>
          <w:iCs/>
        </w:rPr>
        <w:t>Procedural Due Process</w:t>
      </w:r>
      <w:r w:rsidR="00EA5EAF">
        <w:rPr>
          <w:rFonts w:ascii="Garamond" w:hAnsi="Garamond"/>
        </w:rPr>
        <w:t xml:space="preserve">: </w:t>
      </w:r>
      <w:r w:rsidRPr="004371EB">
        <w:rPr>
          <w:rFonts w:ascii="Garamond" w:hAnsi="Garamond"/>
        </w:rPr>
        <w:t>The exclusion of Mr. Golub’s submitted exhibits, while allowing Granite’s selective documentation, constitutes prejudicial error warranting remand.</w:t>
      </w:r>
    </w:p>
    <w:p w14:paraId="2712027C" w14:textId="0122B758" w:rsidR="004371EB" w:rsidRPr="004371EB" w:rsidRDefault="004371EB" w:rsidP="004371EB">
      <w:pPr>
        <w:pStyle w:val="NormalWeb"/>
        <w:numPr>
          <w:ilvl w:val="0"/>
          <w:numId w:val="14"/>
        </w:numPr>
        <w:spacing w:before="0" w:beforeAutospacing="0" w:after="0" w:afterAutospacing="0" w:line="480" w:lineRule="auto"/>
        <w:rPr>
          <w:rFonts w:ascii="Garamond" w:hAnsi="Garamond"/>
        </w:rPr>
      </w:pPr>
      <w:r w:rsidRPr="00EA5EAF">
        <w:rPr>
          <w:rStyle w:val="Strong"/>
          <w:rFonts w:ascii="Garamond" w:hAnsi="Garamond"/>
          <w:b w:val="0"/>
          <w:bCs w:val="0"/>
          <w:i/>
          <w:iCs/>
        </w:rPr>
        <w:lastRenderedPageBreak/>
        <w:t>Equity and Good-Conscience Compliance</w:t>
      </w:r>
      <w:r w:rsidR="00EA5EAF">
        <w:rPr>
          <w:rFonts w:ascii="Garamond" w:hAnsi="Garamond"/>
        </w:rPr>
        <w:t xml:space="preserve">: </w:t>
      </w:r>
      <w:r w:rsidRPr="004371EB">
        <w:rPr>
          <w:rFonts w:ascii="Garamond" w:hAnsi="Garamond"/>
        </w:rPr>
        <w:t>Regardless of classification, Mr. Golub meets all equity standards under Utah Admin. Code R994-405-103 through continuous, active employment-seeking efforts.</w:t>
      </w:r>
    </w:p>
    <w:p w14:paraId="6F55DF12" w14:textId="7CB114FB" w:rsidR="004371EB" w:rsidRPr="004371EB" w:rsidRDefault="004371EB" w:rsidP="004371EB">
      <w:pPr>
        <w:pStyle w:val="NormalWeb"/>
        <w:numPr>
          <w:ilvl w:val="0"/>
          <w:numId w:val="14"/>
        </w:numPr>
        <w:spacing w:before="0" w:beforeAutospacing="0" w:after="0" w:afterAutospacing="0" w:line="480" w:lineRule="auto"/>
        <w:rPr>
          <w:rFonts w:ascii="Garamond" w:hAnsi="Garamond"/>
        </w:rPr>
      </w:pPr>
      <w:r w:rsidRPr="00EA5EAF">
        <w:rPr>
          <w:rStyle w:val="Strong"/>
          <w:rFonts w:ascii="Garamond" w:hAnsi="Garamond"/>
          <w:b w:val="0"/>
          <w:bCs w:val="0"/>
          <w:i/>
          <w:iCs/>
        </w:rPr>
        <w:t>Hostile Work Environment Due to Illegal Drug-Test Demand</w:t>
      </w:r>
      <w:r w:rsidR="00EA5EAF">
        <w:rPr>
          <w:rFonts w:ascii="Garamond" w:hAnsi="Garamond"/>
        </w:rPr>
        <w:t xml:space="preserve">: </w:t>
      </w:r>
      <w:r w:rsidRPr="004371EB">
        <w:rPr>
          <w:rFonts w:ascii="Garamond" w:hAnsi="Garamond"/>
        </w:rPr>
        <w:t>Granite’s principal demanded Mr. Golub submit to an immediate blood test without legal basis, violating Utah Code §34-38-6 and Granite Policy IX.A.1.b, thereby creating intolerable working conditions.</w:t>
      </w:r>
    </w:p>
    <w:p w14:paraId="0D52012D" w14:textId="77777777" w:rsidR="004371EB" w:rsidRPr="004371EB" w:rsidRDefault="004371EB" w:rsidP="004371EB">
      <w:pPr>
        <w:pStyle w:val="NormalWeb"/>
        <w:spacing w:before="0" w:beforeAutospacing="0" w:after="0" w:afterAutospacing="0" w:line="480" w:lineRule="auto"/>
        <w:rPr>
          <w:rFonts w:ascii="Garamond" w:hAnsi="Garamond"/>
          <w:b/>
          <w:bCs/>
        </w:rPr>
      </w:pPr>
      <w:r w:rsidRPr="004371EB">
        <w:rPr>
          <w:rFonts w:ascii="Garamond" w:hAnsi="Garamond"/>
          <w:b/>
          <w:bCs/>
        </w:rPr>
        <w:t>IV. Relief Requested</w:t>
      </w:r>
    </w:p>
    <w:p w14:paraId="1E03CA41" w14:textId="77777777" w:rsidR="004371EB" w:rsidRPr="004371EB" w:rsidRDefault="004371EB" w:rsidP="0007557E">
      <w:pPr>
        <w:pStyle w:val="NormalWeb"/>
        <w:spacing w:before="0" w:beforeAutospacing="0" w:after="0" w:afterAutospacing="0" w:line="480" w:lineRule="auto"/>
        <w:ind w:firstLine="720"/>
        <w:rPr>
          <w:rFonts w:ascii="Garamond" w:hAnsi="Garamond"/>
        </w:rPr>
      </w:pPr>
      <w:r w:rsidRPr="004371EB">
        <w:rPr>
          <w:rFonts w:ascii="Garamond" w:hAnsi="Garamond"/>
        </w:rPr>
        <w:t>Mr. Golub respectfully requests that this Board:</w:t>
      </w:r>
    </w:p>
    <w:p w14:paraId="1272EE37" w14:textId="77777777" w:rsidR="004371EB" w:rsidRPr="004371EB" w:rsidRDefault="004371EB" w:rsidP="004371EB">
      <w:pPr>
        <w:pStyle w:val="NormalWeb"/>
        <w:numPr>
          <w:ilvl w:val="0"/>
          <w:numId w:val="15"/>
        </w:numPr>
        <w:spacing w:before="0" w:beforeAutospacing="0" w:after="0" w:afterAutospacing="0" w:line="480" w:lineRule="auto"/>
        <w:rPr>
          <w:rFonts w:ascii="Garamond" w:hAnsi="Garamond"/>
        </w:rPr>
      </w:pPr>
      <w:r w:rsidRPr="004371EB">
        <w:rPr>
          <w:rFonts w:ascii="Garamond" w:hAnsi="Garamond"/>
        </w:rPr>
        <w:t>Reverse the ALJ’s decision and award unemployment benefits retroactively from May 18, 2025; or</w:t>
      </w:r>
    </w:p>
    <w:p w14:paraId="4A2500E7" w14:textId="5F10B01F" w:rsidR="004371EB" w:rsidRPr="00C9207C" w:rsidRDefault="004371EB" w:rsidP="004371EB">
      <w:pPr>
        <w:pStyle w:val="NormalWeb"/>
        <w:numPr>
          <w:ilvl w:val="0"/>
          <w:numId w:val="15"/>
        </w:numPr>
        <w:spacing w:before="0" w:beforeAutospacing="0" w:after="0" w:afterAutospacing="0" w:line="480" w:lineRule="auto"/>
        <w:rPr>
          <w:rStyle w:val="Strong"/>
          <w:rFonts w:ascii="Garamond" w:hAnsi="Garamond"/>
          <w:b w:val="0"/>
          <w:bCs w:val="0"/>
        </w:rPr>
      </w:pPr>
      <w:r w:rsidRPr="004371EB">
        <w:rPr>
          <w:rFonts w:ascii="Garamond" w:hAnsi="Garamond"/>
        </w:rPr>
        <w:t>Remand for a new hearing with specific instructions compelling full disclosure of Granite’s May 1–15, 2025 email records, and subpoena all relevant witnesses concerning the May 5, 2025 incident involving police intervention at Taylorsville Elementary.</w:t>
      </w:r>
    </w:p>
    <w:p w14:paraId="2C876871" w14:textId="5E7C9BB9" w:rsidR="001E15A0" w:rsidRPr="001E15A0" w:rsidRDefault="001E15A0" w:rsidP="004371EB">
      <w:pPr>
        <w:pStyle w:val="FirstParagraph"/>
        <w:spacing w:before="0" w:after="0" w:line="480" w:lineRule="auto"/>
        <w:ind w:firstLine="720"/>
        <w:rPr>
          <w:rFonts w:ascii="Garamond" w:hAnsi="Garamond"/>
        </w:rPr>
      </w:pPr>
      <w:r w:rsidRPr="001E15A0">
        <w:rPr>
          <w:rFonts w:ascii="Garamond" w:hAnsi="Garamond"/>
        </w:rPr>
        <w:t>Granite initiated the separation by locking me out of my job</w:t>
      </w:r>
      <w:r w:rsidR="00C9207C">
        <w:rPr>
          <w:rFonts w:ascii="Garamond" w:hAnsi="Garamond"/>
        </w:rPr>
        <w:t xml:space="preserve"> and </w:t>
      </w:r>
      <w:r w:rsidR="00EA5EAF">
        <w:rPr>
          <w:rFonts w:ascii="Garamond" w:hAnsi="Garamond"/>
        </w:rPr>
        <w:t>ignored my attempts at communication</w:t>
      </w:r>
      <w:r w:rsidR="00C9207C">
        <w:rPr>
          <w:rFonts w:ascii="Garamond" w:hAnsi="Garamond"/>
        </w:rPr>
        <w:t>. W</w:t>
      </w:r>
      <w:r w:rsidR="00EA5EAF">
        <w:rPr>
          <w:rFonts w:ascii="Garamond" w:hAnsi="Garamond"/>
        </w:rPr>
        <w:t xml:space="preserve">hen Granite finally </w:t>
      </w:r>
      <w:r w:rsidR="00C9207C">
        <w:rPr>
          <w:rFonts w:ascii="Garamond" w:hAnsi="Garamond"/>
        </w:rPr>
        <w:t>contacted me a week later</w:t>
      </w:r>
      <w:r w:rsidR="00EA5EAF">
        <w:rPr>
          <w:rFonts w:ascii="Garamond" w:hAnsi="Garamond"/>
        </w:rPr>
        <w:t xml:space="preserve">, </w:t>
      </w:r>
      <w:r w:rsidR="00C9207C">
        <w:rPr>
          <w:rFonts w:ascii="Garamond" w:hAnsi="Garamond"/>
        </w:rPr>
        <w:t>it</w:t>
      </w:r>
      <w:r w:rsidR="00EA5EAF">
        <w:rPr>
          <w:rFonts w:ascii="Garamond" w:hAnsi="Garamond"/>
        </w:rPr>
        <w:t xml:space="preserve"> </w:t>
      </w:r>
      <w:r w:rsidR="00C9207C">
        <w:rPr>
          <w:rFonts w:ascii="Garamond" w:hAnsi="Garamond"/>
        </w:rPr>
        <w:t>continued to ignore the subject of my emails and the</w:t>
      </w:r>
      <w:r w:rsidR="00EA5EAF">
        <w:rPr>
          <w:rFonts w:ascii="Garamond" w:hAnsi="Garamond"/>
        </w:rPr>
        <w:t xml:space="preserve"> May 5 incident and lockout</w:t>
      </w:r>
      <w:r w:rsidRPr="001E15A0">
        <w:rPr>
          <w:rFonts w:ascii="Garamond" w:hAnsi="Garamond"/>
        </w:rPr>
        <w:t xml:space="preserve">. </w:t>
      </w:r>
      <w:r w:rsidR="00EA5EAF">
        <w:rPr>
          <w:rFonts w:ascii="Garamond" w:hAnsi="Garamond"/>
        </w:rPr>
        <w:t>I worked very hard for the district, spending more money than any teacher I came across on food and school supplies for low-income students.</w:t>
      </w:r>
      <w:r w:rsidR="00C9207C">
        <w:rPr>
          <w:rFonts w:ascii="Garamond" w:hAnsi="Garamond"/>
        </w:rPr>
        <w:t xml:space="preserve"> </w:t>
      </w:r>
      <w:r w:rsidR="00EA5EAF">
        <w:rPr>
          <w:rFonts w:ascii="Garamond" w:hAnsi="Garamond"/>
        </w:rPr>
        <w:t xml:space="preserve">Despite Granite’s termination of my employment, I continue to work on low-income education and am applying to jobs everyday in the AI and education sectors. However, the job market is tight, and I </w:t>
      </w:r>
      <w:r w:rsidR="00E321DD">
        <w:rPr>
          <w:rFonts w:ascii="Garamond" w:hAnsi="Garamond"/>
        </w:rPr>
        <w:t>genuinely</w:t>
      </w:r>
      <w:r w:rsidR="00EA5EAF">
        <w:rPr>
          <w:rFonts w:ascii="Garamond" w:hAnsi="Garamond"/>
        </w:rPr>
        <w:t xml:space="preserve"> need th</w:t>
      </w:r>
      <w:r w:rsidR="00E321DD">
        <w:rPr>
          <w:rFonts w:ascii="Garamond" w:hAnsi="Garamond"/>
        </w:rPr>
        <w:t xml:space="preserve">ese payments </w:t>
      </w:r>
      <w:r w:rsidR="00EA5EAF">
        <w:rPr>
          <w:rFonts w:ascii="Garamond" w:hAnsi="Garamond"/>
        </w:rPr>
        <w:t xml:space="preserve">to stay afloat </w:t>
      </w:r>
      <w:r w:rsidR="00C9207C">
        <w:rPr>
          <w:rFonts w:ascii="Garamond" w:hAnsi="Garamond"/>
        </w:rPr>
        <w:t>while I</w:t>
      </w:r>
      <w:r w:rsidR="00E321DD">
        <w:rPr>
          <w:rFonts w:ascii="Garamond" w:hAnsi="Garamond"/>
        </w:rPr>
        <w:t xml:space="preserve"> continue to look for jobs where I can make a positive impact with my skills. I currently have less than $200 in my bank account</w:t>
      </w:r>
      <w:r w:rsidR="00C9207C">
        <w:rPr>
          <w:rFonts w:ascii="Garamond" w:hAnsi="Garamond"/>
        </w:rPr>
        <w:t xml:space="preserve"> and am selling my books, clothes, and appliances to make payments.</w:t>
      </w:r>
      <w:r w:rsidR="00E321DD">
        <w:rPr>
          <w:rFonts w:ascii="Garamond" w:hAnsi="Garamond"/>
        </w:rPr>
        <w:t xml:space="preserve"> </w:t>
      </w:r>
      <w:r w:rsidR="00AD017E">
        <w:rPr>
          <w:rFonts w:ascii="Garamond" w:hAnsi="Garamond"/>
        </w:rPr>
        <w:t xml:space="preserve">I tried to sell the wingtips I wore to class on May 5 for $300, eventually someone picked them up for $90. They were practically brand new. I don’t </w:t>
      </w:r>
      <w:r w:rsidR="00AD017E">
        <w:rPr>
          <w:rFonts w:ascii="Garamond" w:hAnsi="Garamond"/>
        </w:rPr>
        <w:lastRenderedPageBreak/>
        <w:t>have a lot of shoes left. I’m down to hiking boots and old running sneakers by this point. You can find my profile</w:t>
      </w:r>
      <w:r w:rsidR="00652ABE">
        <w:rPr>
          <w:rFonts w:ascii="Garamond" w:hAnsi="Garamond"/>
        </w:rPr>
        <w:t>s</w:t>
      </w:r>
      <w:r w:rsidR="00AD017E">
        <w:rPr>
          <w:rFonts w:ascii="Garamond" w:hAnsi="Garamond"/>
        </w:rPr>
        <w:t xml:space="preserve"> on Etsy, KSL, Facebook Market Place, </w:t>
      </w:r>
      <w:r w:rsidR="00652ABE">
        <w:rPr>
          <w:rFonts w:ascii="Garamond" w:hAnsi="Garamond"/>
        </w:rPr>
        <w:t>eBay, and Amazon</w:t>
      </w:r>
      <w:r w:rsidR="00AD017E">
        <w:rPr>
          <w:rFonts w:ascii="Garamond" w:hAnsi="Garamond"/>
        </w:rPr>
        <w:t>.</w:t>
      </w:r>
    </w:p>
    <w:p w14:paraId="61BE92C3" w14:textId="5D52C298" w:rsidR="001E15A0" w:rsidRPr="001E15A0" w:rsidRDefault="001E15A0" w:rsidP="004371EB">
      <w:pPr>
        <w:pStyle w:val="FirstParagraph"/>
        <w:spacing w:before="0" w:after="0" w:line="480" w:lineRule="auto"/>
        <w:ind w:firstLine="720"/>
        <w:rPr>
          <w:rFonts w:ascii="Garamond" w:hAnsi="Garamond"/>
        </w:rPr>
      </w:pPr>
      <w:r w:rsidRPr="001E15A0">
        <w:rPr>
          <w:rFonts w:ascii="Garamond" w:hAnsi="Garamond"/>
        </w:rPr>
        <w:t xml:space="preserve">Therefore, I </w:t>
      </w:r>
      <w:r w:rsidR="00E321DD">
        <w:rPr>
          <w:rFonts w:ascii="Garamond" w:hAnsi="Garamond"/>
        </w:rPr>
        <w:t>once again</w:t>
      </w:r>
      <w:r w:rsidRPr="001E15A0">
        <w:rPr>
          <w:rFonts w:ascii="Garamond" w:hAnsi="Garamond"/>
        </w:rPr>
        <w:t xml:space="preserve"> </w:t>
      </w:r>
      <w:r w:rsidR="00652ABE">
        <w:rPr>
          <w:rFonts w:ascii="Garamond" w:hAnsi="Garamond"/>
        </w:rPr>
        <w:t>beseech</w:t>
      </w:r>
      <w:r w:rsidRPr="001E15A0">
        <w:rPr>
          <w:rFonts w:ascii="Garamond" w:hAnsi="Garamond"/>
        </w:rPr>
        <w:t xml:space="preserve"> the Board</w:t>
      </w:r>
      <w:r w:rsidR="00652ABE">
        <w:rPr>
          <w:rFonts w:ascii="Garamond" w:hAnsi="Garamond"/>
        </w:rPr>
        <w:t xml:space="preserve">, please </w:t>
      </w:r>
      <w:r w:rsidRPr="001E15A0">
        <w:rPr>
          <w:rFonts w:ascii="Garamond" w:hAnsi="Garamond"/>
        </w:rPr>
        <w:t>reverse the ALJ's decision and find me eligible for unemployment benefits beginning May 18, 2025.</w:t>
      </w:r>
    </w:p>
    <w:p w14:paraId="3674DA31" w14:textId="5CEF0A55" w:rsidR="00011206" w:rsidRPr="004371EB" w:rsidRDefault="00000000" w:rsidP="004371EB">
      <w:pPr>
        <w:pStyle w:val="FirstParagraph"/>
        <w:spacing w:before="0" w:after="0" w:line="480" w:lineRule="auto"/>
        <w:rPr>
          <w:rFonts w:ascii="Garamond" w:hAnsi="Garamond"/>
        </w:rPr>
      </w:pPr>
      <w:r w:rsidRPr="004371EB">
        <w:rPr>
          <w:rFonts w:ascii="Garamond" w:hAnsi="Garamond"/>
        </w:rPr>
        <w:t>Respectfully,</w:t>
      </w:r>
    </w:p>
    <w:p w14:paraId="3BE34E83" w14:textId="77777777" w:rsidR="00011206" w:rsidRPr="004371EB" w:rsidRDefault="00000000" w:rsidP="004371EB">
      <w:pPr>
        <w:pStyle w:val="FirstParagraph"/>
        <w:spacing w:before="0" w:after="0" w:line="480" w:lineRule="auto"/>
        <w:rPr>
          <w:rFonts w:ascii="Garamond" w:hAnsi="Garamond"/>
        </w:rPr>
      </w:pPr>
      <w:r w:rsidRPr="004371EB">
        <w:rPr>
          <w:rFonts w:ascii="Garamond" w:hAnsi="Garamond"/>
          <w:b/>
          <w:bCs/>
        </w:rPr>
        <w:t>Peter Golub</w:t>
      </w:r>
      <w:r w:rsidRPr="004371EB">
        <w:rPr>
          <w:rFonts w:ascii="Garamond" w:hAnsi="Garamond"/>
        </w:rPr>
        <w:t>, Appellant</w:t>
      </w:r>
      <w:r w:rsidRPr="004371EB">
        <w:rPr>
          <w:rFonts w:ascii="Cambria Math" w:hAnsi="Cambria Math" w:cs="Cambria Math"/>
        </w:rPr>
        <w:t>‑</w:t>
      </w:r>
      <w:r w:rsidRPr="004371EB">
        <w:rPr>
          <w:rFonts w:ascii="Garamond" w:hAnsi="Garamond"/>
        </w:rPr>
        <w:t>Claimant</w:t>
      </w:r>
    </w:p>
    <w:bookmarkEnd w:id="0"/>
    <w:p w14:paraId="6FCAD998" w14:textId="103C76DB" w:rsidR="00E321DD" w:rsidRPr="004371EB" w:rsidRDefault="00C9207C" w:rsidP="0007557E">
      <w:pPr>
        <w:pStyle w:val="BodyText"/>
        <w:spacing w:before="0" w:after="0"/>
        <w:rPr>
          <w:rFonts w:ascii="Garamond" w:hAnsi="Garamond"/>
        </w:rPr>
      </w:pPr>
      <w:r>
        <w:rPr>
          <w:rFonts w:ascii="Garamond" w:hAnsi="Garamond"/>
        </w:rPr>
        <w:t xml:space="preserve"> </w:t>
      </w:r>
    </w:p>
    <w:sectPr w:rsidR="00E321DD" w:rsidRPr="004371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323F7A"/>
    <w:multiLevelType w:val="hybridMultilevel"/>
    <w:tmpl w:val="3D5C6BDA"/>
    <w:lvl w:ilvl="0" w:tplc="0B46DC9C">
      <w:start w:val="1"/>
      <w:numFmt w:val="decimal"/>
      <w:lvlText w:val="%1."/>
      <w:lvlJc w:val="left"/>
      <w:pPr>
        <w:ind w:left="1080" w:hanging="360"/>
      </w:pPr>
      <w:rPr>
        <w:rFonts w:eastAsia="Times New Roman" w:cs="Times New Roman"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4C44B1"/>
    <w:multiLevelType w:val="multilevel"/>
    <w:tmpl w:val="F91E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A118D1"/>
    <w:multiLevelType w:val="hybridMultilevel"/>
    <w:tmpl w:val="DD464EE8"/>
    <w:lvl w:ilvl="0" w:tplc="8B3E4FEE">
      <w:start w:val="1"/>
      <w:numFmt w:val="upperRoman"/>
      <w:lvlText w:val="%1."/>
      <w:lvlJc w:val="left"/>
      <w:pPr>
        <w:ind w:left="1080" w:hanging="720"/>
      </w:pPr>
      <w:rPr>
        <w:rFonts w:eastAsiaTheme="minorHAnsi"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461B24"/>
    <w:multiLevelType w:val="multilevel"/>
    <w:tmpl w:val="BB8C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690202"/>
    <w:multiLevelType w:val="hybridMultilevel"/>
    <w:tmpl w:val="AD96DA98"/>
    <w:lvl w:ilvl="0" w:tplc="B3D6A618">
      <w:start w:val="1"/>
      <w:numFmt w:val="decimal"/>
      <w:lvlText w:val="%1."/>
      <w:lvlJc w:val="left"/>
      <w:pPr>
        <w:ind w:left="1080" w:hanging="36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B55212"/>
    <w:multiLevelType w:val="multilevel"/>
    <w:tmpl w:val="A736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9081D"/>
    <w:multiLevelType w:val="hybridMultilevel"/>
    <w:tmpl w:val="69347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B6E1B"/>
    <w:multiLevelType w:val="multilevel"/>
    <w:tmpl w:val="8E62B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1E3302"/>
    <w:multiLevelType w:val="multilevel"/>
    <w:tmpl w:val="15C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8C06F9"/>
    <w:multiLevelType w:val="hybridMultilevel"/>
    <w:tmpl w:val="2A5C9358"/>
    <w:lvl w:ilvl="0" w:tplc="40E8501A">
      <w:start w:val="1"/>
      <w:numFmt w:val="upperRoman"/>
      <w:lvlText w:val="%1."/>
      <w:lvlJc w:val="left"/>
      <w:pPr>
        <w:ind w:left="1080" w:hanging="72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003490">
    <w:abstractNumId w:val="0"/>
  </w:num>
  <w:num w:numId="2" w16cid:durableId="960960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5"/>
  </w:num>
  <w:num w:numId="6" w16cid:durableId="514610651">
    <w:abstractNumId w:val="11"/>
  </w:num>
  <w:num w:numId="7" w16cid:durableId="1632707137">
    <w:abstractNumId w:val="13"/>
  </w:num>
  <w:num w:numId="8" w16cid:durableId="213205025">
    <w:abstractNumId w:val="7"/>
  </w:num>
  <w:num w:numId="9" w16cid:durableId="1380472575">
    <w:abstractNumId w:val="12"/>
  </w:num>
  <w:num w:numId="10" w16cid:durableId="551692960">
    <w:abstractNumId w:val="4"/>
  </w:num>
  <w:num w:numId="11" w16cid:durableId="1237862569">
    <w:abstractNumId w:val="6"/>
  </w:num>
  <w:num w:numId="12" w16cid:durableId="77138781">
    <w:abstractNumId w:val="14"/>
  </w:num>
  <w:num w:numId="13" w16cid:durableId="1923098692">
    <w:abstractNumId w:val="2"/>
  </w:num>
  <w:num w:numId="14" w16cid:durableId="162626796">
    <w:abstractNumId w:val="8"/>
  </w:num>
  <w:num w:numId="15" w16cid:durableId="829953288">
    <w:abstractNumId w:val="9"/>
  </w:num>
  <w:num w:numId="16" w16cid:durableId="9713296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07557E"/>
    <w:rsid w:val="001E15A0"/>
    <w:rsid w:val="002169C5"/>
    <w:rsid w:val="002B025B"/>
    <w:rsid w:val="002F4095"/>
    <w:rsid w:val="00403088"/>
    <w:rsid w:val="004371EB"/>
    <w:rsid w:val="00444182"/>
    <w:rsid w:val="00463F95"/>
    <w:rsid w:val="00467653"/>
    <w:rsid w:val="00495296"/>
    <w:rsid w:val="004D6E6C"/>
    <w:rsid w:val="004E43D9"/>
    <w:rsid w:val="00592835"/>
    <w:rsid w:val="005D3993"/>
    <w:rsid w:val="00613060"/>
    <w:rsid w:val="0064161A"/>
    <w:rsid w:val="00652ABE"/>
    <w:rsid w:val="00683224"/>
    <w:rsid w:val="006A691D"/>
    <w:rsid w:val="007B2808"/>
    <w:rsid w:val="007B28C2"/>
    <w:rsid w:val="00855C7D"/>
    <w:rsid w:val="008B2DB3"/>
    <w:rsid w:val="0090519C"/>
    <w:rsid w:val="00976EAB"/>
    <w:rsid w:val="009F3440"/>
    <w:rsid w:val="00A85D05"/>
    <w:rsid w:val="00A8712A"/>
    <w:rsid w:val="00AC71CB"/>
    <w:rsid w:val="00AD017E"/>
    <w:rsid w:val="00B966B2"/>
    <w:rsid w:val="00C7788D"/>
    <w:rsid w:val="00C9207C"/>
    <w:rsid w:val="00D422C2"/>
    <w:rsid w:val="00D85E53"/>
    <w:rsid w:val="00DC1B26"/>
    <w:rsid w:val="00DF455F"/>
    <w:rsid w:val="00E25054"/>
    <w:rsid w:val="00E321DD"/>
    <w:rsid w:val="00E718F2"/>
    <w:rsid w:val="00E7321F"/>
    <w:rsid w:val="00EA5EAF"/>
    <w:rsid w:val="00F32C8C"/>
    <w:rsid w:val="00F33BA1"/>
    <w:rsid w:val="00FA1FEE"/>
    <w:rsid w:val="00FC2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 w:type="character" w:styleId="Emphasis">
    <w:name w:val="Emphasis"/>
    <w:basedOn w:val="DefaultParagraphFont"/>
    <w:uiPriority w:val="20"/>
    <w:qFormat/>
    <w:rsid w:val="00B966B2"/>
    <w:rPr>
      <w:i/>
      <w:iCs/>
    </w:rPr>
  </w:style>
  <w:style w:type="character" w:customStyle="1" w:styleId="BodyTextChar">
    <w:name w:val="Body Text Char"/>
    <w:basedOn w:val="DefaultParagraphFont"/>
    <w:link w:val="BodyText"/>
    <w:rsid w:val="00C92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1">
      <w:bodyDiv w:val="1"/>
      <w:marLeft w:val="0"/>
      <w:marRight w:val="0"/>
      <w:marTop w:val="0"/>
      <w:marBottom w:val="0"/>
      <w:divBdr>
        <w:top w:val="none" w:sz="0" w:space="0" w:color="auto"/>
        <w:left w:val="none" w:sz="0" w:space="0" w:color="auto"/>
        <w:bottom w:val="none" w:sz="0" w:space="0" w:color="auto"/>
        <w:right w:val="none" w:sz="0" w:space="0" w:color="auto"/>
      </w:divBdr>
    </w:div>
    <w:div w:id="28454061">
      <w:bodyDiv w:val="1"/>
      <w:marLeft w:val="0"/>
      <w:marRight w:val="0"/>
      <w:marTop w:val="0"/>
      <w:marBottom w:val="0"/>
      <w:divBdr>
        <w:top w:val="none" w:sz="0" w:space="0" w:color="auto"/>
        <w:left w:val="none" w:sz="0" w:space="0" w:color="auto"/>
        <w:bottom w:val="none" w:sz="0" w:space="0" w:color="auto"/>
        <w:right w:val="none" w:sz="0" w:space="0" w:color="auto"/>
      </w:divBdr>
      <w:divsChild>
        <w:div w:id="1382705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18488">
      <w:bodyDiv w:val="1"/>
      <w:marLeft w:val="0"/>
      <w:marRight w:val="0"/>
      <w:marTop w:val="0"/>
      <w:marBottom w:val="0"/>
      <w:divBdr>
        <w:top w:val="none" w:sz="0" w:space="0" w:color="auto"/>
        <w:left w:val="none" w:sz="0" w:space="0" w:color="auto"/>
        <w:bottom w:val="none" w:sz="0" w:space="0" w:color="auto"/>
        <w:right w:val="none" w:sz="0" w:space="0" w:color="auto"/>
      </w:divBdr>
    </w:div>
    <w:div w:id="82731003">
      <w:bodyDiv w:val="1"/>
      <w:marLeft w:val="0"/>
      <w:marRight w:val="0"/>
      <w:marTop w:val="0"/>
      <w:marBottom w:val="0"/>
      <w:divBdr>
        <w:top w:val="none" w:sz="0" w:space="0" w:color="auto"/>
        <w:left w:val="none" w:sz="0" w:space="0" w:color="auto"/>
        <w:bottom w:val="none" w:sz="0" w:space="0" w:color="auto"/>
        <w:right w:val="none" w:sz="0" w:space="0" w:color="auto"/>
      </w:divBdr>
    </w:div>
    <w:div w:id="166361010">
      <w:bodyDiv w:val="1"/>
      <w:marLeft w:val="0"/>
      <w:marRight w:val="0"/>
      <w:marTop w:val="0"/>
      <w:marBottom w:val="0"/>
      <w:divBdr>
        <w:top w:val="none" w:sz="0" w:space="0" w:color="auto"/>
        <w:left w:val="none" w:sz="0" w:space="0" w:color="auto"/>
        <w:bottom w:val="none" w:sz="0" w:space="0" w:color="auto"/>
        <w:right w:val="none" w:sz="0" w:space="0" w:color="auto"/>
      </w:divBdr>
    </w:div>
    <w:div w:id="227614275">
      <w:bodyDiv w:val="1"/>
      <w:marLeft w:val="0"/>
      <w:marRight w:val="0"/>
      <w:marTop w:val="0"/>
      <w:marBottom w:val="0"/>
      <w:divBdr>
        <w:top w:val="none" w:sz="0" w:space="0" w:color="auto"/>
        <w:left w:val="none" w:sz="0" w:space="0" w:color="auto"/>
        <w:bottom w:val="none" w:sz="0" w:space="0" w:color="auto"/>
        <w:right w:val="none" w:sz="0" w:space="0" w:color="auto"/>
      </w:divBdr>
    </w:div>
    <w:div w:id="263344323">
      <w:bodyDiv w:val="1"/>
      <w:marLeft w:val="0"/>
      <w:marRight w:val="0"/>
      <w:marTop w:val="0"/>
      <w:marBottom w:val="0"/>
      <w:divBdr>
        <w:top w:val="none" w:sz="0" w:space="0" w:color="auto"/>
        <w:left w:val="none" w:sz="0" w:space="0" w:color="auto"/>
        <w:bottom w:val="none" w:sz="0" w:space="0" w:color="auto"/>
        <w:right w:val="none" w:sz="0" w:space="0" w:color="auto"/>
      </w:divBdr>
    </w:div>
    <w:div w:id="280573562">
      <w:bodyDiv w:val="1"/>
      <w:marLeft w:val="0"/>
      <w:marRight w:val="0"/>
      <w:marTop w:val="0"/>
      <w:marBottom w:val="0"/>
      <w:divBdr>
        <w:top w:val="none" w:sz="0" w:space="0" w:color="auto"/>
        <w:left w:val="none" w:sz="0" w:space="0" w:color="auto"/>
        <w:bottom w:val="none" w:sz="0" w:space="0" w:color="auto"/>
        <w:right w:val="none" w:sz="0" w:space="0" w:color="auto"/>
      </w:divBdr>
    </w:div>
    <w:div w:id="364478090">
      <w:bodyDiv w:val="1"/>
      <w:marLeft w:val="0"/>
      <w:marRight w:val="0"/>
      <w:marTop w:val="0"/>
      <w:marBottom w:val="0"/>
      <w:divBdr>
        <w:top w:val="none" w:sz="0" w:space="0" w:color="auto"/>
        <w:left w:val="none" w:sz="0" w:space="0" w:color="auto"/>
        <w:bottom w:val="none" w:sz="0" w:space="0" w:color="auto"/>
        <w:right w:val="none" w:sz="0" w:space="0" w:color="auto"/>
      </w:divBdr>
    </w:div>
    <w:div w:id="499391194">
      <w:bodyDiv w:val="1"/>
      <w:marLeft w:val="0"/>
      <w:marRight w:val="0"/>
      <w:marTop w:val="0"/>
      <w:marBottom w:val="0"/>
      <w:divBdr>
        <w:top w:val="none" w:sz="0" w:space="0" w:color="auto"/>
        <w:left w:val="none" w:sz="0" w:space="0" w:color="auto"/>
        <w:bottom w:val="none" w:sz="0" w:space="0" w:color="auto"/>
        <w:right w:val="none" w:sz="0" w:space="0" w:color="auto"/>
      </w:divBdr>
    </w:div>
    <w:div w:id="570651432">
      <w:bodyDiv w:val="1"/>
      <w:marLeft w:val="0"/>
      <w:marRight w:val="0"/>
      <w:marTop w:val="0"/>
      <w:marBottom w:val="0"/>
      <w:divBdr>
        <w:top w:val="none" w:sz="0" w:space="0" w:color="auto"/>
        <w:left w:val="none" w:sz="0" w:space="0" w:color="auto"/>
        <w:bottom w:val="none" w:sz="0" w:space="0" w:color="auto"/>
        <w:right w:val="none" w:sz="0" w:space="0" w:color="auto"/>
      </w:divBdr>
    </w:div>
    <w:div w:id="723068138">
      <w:bodyDiv w:val="1"/>
      <w:marLeft w:val="0"/>
      <w:marRight w:val="0"/>
      <w:marTop w:val="0"/>
      <w:marBottom w:val="0"/>
      <w:divBdr>
        <w:top w:val="none" w:sz="0" w:space="0" w:color="auto"/>
        <w:left w:val="none" w:sz="0" w:space="0" w:color="auto"/>
        <w:bottom w:val="none" w:sz="0" w:space="0" w:color="auto"/>
        <w:right w:val="none" w:sz="0" w:space="0" w:color="auto"/>
      </w:divBdr>
    </w:div>
    <w:div w:id="947010745">
      <w:bodyDiv w:val="1"/>
      <w:marLeft w:val="0"/>
      <w:marRight w:val="0"/>
      <w:marTop w:val="0"/>
      <w:marBottom w:val="0"/>
      <w:divBdr>
        <w:top w:val="none" w:sz="0" w:space="0" w:color="auto"/>
        <w:left w:val="none" w:sz="0" w:space="0" w:color="auto"/>
        <w:bottom w:val="none" w:sz="0" w:space="0" w:color="auto"/>
        <w:right w:val="none" w:sz="0" w:space="0" w:color="auto"/>
      </w:divBdr>
    </w:div>
    <w:div w:id="1006862301">
      <w:bodyDiv w:val="1"/>
      <w:marLeft w:val="0"/>
      <w:marRight w:val="0"/>
      <w:marTop w:val="0"/>
      <w:marBottom w:val="0"/>
      <w:divBdr>
        <w:top w:val="none" w:sz="0" w:space="0" w:color="auto"/>
        <w:left w:val="none" w:sz="0" w:space="0" w:color="auto"/>
        <w:bottom w:val="none" w:sz="0" w:space="0" w:color="auto"/>
        <w:right w:val="none" w:sz="0" w:space="0" w:color="auto"/>
      </w:divBdr>
    </w:div>
    <w:div w:id="1120874388">
      <w:bodyDiv w:val="1"/>
      <w:marLeft w:val="0"/>
      <w:marRight w:val="0"/>
      <w:marTop w:val="0"/>
      <w:marBottom w:val="0"/>
      <w:divBdr>
        <w:top w:val="none" w:sz="0" w:space="0" w:color="auto"/>
        <w:left w:val="none" w:sz="0" w:space="0" w:color="auto"/>
        <w:bottom w:val="none" w:sz="0" w:space="0" w:color="auto"/>
        <w:right w:val="none" w:sz="0" w:space="0" w:color="auto"/>
      </w:divBdr>
    </w:div>
    <w:div w:id="1526596731">
      <w:bodyDiv w:val="1"/>
      <w:marLeft w:val="0"/>
      <w:marRight w:val="0"/>
      <w:marTop w:val="0"/>
      <w:marBottom w:val="0"/>
      <w:divBdr>
        <w:top w:val="none" w:sz="0" w:space="0" w:color="auto"/>
        <w:left w:val="none" w:sz="0" w:space="0" w:color="auto"/>
        <w:bottom w:val="none" w:sz="0" w:space="0" w:color="auto"/>
        <w:right w:val="none" w:sz="0" w:space="0" w:color="auto"/>
      </w:divBdr>
    </w:div>
    <w:div w:id="1634292327">
      <w:bodyDiv w:val="1"/>
      <w:marLeft w:val="0"/>
      <w:marRight w:val="0"/>
      <w:marTop w:val="0"/>
      <w:marBottom w:val="0"/>
      <w:divBdr>
        <w:top w:val="none" w:sz="0" w:space="0" w:color="auto"/>
        <w:left w:val="none" w:sz="0" w:space="0" w:color="auto"/>
        <w:bottom w:val="none" w:sz="0" w:space="0" w:color="auto"/>
        <w:right w:val="none" w:sz="0" w:space="0" w:color="auto"/>
      </w:divBdr>
      <w:divsChild>
        <w:div w:id="83311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700894">
      <w:bodyDiv w:val="1"/>
      <w:marLeft w:val="0"/>
      <w:marRight w:val="0"/>
      <w:marTop w:val="0"/>
      <w:marBottom w:val="0"/>
      <w:divBdr>
        <w:top w:val="none" w:sz="0" w:space="0" w:color="auto"/>
        <w:left w:val="none" w:sz="0" w:space="0" w:color="auto"/>
        <w:bottom w:val="none" w:sz="0" w:space="0" w:color="auto"/>
        <w:right w:val="none" w:sz="0" w:space="0" w:color="auto"/>
      </w:divBdr>
    </w:div>
    <w:div w:id="1693144238">
      <w:bodyDiv w:val="1"/>
      <w:marLeft w:val="0"/>
      <w:marRight w:val="0"/>
      <w:marTop w:val="0"/>
      <w:marBottom w:val="0"/>
      <w:divBdr>
        <w:top w:val="none" w:sz="0" w:space="0" w:color="auto"/>
        <w:left w:val="none" w:sz="0" w:space="0" w:color="auto"/>
        <w:bottom w:val="none" w:sz="0" w:space="0" w:color="auto"/>
        <w:right w:val="none" w:sz="0" w:space="0" w:color="auto"/>
      </w:divBdr>
      <w:divsChild>
        <w:div w:id="138694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784304">
      <w:bodyDiv w:val="1"/>
      <w:marLeft w:val="0"/>
      <w:marRight w:val="0"/>
      <w:marTop w:val="0"/>
      <w:marBottom w:val="0"/>
      <w:divBdr>
        <w:top w:val="none" w:sz="0" w:space="0" w:color="auto"/>
        <w:left w:val="none" w:sz="0" w:space="0" w:color="auto"/>
        <w:bottom w:val="none" w:sz="0" w:space="0" w:color="auto"/>
        <w:right w:val="none" w:sz="0" w:space="0" w:color="auto"/>
      </w:divBdr>
    </w:div>
    <w:div w:id="1907759350">
      <w:bodyDiv w:val="1"/>
      <w:marLeft w:val="0"/>
      <w:marRight w:val="0"/>
      <w:marTop w:val="0"/>
      <w:marBottom w:val="0"/>
      <w:divBdr>
        <w:top w:val="none" w:sz="0" w:space="0" w:color="auto"/>
        <w:left w:val="none" w:sz="0" w:space="0" w:color="auto"/>
        <w:bottom w:val="none" w:sz="0" w:space="0" w:color="auto"/>
        <w:right w:val="none" w:sz="0" w:space="0" w:color="auto"/>
      </w:divBdr>
    </w:div>
    <w:div w:id="2022464506">
      <w:bodyDiv w:val="1"/>
      <w:marLeft w:val="0"/>
      <w:marRight w:val="0"/>
      <w:marTop w:val="0"/>
      <w:marBottom w:val="0"/>
      <w:divBdr>
        <w:top w:val="none" w:sz="0" w:space="0" w:color="auto"/>
        <w:left w:val="none" w:sz="0" w:space="0" w:color="auto"/>
        <w:bottom w:val="none" w:sz="0" w:space="0" w:color="auto"/>
        <w:right w:val="none" w:sz="0" w:space="0" w:color="auto"/>
      </w:divBdr>
      <w:divsChild>
        <w:div w:id="16366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929897">
      <w:bodyDiv w:val="1"/>
      <w:marLeft w:val="0"/>
      <w:marRight w:val="0"/>
      <w:marTop w:val="0"/>
      <w:marBottom w:val="0"/>
      <w:divBdr>
        <w:top w:val="none" w:sz="0" w:space="0" w:color="auto"/>
        <w:left w:val="none" w:sz="0" w:space="0" w:color="auto"/>
        <w:bottom w:val="none" w:sz="0" w:space="0" w:color="auto"/>
        <w:right w:val="none" w:sz="0" w:space="0" w:color="auto"/>
      </w:divBdr>
    </w:div>
    <w:div w:id="2136633420">
      <w:bodyDiv w:val="1"/>
      <w:marLeft w:val="0"/>
      <w:marRight w:val="0"/>
      <w:marTop w:val="0"/>
      <w:marBottom w:val="0"/>
      <w:divBdr>
        <w:top w:val="none" w:sz="0" w:space="0" w:color="auto"/>
        <w:left w:val="none" w:sz="0" w:space="0" w:color="auto"/>
        <w:bottom w:val="none" w:sz="0" w:space="0" w:color="auto"/>
        <w:right w:val="none" w:sz="0" w:space="0" w:color="auto"/>
      </w:divBdr>
    </w:div>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4</cp:revision>
  <cp:lastPrinted>2025-07-24T01:43:00Z</cp:lastPrinted>
  <dcterms:created xsi:type="dcterms:W3CDTF">2025-07-24T02:48:00Z</dcterms:created>
  <dcterms:modified xsi:type="dcterms:W3CDTF">2025-07-24T04:30:00Z</dcterms:modified>
</cp:coreProperties>
</file>