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924"/>
        <w:tblW w:w="14700" w:type="dxa"/>
        <w:tblCellSpacing w:w="15" w:type="dxa"/>
        <w:tblBorders>
          <w:top w:val="single" w:sz="12" w:space="0" w:color="ED7D31" w:themeColor="accent2"/>
          <w:left w:val="single" w:sz="12" w:space="0" w:color="ED7D31" w:themeColor="accent2"/>
          <w:bottom w:val="single" w:sz="12" w:space="0" w:color="ED7D31" w:themeColor="accent2"/>
          <w:right w:val="single" w:sz="12" w:space="0" w:color="ED7D31" w:themeColor="accent2"/>
          <w:insideH w:val="single" w:sz="12" w:space="0" w:color="ED7D31" w:themeColor="accent2"/>
          <w:insideV w:val="single" w:sz="12" w:space="0" w:color="ED7D31" w:themeColor="accent2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1521"/>
        <w:gridCol w:w="7888"/>
        <w:gridCol w:w="3754"/>
      </w:tblGrid>
      <w:tr w:rsidR="004C0F9E" w:rsidRPr="00D579E6" w14:paraId="6512159D" w14:textId="77777777" w:rsidTr="004C0F9E">
        <w:trPr>
          <w:trHeight w:val="312"/>
          <w:tblCellSpacing w:w="15" w:type="dxa"/>
        </w:trPr>
        <w:tc>
          <w:tcPr>
            <w:tcW w:w="0" w:type="auto"/>
            <w:tcBorders>
              <w:top w:val="single" w:sz="12" w:space="0" w:color="EE0000"/>
              <w:left w:val="single" w:sz="12" w:space="0" w:color="EE0000"/>
              <w:bottom w:val="single" w:sz="12" w:space="0" w:color="EE0000"/>
              <w:right w:val="single" w:sz="12" w:space="0" w:color="EE0000"/>
            </w:tcBorders>
            <w:vAlign w:val="center"/>
            <w:hideMark/>
          </w:tcPr>
          <w:p w14:paraId="69A8E6D7" w14:textId="77777777" w:rsidR="004C0F9E" w:rsidRPr="00D579E6" w:rsidRDefault="004C0F9E" w:rsidP="004C0F9E">
            <w:r w:rsidRPr="00D579E6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FACBB5F" w14:textId="3121213D" w:rsidR="004C0F9E" w:rsidRPr="00D579E6" w:rsidRDefault="004C0F9E" w:rsidP="004C0F9E">
            <w:r w:rsidRPr="00D579E6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bottom w:val="single" w:sz="12" w:space="0" w:color="EE0000"/>
            </w:tcBorders>
            <w:vAlign w:val="center"/>
            <w:hideMark/>
          </w:tcPr>
          <w:p w14:paraId="709CE940" w14:textId="77777777" w:rsidR="004C0F9E" w:rsidRPr="00D579E6" w:rsidRDefault="004C0F9E" w:rsidP="004C0F9E">
            <w:r w:rsidRPr="00D579E6">
              <w:rPr>
                <w:b/>
                <w:bCs/>
              </w:rPr>
              <w:t>Key Pressure Points &amp; Actions (Defense)</w:t>
            </w:r>
          </w:p>
        </w:tc>
        <w:tc>
          <w:tcPr>
            <w:tcW w:w="0" w:type="auto"/>
            <w:vAlign w:val="center"/>
            <w:hideMark/>
          </w:tcPr>
          <w:p w14:paraId="4EAD2FDD" w14:textId="77777777" w:rsidR="004C0F9E" w:rsidRPr="00D579E6" w:rsidRDefault="004C0F9E" w:rsidP="004C0F9E">
            <w:r w:rsidRPr="00D579E6">
              <w:rPr>
                <w:b/>
                <w:bCs/>
              </w:rPr>
              <w:t>Anticipated Prosecution Move</w:t>
            </w:r>
          </w:p>
        </w:tc>
      </w:tr>
      <w:tr w:rsidR="004C0F9E" w:rsidRPr="00D579E6" w14:paraId="7A5AD0D3" w14:textId="77777777" w:rsidTr="004C0F9E">
        <w:trPr>
          <w:trHeight w:val="1605"/>
          <w:tblCellSpacing w:w="15" w:type="dxa"/>
        </w:trPr>
        <w:tc>
          <w:tcPr>
            <w:tcW w:w="0" w:type="auto"/>
            <w:tcBorders>
              <w:top w:val="single" w:sz="12" w:space="0" w:color="EE0000"/>
              <w:left w:val="single" w:sz="12" w:space="0" w:color="EE0000"/>
              <w:bottom w:val="single" w:sz="12" w:space="0" w:color="EE0000"/>
              <w:right w:val="single" w:sz="12" w:space="0" w:color="EE0000"/>
            </w:tcBorders>
            <w:vAlign w:val="center"/>
            <w:hideMark/>
          </w:tcPr>
          <w:p w14:paraId="01D40A32" w14:textId="77777777" w:rsidR="004C0F9E" w:rsidRPr="00D579E6" w:rsidRDefault="004C0F9E" w:rsidP="004C0F9E">
            <w:r w:rsidRPr="00D579E6">
              <w:rPr>
                <w:b/>
                <w:bCs/>
              </w:rPr>
              <w:t>Phase 1: Pre-Trial Hearing (Aug 18)</w:t>
            </w:r>
          </w:p>
        </w:tc>
        <w:tc>
          <w:tcPr>
            <w:tcW w:w="0" w:type="auto"/>
            <w:vAlign w:val="center"/>
            <w:hideMark/>
          </w:tcPr>
          <w:p w14:paraId="3E97D1B1" w14:textId="5D51BE58" w:rsidR="004C0F9E" w:rsidRPr="00D579E6" w:rsidRDefault="004C0F9E" w:rsidP="004C0F9E">
            <w:r w:rsidRPr="00D579E6">
              <w:rPr>
                <w:b/>
                <w:bCs/>
              </w:rPr>
              <w:t>Phase 1: Pre-Trial Hearing (Aug 18)</w:t>
            </w:r>
          </w:p>
        </w:tc>
        <w:tc>
          <w:tcPr>
            <w:tcW w:w="0" w:type="auto"/>
            <w:tcBorders>
              <w:bottom w:val="single" w:sz="12" w:space="0" w:color="EE0000"/>
            </w:tcBorders>
            <w:vAlign w:val="center"/>
            <w:hideMark/>
          </w:tcPr>
          <w:p w14:paraId="61544F9D" w14:textId="43600542" w:rsidR="004C0F9E" w:rsidRPr="00D579E6" w:rsidRDefault="004C0F9E" w:rsidP="004C0F9E">
            <w:r w:rsidRPr="00D579E6">
              <w:t xml:space="preserve">1. </w:t>
            </w:r>
            <w:r w:rsidRPr="00D579E6">
              <w:rPr>
                <w:b/>
                <w:bCs/>
              </w:rPr>
              <w:t>Win MIL #</w:t>
            </w:r>
            <w:r w:rsidRPr="00D579E6">
              <w:t>Exclude prior "reckless driving" conviction. (404b/403</w:t>
            </w:r>
            <w:proofErr w:type="gramStart"/>
            <w:r w:rsidRPr="00D579E6">
              <w:t>).&lt;</w:t>
            </w:r>
            <w:proofErr w:type="spellStart"/>
            <w:proofErr w:type="gramEnd"/>
            <w:r w:rsidRPr="00D579E6">
              <w:t>br</w:t>
            </w:r>
            <w:proofErr w:type="spellEnd"/>
            <w:r w:rsidRPr="00D579E6">
              <w:t xml:space="preserve">&gt;2. </w:t>
            </w:r>
            <w:r w:rsidRPr="00D579E6">
              <w:rPr>
                <w:b/>
                <w:bCs/>
              </w:rPr>
              <w:t>Win MIL #2:</w:t>
            </w:r>
            <w:r w:rsidRPr="00D579E6">
              <w:t xml:space="preserve"> Exclude Intoxilyzer result. (Procedural failure, lack of foundation</w:t>
            </w:r>
            <w:proofErr w:type="gramStart"/>
            <w:r w:rsidRPr="00D579E6">
              <w:t>).&lt;</w:t>
            </w:r>
            <w:proofErr w:type="spellStart"/>
            <w:proofErr w:type="gramEnd"/>
            <w:r w:rsidRPr="00D579E6">
              <w:t>br</w:t>
            </w:r>
            <w:proofErr w:type="spellEnd"/>
            <w:r w:rsidRPr="00D579E6">
              <w:t xml:space="preserve">&gt;3. </w:t>
            </w:r>
            <w:r w:rsidRPr="00D579E6">
              <w:rPr>
                <w:b/>
                <w:bCs/>
              </w:rPr>
              <w:t>Win MIL #3:</w:t>
            </w:r>
            <w:r w:rsidRPr="00D579E6">
              <w:t xml:space="preserve"> Exclude all pre-Miranda statements. (Custodial interrogation).</w:t>
            </w:r>
          </w:p>
        </w:tc>
        <w:tc>
          <w:tcPr>
            <w:tcW w:w="0" w:type="auto"/>
            <w:vAlign w:val="center"/>
            <w:hideMark/>
          </w:tcPr>
          <w:p w14:paraId="7A7F227B" w14:textId="77777777" w:rsidR="004C0F9E" w:rsidRPr="00D579E6" w:rsidRDefault="004C0F9E" w:rsidP="004C0F9E">
            <w:r w:rsidRPr="00D579E6">
              <w:t>Argue prior is for sentence enhancement; Argue Intoxilyzer goes to "weight, not admissibility"; Argue statements were pre-custodial.</w:t>
            </w:r>
          </w:p>
        </w:tc>
      </w:tr>
      <w:tr w:rsidR="004C0F9E" w:rsidRPr="00D579E6" w14:paraId="007D7ED1" w14:textId="77777777" w:rsidTr="004C0F9E">
        <w:trPr>
          <w:trHeight w:val="1591"/>
          <w:tblCellSpacing w:w="15" w:type="dxa"/>
        </w:trPr>
        <w:tc>
          <w:tcPr>
            <w:tcW w:w="0" w:type="auto"/>
            <w:tcBorders>
              <w:top w:val="single" w:sz="12" w:space="0" w:color="EE0000"/>
              <w:left w:val="single" w:sz="12" w:space="0" w:color="EE0000"/>
              <w:bottom w:val="single" w:sz="12" w:space="0" w:color="EE0000"/>
              <w:right w:val="single" w:sz="12" w:space="0" w:color="EE0000"/>
            </w:tcBorders>
            <w:vAlign w:val="center"/>
            <w:hideMark/>
          </w:tcPr>
          <w:p w14:paraId="090A3082" w14:textId="77777777" w:rsidR="004C0F9E" w:rsidRPr="00D579E6" w:rsidRDefault="004C0F9E" w:rsidP="004C0F9E">
            <w:r w:rsidRPr="00D579E6">
              <w:rPr>
                <w:b/>
                <w:bCs/>
              </w:rPr>
              <w:t>Phase 2: Trial - State's Case</w:t>
            </w:r>
          </w:p>
        </w:tc>
        <w:tc>
          <w:tcPr>
            <w:tcW w:w="0" w:type="auto"/>
            <w:vAlign w:val="center"/>
            <w:hideMark/>
          </w:tcPr>
          <w:p w14:paraId="66F39675" w14:textId="31BBC640" w:rsidR="004C0F9E" w:rsidRPr="00D579E6" w:rsidRDefault="004C0F9E" w:rsidP="004C0F9E">
            <w:r w:rsidRPr="00D579E6">
              <w:rPr>
                <w:b/>
                <w:bCs/>
              </w:rPr>
              <w:t>Phase 2: Trial - State's Case</w:t>
            </w:r>
          </w:p>
        </w:tc>
        <w:tc>
          <w:tcPr>
            <w:tcW w:w="0" w:type="auto"/>
            <w:tcBorders>
              <w:bottom w:val="single" w:sz="12" w:space="0" w:color="EE0000"/>
            </w:tcBorders>
            <w:vAlign w:val="center"/>
            <w:hideMark/>
          </w:tcPr>
          <w:p w14:paraId="29DFFF4A" w14:textId="25CB0083" w:rsidR="004C0F9E" w:rsidRPr="00D579E6" w:rsidRDefault="004C0F9E" w:rsidP="004C0F9E">
            <w:r w:rsidRPr="00D579E6">
              <w:t xml:space="preserve">1. </w:t>
            </w:r>
            <w:proofErr w:type="spellStart"/>
            <w:r w:rsidRPr="00D579E6">
              <w:rPr>
                <w:b/>
                <w:bCs/>
              </w:rPr>
              <w:t>Voir</w:t>
            </w:r>
            <w:proofErr w:type="spellEnd"/>
            <w:r w:rsidRPr="00D579E6">
              <w:rPr>
                <w:b/>
                <w:bCs/>
              </w:rPr>
              <w:t xml:space="preserve"> Dire:</w:t>
            </w:r>
            <w:r w:rsidRPr="00D579E6">
              <w:t xml:space="preserve"> Seed themes of police fallibility, bias, and the burden of proof.</w:t>
            </w:r>
            <w:r>
              <w:t xml:space="preserve"> </w:t>
            </w:r>
            <w:r w:rsidRPr="00D579E6">
              <w:t xml:space="preserve">2. </w:t>
            </w:r>
            <w:r w:rsidRPr="00D579E6">
              <w:rPr>
                <w:b/>
                <w:bCs/>
              </w:rPr>
              <w:t>Opening:</w:t>
            </w:r>
            <w:r w:rsidRPr="00D579E6">
              <w:t xml:space="preserve"> Tell our story: "This isn't about a DUI; it's about a traffic stop that should never have happened." </w:t>
            </w:r>
            <w:r w:rsidRPr="00D579E6">
              <w:rPr>
                <w:b/>
                <w:bCs/>
              </w:rPr>
              <w:t>Cross-Examination:</w:t>
            </w:r>
            <w:r w:rsidRPr="00D579E6">
              <w:t xml:space="preserve"> Execute the surgical cross I've outlined below. Destroy his credibility on the stop, the FSTs, and the breath test.</w:t>
            </w:r>
          </w:p>
        </w:tc>
        <w:tc>
          <w:tcPr>
            <w:tcW w:w="0" w:type="auto"/>
            <w:vAlign w:val="center"/>
            <w:hideMark/>
          </w:tcPr>
          <w:p w14:paraId="11518C3B" w14:textId="77777777" w:rsidR="004C0F9E" w:rsidRPr="00D579E6" w:rsidRDefault="004C0F9E" w:rsidP="004C0F9E">
            <w:r w:rsidRPr="00D579E6">
              <w:t>Present Ernstsen as a decorated, experienced DUI expert. Present the Intoxilyzer as infallible science. Paint Golub as a typical drunk driver.</w:t>
            </w:r>
          </w:p>
        </w:tc>
      </w:tr>
      <w:tr w:rsidR="004C0F9E" w:rsidRPr="00D579E6" w14:paraId="1633C54C" w14:textId="77777777" w:rsidTr="004C0F9E">
        <w:trPr>
          <w:trHeight w:val="2245"/>
          <w:tblCellSpacing w:w="15" w:type="dxa"/>
        </w:trPr>
        <w:tc>
          <w:tcPr>
            <w:tcW w:w="0" w:type="auto"/>
            <w:tcBorders>
              <w:top w:val="single" w:sz="12" w:space="0" w:color="EE0000"/>
              <w:left w:val="single" w:sz="12" w:space="0" w:color="EE0000"/>
              <w:bottom w:val="single" w:sz="12" w:space="0" w:color="EE0000"/>
              <w:right w:val="single" w:sz="12" w:space="0" w:color="EE0000"/>
            </w:tcBorders>
            <w:vAlign w:val="center"/>
            <w:hideMark/>
          </w:tcPr>
          <w:p w14:paraId="6976C10F" w14:textId="77777777" w:rsidR="004C0F9E" w:rsidRPr="00D579E6" w:rsidRDefault="004C0F9E" w:rsidP="004C0F9E">
            <w:r w:rsidRPr="00D579E6">
              <w:rPr>
                <w:b/>
                <w:bCs/>
              </w:rPr>
              <w:t>Phase 3: Trial - Defense Case</w:t>
            </w:r>
          </w:p>
        </w:tc>
        <w:tc>
          <w:tcPr>
            <w:tcW w:w="0" w:type="auto"/>
            <w:vAlign w:val="center"/>
            <w:hideMark/>
          </w:tcPr>
          <w:p w14:paraId="0BD951F1" w14:textId="2E7D0852" w:rsidR="004C0F9E" w:rsidRPr="00D579E6" w:rsidRDefault="004C0F9E" w:rsidP="004C0F9E">
            <w:r w:rsidRPr="00D579E6">
              <w:rPr>
                <w:b/>
                <w:bCs/>
              </w:rPr>
              <w:t>Phase 3: Trial - Defense Case</w:t>
            </w:r>
          </w:p>
        </w:tc>
        <w:tc>
          <w:tcPr>
            <w:tcW w:w="0" w:type="auto"/>
            <w:vAlign w:val="center"/>
            <w:hideMark/>
          </w:tcPr>
          <w:p w14:paraId="2B29424D" w14:textId="78581C54" w:rsidR="004C0F9E" w:rsidRDefault="004C0F9E" w:rsidP="004C0F9E">
            <w:r w:rsidRPr="00D579E6">
              <w:t xml:space="preserve">1. </w:t>
            </w:r>
            <w:r w:rsidRPr="00D579E6">
              <w:rPr>
                <w:b/>
                <w:bCs/>
              </w:rPr>
              <w:t>Defense Witnesses:</w:t>
            </w:r>
            <w:r w:rsidRPr="00D579E6">
              <w:t xml:space="preserve"> Call the second officer (if he contradicts Ernstsen). Consider an expert on Intoxilyzer 8000s or FSTs</w:t>
            </w:r>
            <w:r>
              <w:t xml:space="preserve">. </w:t>
            </w:r>
            <w:r w:rsidRPr="00D579E6">
              <w:t xml:space="preserve">2. </w:t>
            </w:r>
            <w:r w:rsidRPr="00D579E6">
              <w:rPr>
                <w:b/>
                <w:bCs/>
              </w:rPr>
              <w:t>Jury Instructions:</w:t>
            </w:r>
            <w:r w:rsidRPr="00D579E6">
              <w:t xml:space="preserve"> Fight for our instructions. Ensure the jury's legal framework favors critical analysis of the State's evidence.</w:t>
            </w:r>
            <w:r w:rsidR="00706B33">
              <w:t>x1</w:t>
            </w:r>
            <w:r w:rsidRPr="00D579E6">
              <w:t xml:space="preserve"> </w:t>
            </w:r>
            <w:r w:rsidRPr="00D579E6">
              <w:rPr>
                <w:b/>
                <w:bCs/>
              </w:rPr>
              <w:t>Closing:</w:t>
            </w:r>
            <w:r w:rsidRPr="00D579E6">
              <w:t xml:space="preserve"> Weave the threads together: the illegal stop, the botched tests, the junk science, the officer's incredible statistics. This is not just doubt; it's a certainty that the State failed to do its job.</w:t>
            </w:r>
          </w:p>
          <w:p w14:paraId="68E13CD7" w14:textId="77777777" w:rsidR="004C0F9E" w:rsidRPr="00D579E6" w:rsidRDefault="004C0F9E" w:rsidP="004C0F9E"/>
        </w:tc>
        <w:tc>
          <w:tcPr>
            <w:tcW w:w="0" w:type="auto"/>
            <w:vAlign w:val="center"/>
            <w:hideMark/>
          </w:tcPr>
          <w:p w14:paraId="23E7FF24" w14:textId="77777777" w:rsidR="004C0F9E" w:rsidRPr="00D579E6" w:rsidRDefault="004C0F9E" w:rsidP="004C0F9E">
            <w:r w:rsidRPr="00D579E6">
              <w:t>Object to our jury instructions. Double down on Ernstsen's "experience" and the "certainty" of the breath test in closing.</w:t>
            </w:r>
          </w:p>
        </w:tc>
      </w:tr>
    </w:tbl>
    <w:p w14:paraId="5D6FC4E3" w14:textId="77777777" w:rsidR="002C4B8B" w:rsidRDefault="002C4B8B"/>
    <w:sectPr w:rsidR="002C4B8B" w:rsidSect="004C0F9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F9E"/>
    <w:rsid w:val="00290199"/>
    <w:rsid w:val="002C4B8B"/>
    <w:rsid w:val="004C0F9E"/>
    <w:rsid w:val="00706B33"/>
    <w:rsid w:val="009A00F1"/>
    <w:rsid w:val="00A20A5C"/>
    <w:rsid w:val="00B60438"/>
    <w:rsid w:val="00DA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81D0B"/>
  <w15:chartTrackingRefBased/>
  <w15:docId w15:val="{42A9C822-4F63-4A7B-ACE9-8582B37F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F9E"/>
  </w:style>
  <w:style w:type="paragraph" w:styleId="Heading1">
    <w:name w:val="heading 1"/>
    <w:basedOn w:val="Normal"/>
    <w:next w:val="Normal"/>
    <w:link w:val="Heading1Char"/>
    <w:uiPriority w:val="9"/>
    <w:qFormat/>
    <w:rsid w:val="004C0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F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F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F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F9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F9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F9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F9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F9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F9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F9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F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F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F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F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F9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F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F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1</cp:revision>
  <dcterms:created xsi:type="dcterms:W3CDTF">2025-08-18T16:34:00Z</dcterms:created>
  <dcterms:modified xsi:type="dcterms:W3CDTF">2025-08-22T14:08:00Z</dcterms:modified>
</cp:coreProperties>
</file>