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0F14" w14:textId="77777777" w:rsidR="003A63FA" w:rsidRPr="009E67CC" w:rsidRDefault="003A63FA" w:rsidP="003A63FA">
      <w:pPr>
        <w:pStyle w:val="NoSpacing"/>
        <w:rPr>
          <w:b/>
          <w:bCs/>
          <w:caps/>
        </w:rPr>
      </w:pPr>
      <w:r w:rsidRPr="00E63E46">
        <w:rPr>
          <w:b/>
          <w:bCs/>
        </w:rPr>
        <w:t>Side-By-Side Comparison</w:t>
      </w:r>
    </w:p>
    <w:p w14:paraId="5D615B3D" w14:textId="77777777" w:rsidR="003A63FA" w:rsidRDefault="003A63FA" w:rsidP="003A63FA">
      <w:pPr>
        <w:pStyle w:val="NoSpacing"/>
        <w:rPr>
          <w:b/>
          <w:bCs/>
        </w:rPr>
      </w:pPr>
      <w:r>
        <w:rPr>
          <w:b/>
          <w:bCs/>
        </w:rPr>
        <w:t xml:space="preserve">State v. Golub </w:t>
      </w:r>
    </w:p>
    <w:p w14:paraId="7AF61F5A" w14:textId="77777777" w:rsidR="003A63FA" w:rsidRDefault="003A63FA" w:rsidP="003A63FA">
      <w:pPr>
        <w:pStyle w:val="NoSpacing"/>
        <w:rPr>
          <w:b/>
          <w:bCs/>
        </w:rPr>
      </w:pPr>
      <w:r>
        <w:rPr>
          <w:b/>
          <w:bCs/>
        </w:rPr>
        <w:t xml:space="preserve">Peter Golub, pro se </w:t>
      </w:r>
    </w:p>
    <w:p w14:paraId="4F1DCAFD" w14:textId="77777777" w:rsidR="003A63FA" w:rsidRPr="00E63E46" w:rsidRDefault="003A63FA" w:rsidP="003A63FA">
      <w:pPr>
        <w:pStyle w:val="NoSpacing"/>
        <w:rPr>
          <w:b/>
          <w:bCs/>
        </w:rPr>
      </w:pPr>
      <w:r>
        <w:rPr>
          <w:b/>
          <w:bCs/>
        </w:rPr>
        <w:t>January 6, 2026</w:t>
      </w:r>
    </w:p>
    <w:p w14:paraId="45011929" w14:textId="77777777" w:rsidR="003A63FA" w:rsidRPr="00E63E46" w:rsidRDefault="003A63FA" w:rsidP="003A63FA">
      <w:pPr>
        <w:pStyle w:val="NoSpacing"/>
      </w:pPr>
    </w:p>
    <w:p w14:paraId="562F1E26" w14:textId="77777777" w:rsidR="003A63FA" w:rsidRDefault="003A63FA" w:rsidP="003A63FA">
      <w:pPr>
        <w:pStyle w:val="NoSpacing"/>
        <w:rPr>
          <w:b/>
          <w:bCs/>
        </w:rPr>
      </w:pPr>
      <w:r w:rsidRPr="00E63E46">
        <w:rPr>
          <w:b/>
          <w:bCs/>
        </w:rPr>
        <w:t>STATE'S PROPOSED INSTRUCTION vs. DEFENSE'S PROPOSED ALTERNATIVE</w:t>
      </w:r>
    </w:p>
    <w:p w14:paraId="68A472FE" w14:textId="77777777" w:rsidR="003A63FA" w:rsidRPr="00E63E46" w:rsidRDefault="003A63FA" w:rsidP="003A63FA">
      <w:pPr>
        <w:pStyle w:val="NoSpacing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743"/>
        <w:gridCol w:w="1893"/>
        <w:gridCol w:w="3246"/>
      </w:tblGrid>
      <w:tr w:rsidR="003A63FA" w:rsidRPr="00E63E46" w14:paraId="3B650B26" w14:textId="77777777" w:rsidTr="00CF3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C564A" w14:textId="77777777" w:rsidR="003A63FA" w:rsidRPr="00E63E46" w:rsidRDefault="003A63FA" w:rsidP="00CF359E">
            <w:pPr>
              <w:pStyle w:val="NoSpacing"/>
              <w:rPr>
                <w:b/>
                <w:bCs/>
              </w:rPr>
            </w:pPr>
            <w:r w:rsidRPr="00E63E4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AE70A75" w14:textId="77777777" w:rsidR="003A63FA" w:rsidRPr="00E63E46" w:rsidRDefault="003A63FA" w:rsidP="00CF359E">
            <w:pPr>
              <w:pStyle w:val="NoSpacing"/>
              <w:rPr>
                <w:b/>
                <w:bCs/>
              </w:rPr>
            </w:pPr>
            <w:r w:rsidRPr="00E63E46">
              <w:rPr>
                <w:b/>
                <w:bCs/>
              </w:rPr>
              <w:t>State's Language</w:t>
            </w:r>
          </w:p>
        </w:tc>
        <w:tc>
          <w:tcPr>
            <w:tcW w:w="0" w:type="auto"/>
            <w:vAlign w:val="center"/>
            <w:hideMark/>
          </w:tcPr>
          <w:p w14:paraId="7C88FF78" w14:textId="77777777" w:rsidR="003A63FA" w:rsidRPr="00E63E46" w:rsidRDefault="003A63FA" w:rsidP="00CF359E">
            <w:pPr>
              <w:pStyle w:val="NoSpacing"/>
              <w:rPr>
                <w:b/>
                <w:bCs/>
              </w:rPr>
            </w:pPr>
            <w:r w:rsidRPr="00E63E4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EBD9E0C" w14:textId="77777777" w:rsidR="003A63FA" w:rsidRPr="00E63E46" w:rsidRDefault="003A63FA" w:rsidP="00CF359E">
            <w:pPr>
              <w:pStyle w:val="NoSpacing"/>
              <w:rPr>
                <w:b/>
                <w:bCs/>
              </w:rPr>
            </w:pPr>
            <w:r w:rsidRPr="00E63E46">
              <w:rPr>
                <w:b/>
                <w:bCs/>
              </w:rPr>
              <w:t>Defense's Alternative</w:t>
            </w:r>
          </w:p>
        </w:tc>
      </w:tr>
      <w:tr w:rsidR="003A63FA" w:rsidRPr="00E63E46" w14:paraId="56F00B87" w14:textId="77777777" w:rsidTr="00CF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9403" w14:textId="77777777" w:rsidR="003A63FA" w:rsidRPr="00E63E46" w:rsidRDefault="003A63FA" w:rsidP="00CF359E">
            <w:pPr>
              <w:pStyle w:val="NoSpacing"/>
            </w:pPr>
            <w:r w:rsidRPr="00E63E46">
              <w:rPr>
                <w:b/>
                <w:bCs/>
              </w:rPr>
              <w:t>Intoxilyzer Reliability</w:t>
            </w:r>
          </w:p>
        </w:tc>
        <w:tc>
          <w:tcPr>
            <w:tcW w:w="0" w:type="auto"/>
            <w:vAlign w:val="center"/>
            <w:hideMark/>
          </w:tcPr>
          <w:p w14:paraId="235FFD73" w14:textId="77777777" w:rsidR="003A63FA" w:rsidRPr="00E63E46" w:rsidRDefault="003A63FA" w:rsidP="00CF359E">
            <w:pPr>
              <w:pStyle w:val="NoSpacing"/>
            </w:pPr>
            <w:r w:rsidRPr="00E63E46">
              <w:t>"The Court has made affirmative findings concerning the Intoxilyzer machine"</w:t>
            </w:r>
          </w:p>
        </w:tc>
        <w:tc>
          <w:tcPr>
            <w:tcW w:w="0" w:type="auto"/>
            <w:vAlign w:val="center"/>
            <w:hideMark/>
          </w:tcPr>
          <w:p w14:paraId="348AEDC2" w14:textId="77777777" w:rsidR="003A63FA" w:rsidRPr="00E63E46" w:rsidRDefault="003A63FA" w:rsidP="00CF359E">
            <w:pPr>
              <w:pStyle w:val="NoSpacing"/>
            </w:pPr>
            <w:r w:rsidRPr="00E63E46">
              <w:t>Judicial comment; invades jury's role</w:t>
            </w:r>
          </w:p>
        </w:tc>
        <w:tc>
          <w:tcPr>
            <w:tcW w:w="0" w:type="auto"/>
            <w:vAlign w:val="center"/>
            <w:hideMark/>
          </w:tcPr>
          <w:p w14:paraId="50D0022B" w14:textId="77777777" w:rsidR="003A63FA" w:rsidRPr="00E63E46" w:rsidRDefault="003A63FA" w:rsidP="00CF359E">
            <w:pPr>
              <w:pStyle w:val="NoSpacing"/>
            </w:pPr>
            <w:r w:rsidRPr="00E63E46">
              <w:t>"The jury shall determine from the evidence whether the device was functioning properly"</w:t>
            </w:r>
          </w:p>
        </w:tc>
      </w:tr>
      <w:tr w:rsidR="003A63FA" w:rsidRPr="00E63E46" w14:paraId="3222D6AB" w14:textId="77777777" w:rsidTr="00CF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2710" w14:textId="77777777" w:rsidR="003A63FA" w:rsidRPr="00E63E46" w:rsidRDefault="003A63FA" w:rsidP="00CF359E">
            <w:pPr>
              <w:pStyle w:val="NoSpacing"/>
            </w:pPr>
            <w:r w:rsidRPr="00E63E46">
              <w:rPr>
                <w:b/>
                <w:bCs/>
              </w:rPr>
              <w:t>Conviction Language</w:t>
            </w:r>
          </w:p>
        </w:tc>
        <w:tc>
          <w:tcPr>
            <w:tcW w:w="0" w:type="auto"/>
            <w:vAlign w:val="center"/>
            <w:hideMark/>
          </w:tcPr>
          <w:p w14:paraId="11A275AB" w14:textId="77777777" w:rsidR="003A63FA" w:rsidRPr="00E63E46" w:rsidRDefault="003A63FA" w:rsidP="00CF359E">
            <w:pPr>
              <w:pStyle w:val="NoSpacing"/>
            </w:pPr>
            <w:r w:rsidRPr="00E63E46">
              <w:t>"</w:t>
            </w:r>
            <w:proofErr w:type="gramStart"/>
            <w:r w:rsidRPr="00E63E46">
              <w:t>it</w:t>
            </w:r>
            <w:proofErr w:type="gramEnd"/>
            <w:r w:rsidRPr="00E63E46">
              <w:t xml:space="preserve"> is your duty to find the defendant GUILTY"</w:t>
            </w:r>
          </w:p>
        </w:tc>
        <w:tc>
          <w:tcPr>
            <w:tcW w:w="0" w:type="auto"/>
            <w:vAlign w:val="center"/>
            <w:hideMark/>
          </w:tcPr>
          <w:p w14:paraId="2088E755" w14:textId="77777777" w:rsidR="003A63FA" w:rsidRPr="00E63E46" w:rsidRDefault="003A63FA" w:rsidP="00CF359E">
            <w:pPr>
              <w:pStyle w:val="NoSpacing"/>
            </w:pPr>
            <w:r w:rsidRPr="00E63E46">
              <w:t>Coercive; misstates jury duty</w:t>
            </w:r>
          </w:p>
        </w:tc>
        <w:tc>
          <w:tcPr>
            <w:tcW w:w="0" w:type="auto"/>
            <w:vAlign w:val="center"/>
            <w:hideMark/>
          </w:tcPr>
          <w:p w14:paraId="3F1F62EC" w14:textId="77777777" w:rsidR="003A63FA" w:rsidRPr="00E63E46" w:rsidRDefault="003A63FA" w:rsidP="00CF359E">
            <w:pPr>
              <w:pStyle w:val="NoSpacing"/>
            </w:pPr>
            <w:r w:rsidRPr="00E63E46">
              <w:t>"</w:t>
            </w:r>
            <w:proofErr w:type="gramStart"/>
            <w:r w:rsidRPr="00E63E46">
              <w:t>you</w:t>
            </w:r>
            <w:proofErr w:type="gramEnd"/>
            <w:r w:rsidRPr="00E63E46">
              <w:t xml:space="preserve"> may find the defendant guilty"</w:t>
            </w:r>
          </w:p>
        </w:tc>
      </w:tr>
      <w:tr w:rsidR="003A63FA" w:rsidRPr="00E63E46" w14:paraId="47DCFD7E" w14:textId="77777777" w:rsidTr="00CF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3D47" w14:textId="77777777" w:rsidR="003A63FA" w:rsidRPr="00E63E46" w:rsidRDefault="003A63FA" w:rsidP="00CF359E">
            <w:pPr>
              <w:pStyle w:val="NoSpacing"/>
            </w:pPr>
            <w:r w:rsidRPr="00E63E46">
              <w:rPr>
                <w:b/>
                <w:bCs/>
              </w:rPr>
              <w:t>Officer Credibility</w:t>
            </w:r>
          </w:p>
        </w:tc>
        <w:tc>
          <w:tcPr>
            <w:tcW w:w="0" w:type="auto"/>
            <w:vAlign w:val="center"/>
            <w:hideMark/>
          </w:tcPr>
          <w:p w14:paraId="6E45C0DB" w14:textId="77777777" w:rsidR="003A63FA" w:rsidRPr="00E63E46" w:rsidRDefault="003A63FA" w:rsidP="00CF359E">
            <w:pPr>
              <w:pStyle w:val="NoSpacing"/>
            </w:pPr>
            <w:r w:rsidRPr="00E63E46">
              <w:t>No instruction</w:t>
            </w:r>
          </w:p>
        </w:tc>
        <w:tc>
          <w:tcPr>
            <w:tcW w:w="0" w:type="auto"/>
            <w:vAlign w:val="center"/>
            <w:hideMark/>
          </w:tcPr>
          <w:p w14:paraId="05047957" w14:textId="77777777" w:rsidR="003A63FA" w:rsidRPr="00E63E46" w:rsidRDefault="003A63FA" w:rsidP="00CF359E">
            <w:pPr>
              <w:pStyle w:val="NoSpacing"/>
            </w:pPr>
            <w:r w:rsidRPr="00E63E46">
              <w:t>Fails to address 24x arrest rate</w:t>
            </w:r>
          </w:p>
        </w:tc>
        <w:tc>
          <w:tcPr>
            <w:tcW w:w="0" w:type="auto"/>
            <w:vAlign w:val="center"/>
            <w:hideMark/>
          </w:tcPr>
          <w:p w14:paraId="17AFA1C0" w14:textId="77777777" w:rsidR="003A63FA" w:rsidRPr="00E63E46" w:rsidRDefault="003A63FA" w:rsidP="00CF359E">
            <w:pPr>
              <w:pStyle w:val="NoSpacing"/>
            </w:pPr>
            <w:r w:rsidRPr="00E63E46">
              <w:t>Defense Instruction #6 (Confirmation Bias)</w:t>
            </w:r>
          </w:p>
        </w:tc>
      </w:tr>
      <w:tr w:rsidR="003A63FA" w:rsidRPr="00E63E46" w14:paraId="2DE9DAA0" w14:textId="77777777" w:rsidTr="00CF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B434" w14:textId="77777777" w:rsidR="003A63FA" w:rsidRPr="00E63E46" w:rsidRDefault="003A63FA" w:rsidP="00CF359E">
            <w:pPr>
              <w:pStyle w:val="NoSpacing"/>
            </w:pPr>
            <w:r w:rsidRPr="00E63E46">
              <w:rPr>
                <w:b/>
                <w:bCs/>
              </w:rPr>
              <w:t>Scientific Standards</w:t>
            </w:r>
          </w:p>
        </w:tc>
        <w:tc>
          <w:tcPr>
            <w:tcW w:w="0" w:type="auto"/>
            <w:vAlign w:val="center"/>
            <w:hideMark/>
          </w:tcPr>
          <w:p w14:paraId="040ED1D0" w14:textId="77777777" w:rsidR="003A63FA" w:rsidRPr="00E63E46" w:rsidRDefault="003A63FA" w:rsidP="00CF359E">
            <w:pPr>
              <w:pStyle w:val="NoSpacing"/>
            </w:pPr>
            <w:r w:rsidRPr="00E63E46">
              <w:t>No instruction</w:t>
            </w:r>
          </w:p>
        </w:tc>
        <w:tc>
          <w:tcPr>
            <w:tcW w:w="0" w:type="auto"/>
            <w:vAlign w:val="center"/>
            <w:hideMark/>
          </w:tcPr>
          <w:p w14:paraId="4793BE67" w14:textId="77777777" w:rsidR="003A63FA" w:rsidRPr="00E63E46" w:rsidRDefault="003A63FA" w:rsidP="00CF359E">
            <w:pPr>
              <w:pStyle w:val="NoSpacing"/>
            </w:pPr>
            <w:r w:rsidRPr="00E63E46">
              <w:t>Jury has no yardstick for 144-second deviation</w:t>
            </w:r>
          </w:p>
        </w:tc>
        <w:tc>
          <w:tcPr>
            <w:tcW w:w="0" w:type="auto"/>
            <w:vAlign w:val="center"/>
            <w:hideMark/>
          </w:tcPr>
          <w:p w14:paraId="09FC44D8" w14:textId="77777777" w:rsidR="003A63FA" w:rsidRPr="00E63E46" w:rsidRDefault="003A63FA" w:rsidP="00CF359E">
            <w:pPr>
              <w:pStyle w:val="NoSpacing"/>
            </w:pPr>
            <w:r w:rsidRPr="00E63E46">
              <w:t>Defense Instructions #7-8 (FST/Breath Test Protocols)</w:t>
            </w:r>
          </w:p>
        </w:tc>
      </w:tr>
      <w:tr w:rsidR="003A63FA" w:rsidRPr="00E63E46" w14:paraId="05287A1E" w14:textId="77777777" w:rsidTr="00CF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02E3" w14:textId="77777777" w:rsidR="003A63FA" w:rsidRPr="00E63E46" w:rsidRDefault="003A63FA" w:rsidP="00CF359E">
            <w:pPr>
              <w:pStyle w:val="NoSpacing"/>
            </w:pPr>
            <w:r w:rsidRPr="00E63E46">
              <w:rPr>
                <w:b/>
                <w:bCs/>
              </w:rPr>
              <w:t>Stop Validity</w:t>
            </w:r>
          </w:p>
        </w:tc>
        <w:tc>
          <w:tcPr>
            <w:tcW w:w="0" w:type="auto"/>
            <w:vAlign w:val="center"/>
            <w:hideMark/>
          </w:tcPr>
          <w:p w14:paraId="46FCCBB4" w14:textId="77777777" w:rsidR="003A63FA" w:rsidRPr="00E63E46" w:rsidRDefault="003A63FA" w:rsidP="00CF359E">
            <w:pPr>
              <w:pStyle w:val="NoSpacing"/>
            </w:pPr>
            <w:r w:rsidRPr="00E63E46">
              <w:t>No instruction</w:t>
            </w:r>
          </w:p>
        </w:tc>
        <w:tc>
          <w:tcPr>
            <w:tcW w:w="0" w:type="auto"/>
            <w:vAlign w:val="center"/>
            <w:hideMark/>
          </w:tcPr>
          <w:p w14:paraId="6B1FA15D" w14:textId="77777777" w:rsidR="003A63FA" w:rsidRPr="00E63E46" w:rsidRDefault="003A63FA" w:rsidP="00CF359E">
            <w:pPr>
              <w:pStyle w:val="NoSpacing"/>
            </w:pPr>
            <w:r w:rsidRPr="00E63E46">
              <w:t>Defense's core theory excluded</w:t>
            </w:r>
          </w:p>
        </w:tc>
        <w:tc>
          <w:tcPr>
            <w:tcW w:w="0" w:type="auto"/>
            <w:vAlign w:val="center"/>
            <w:hideMark/>
          </w:tcPr>
          <w:p w14:paraId="377E58FC" w14:textId="77777777" w:rsidR="003A63FA" w:rsidRPr="00E63E46" w:rsidRDefault="003A63FA" w:rsidP="00CF359E">
            <w:pPr>
              <w:pStyle w:val="NoSpacing"/>
            </w:pPr>
            <w:r w:rsidRPr="00E63E46">
              <w:t>Defense Instruction #10 (Initial Stop)</w:t>
            </w:r>
          </w:p>
        </w:tc>
      </w:tr>
    </w:tbl>
    <w:p w14:paraId="7CE177B5" w14:textId="77777777" w:rsidR="00000000" w:rsidRPr="00E63E46" w:rsidRDefault="003A63FA" w:rsidP="003A63FA">
      <w:pPr>
        <w:pStyle w:val="NoSpacing"/>
      </w:pPr>
      <w:r w:rsidRPr="00E63E46">
        <w:pict w14:anchorId="3BCA4EB3">
          <v:rect id="_x0000_i1025" style="width:0;height:1.5pt" o:hralign="center" o:hrstd="t" o:hr="t" fillcolor="#a0a0a0" stroked="f"/>
        </w:pict>
      </w:r>
    </w:p>
    <w:p w14:paraId="70BA5E66" w14:textId="77777777" w:rsidR="003A63FA" w:rsidRDefault="003A63FA" w:rsidP="003A63FA">
      <w:pPr>
        <w:pStyle w:val="NoSpacing"/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2483"/>
        <w:gridCol w:w="4968"/>
      </w:tblGrid>
      <w:tr w:rsidR="003A63FA" w:rsidRPr="009E67CC" w14:paraId="16AA90CA" w14:textId="77777777" w:rsidTr="00CF35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74CD" w14:textId="77777777" w:rsidR="003A63FA" w:rsidRPr="009E67CC" w:rsidRDefault="003A63FA" w:rsidP="00CF359E">
            <w:pPr>
              <w:pStyle w:val="NoSpacing"/>
              <w:rPr>
                <w:b/>
                <w:bCs/>
              </w:rPr>
            </w:pPr>
            <w:r w:rsidRPr="009E67CC">
              <w:rPr>
                <w:b/>
                <w:bCs/>
              </w:rPr>
              <w:t>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BF27" w14:textId="77777777" w:rsidR="003A63FA" w:rsidRPr="009E67CC" w:rsidRDefault="003A63FA" w:rsidP="00CF359E">
            <w:pPr>
              <w:pStyle w:val="NoSpacing"/>
              <w:rPr>
                <w:b/>
                <w:bCs/>
              </w:rPr>
            </w:pPr>
            <w:r w:rsidRPr="009E67CC">
              <w:rPr>
                <w:b/>
                <w:bCs/>
              </w:rPr>
              <w:t>Key 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F1D7A" w14:textId="77777777" w:rsidR="003A63FA" w:rsidRPr="009E67CC" w:rsidRDefault="003A63FA" w:rsidP="00CF359E">
            <w:pPr>
              <w:pStyle w:val="NoSpacing"/>
              <w:rPr>
                <w:b/>
                <w:bCs/>
              </w:rPr>
            </w:pPr>
            <w:r w:rsidRPr="009E67CC">
              <w:rPr>
                <w:b/>
                <w:bCs/>
              </w:rPr>
              <w:t>Defense Argument</w:t>
            </w:r>
          </w:p>
        </w:tc>
      </w:tr>
      <w:tr w:rsidR="003A63FA" w:rsidRPr="009E67CC" w14:paraId="00FF684A" w14:textId="77777777" w:rsidTr="00CF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4317" w14:textId="77777777" w:rsidR="003A63FA" w:rsidRPr="009E67CC" w:rsidRDefault="003A63FA" w:rsidP="00CF359E">
            <w:pPr>
              <w:pStyle w:val="NoSpacing"/>
              <w:rPr>
                <w:b/>
                <w:bCs/>
                <w:i/>
                <w:iCs/>
              </w:rPr>
            </w:pPr>
            <w:r w:rsidRPr="009E67CC">
              <w:rPr>
                <w:b/>
                <w:bCs/>
                <w:i/>
                <w:iCs/>
              </w:rPr>
              <w:t>State v. Perea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79B8E" w14:textId="77777777" w:rsidR="003A63FA" w:rsidRPr="009E67CC" w:rsidRDefault="003A63FA" w:rsidP="00CF359E">
            <w:pPr>
              <w:pStyle w:val="NoSpacing"/>
            </w:pPr>
            <w:r w:rsidRPr="009E67CC">
              <w:t>Confirmation Bias distorts evidence collection.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5408" w14:textId="77777777" w:rsidR="003A63FA" w:rsidRPr="009E67CC" w:rsidRDefault="003A63FA" w:rsidP="00CF359E">
            <w:pPr>
              <w:pStyle w:val="NoSpacing"/>
            </w:pPr>
            <w:r w:rsidRPr="009E67CC">
              <w:t>Officer ignored the impossibility of a 144s blow due to bias toward guilt; "tunnel vision" prevented recognizing machine failure.</w:t>
            </w:r>
          </w:p>
        </w:tc>
      </w:tr>
      <w:tr w:rsidR="003A63FA" w:rsidRPr="009E67CC" w14:paraId="1E8C02D7" w14:textId="77777777" w:rsidTr="00CF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9DE5" w14:textId="77777777" w:rsidR="003A63FA" w:rsidRPr="009E67CC" w:rsidRDefault="003A63FA" w:rsidP="00CF359E">
            <w:pPr>
              <w:pStyle w:val="NoSpacing"/>
              <w:rPr>
                <w:b/>
                <w:bCs/>
              </w:rPr>
            </w:pPr>
            <w:r w:rsidRPr="009E67CC">
              <w:rPr>
                <w:b/>
                <w:bCs/>
              </w:rPr>
              <w:t>Utah Admin. Code R714-500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6512D" w14:textId="77777777" w:rsidR="003A63FA" w:rsidRPr="009E67CC" w:rsidRDefault="003A63FA" w:rsidP="00CF359E">
            <w:pPr>
              <w:pStyle w:val="NoSpacing"/>
            </w:pPr>
            <w:r w:rsidRPr="009E67CC">
              <w:t>Sample must be "Essentially Alveolar."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521BD" w14:textId="77777777" w:rsidR="003A63FA" w:rsidRPr="009E67CC" w:rsidRDefault="003A63FA" w:rsidP="00CF359E">
            <w:pPr>
              <w:pStyle w:val="NoSpacing"/>
            </w:pPr>
            <w:r w:rsidRPr="009E67CC">
              <w:t>A 144-second sample exceeds human lung capacity (VC) by 400%, meaning it cannot be a valid alveolar breath; likely "ghost data" or contaminated.</w:t>
            </w:r>
          </w:p>
        </w:tc>
      </w:tr>
      <w:tr w:rsidR="003A63FA" w:rsidRPr="009E67CC" w14:paraId="094575BF" w14:textId="77777777" w:rsidTr="00CF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5A7E7" w14:textId="77777777" w:rsidR="003A63FA" w:rsidRPr="009E67CC" w:rsidRDefault="003A63FA" w:rsidP="00CF359E">
            <w:pPr>
              <w:pStyle w:val="NoSpacing"/>
              <w:rPr>
                <w:b/>
                <w:bCs/>
                <w:i/>
                <w:iCs/>
              </w:rPr>
            </w:pPr>
            <w:r w:rsidRPr="009E67CC">
              <w:rPr>
                <w:b/>
                <w:bCs/>
                <w:i/>
                <w:iCs/>
              </w:rPr>
              <w:t>Terry v. Ohio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32CA" w14:textId="77777777" w:rsidR="003A63FA" w:rsidRPr="009E67CC" w:rsidRDefault="003A63FA" w:rsidP="00CF359E">
            <w:pPr>
              <w:pStyle w:val="NoSpacing"/>
            </w:pPr>
            <w:r w:rsidRPr="009E67CC">
              <w:t>Stop requires articulable reasonable suspicion.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4628B" w14:textId="77777777" w:rsidR="003A63FA" w:rsidRPr="009E67CC" w:rsidRDefault="003A63FA" w:rsidP="00CF359E">
            <w:pPr>
              <w:pStyle w:val="NoSpacing"/>
            </w:pPr>
            <w:r w:rsidRPr="009E67CC">
              <w:t>If the officer's perception is proven unreliable in the lab (breath test), it is unreliable on the road (stop justification).</w:t>
            </w:r>
          </w:p>
        </w:tc>
      </w:tr>
      <w:tr w:rsidR="003A63FA" w:rsidRPr="009E67CC" w14:paraId="0BC918CD" w14:textId="77777777" w:rsidTr="00CF359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CE9E" w14:textId="77777777" w:rsidR="003A63FA" w:rsidRPr="009E67CC" w:rsidRDefault="003A63FA" w:rsidP="00CF359E">
            <w:pPr>
              <w:pStyle w:val="NoSpacing"/>
              <w:rPr>
                <w:b/>
                <w:bCs/>
              </w:rPr>
            </w:pPr>
            <w:r w:rsidRPr="009E67CC">
              <w:rPr>
                <w:b/>
                <w:bCs/>
              </w:rPr>
              <w:t>SOP / Implied Consent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6002" w14:textId="77777777" w:rsidR="003A63FA" w:rsidRPr="009E67CC" w:rsidRDefault="003A63FA" w:rsidP="00CF359E">
            <w:pPr>
              <w:pStyle w:val="NoSpacing"/>
            </w:pPr>
            <w:r w:rsidRPr="009E67CC">
              <w:t>Hierarchy of testing; blood as backup.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1A0D" w14:textId="77777777" w:rsidR="003A63FA" w:rsidRPr="009E67CC" w:rsidRDefault="003A63FA" w:rsidP="00CF359E">
            <w:pPr>
              <w:pStyle w:val="NoSpacing"/>
            </w:pPr>
            <w:r w:rsidRPr="009E67CC">
              <w:t>When the breath test failed (144s error), the officer had a duty to draw blood. Failure to do so was negligent.</w:t>
            </w:r>
          </w:p>
        </w:tc>
      </w:tr>
    </w:tbl>
    <w:p w14:paraId="4700DDCD" w14:textId="77777777" w:rsidR="002C4B8B" w:rsidRDefault="002C4B8B"/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FA"/>
    <w:rsid w:val="001C49ED"/>
    <w:rsid w:val="00290199"/>
    <w:rsid w:val="002C4B8B"/>
    <w:rsid w:val="002D2F5D"/>
    <w:rsid w:val="003A63FA"/>
    <w:rsid w:val="005D35AC"/>
    <w:rsid w:val="00795721"/>
    <w:rsid w:val="00A20A5C"/>
    <w:rsid w:val="00DA5177"/>
    <w:rsid w:val="00EE2F18"/>
    <w:rsid w:val="00F3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3A7D"/>
  <w15:chartTrackingRefBased/>
  <w15:docId w15:val="{707C3F68-2949-46C3-A625-E5581B8F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FA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5D"/>
    <w:rPr>
      <w:rFonts w:ascii="Garamond" w:eastAsiaTheme="majorEastAsia" w:hAnsi="Garamond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5D"/>
    <w:rPr>
      <w:rFonts w:ascii="Garamond" w:eastAsiaTheme="majorEastAsia" w:hAnsi="Garamond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5D"/>
    <w:rPr>
      <w:rFonts w:ascii="Garamond" w:eastAsiaTheme="majorEastAsia" w:hAnsi="Garamond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5D"/>
    <w:rPr>
      <w:rFonts w:ascii="Garamond" w:eastAsiaTheme="majorEastAsia" w:hAnsi="Garamond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5D"/>
    <w:rPr>
      <w:rFonts w:ascii="Garamond" w:eastAsiaTheme="majorEastAsia" w:hAnsi="Garamond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5D"/>
    <w:rPr>
      <w:rFonts w:ascii="Garamond" w:eastAsiaTheme="majorEastAsia" w:hAnsi="Garamond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D2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5D"/>
    <w:rPr>
      <w:rFonts w:ascii="Garamond" w:eastAsiaTheme="majorEastAsia" w:hAnsi="Garamond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2D2F5D"/>
    <w:pPr>
      <w:spacing w:after="0" w:line="240" w:lineRule="auto"/>
    </w:pPr>
    <w:rPr>
      <w:rFonts w:ascii="Garamond" w:hAnsi="Garamond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2D2F5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5D"/>
    <w:rPr>
      <w:rFonts w:ascii="Garamond" w:hAnsi="Garamond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5D"/>
    <w:rPr>
      <w:rFonts w:ascii="Garamond" w:hAnsi="Garamond"/>
      <w:i/>
      <w:iCs/>
      <w:color w:val="2F5496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D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2026-01-08T23:05:00Z</dcterms:created>
  <dcterms:modified xsi:type="dcterms:W3CDTF">2026-01-08T23:06:00Z</dcterms:modified>
</cp:coreProperties>
</file>