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237E"/>
          <w:sz w:val="36"/>
          <w:szCs w:val="36"/>
        </w:rPr>
        <w:t xml:space="preserve">KDJ Pattern Scanner V2</w:t>
      </w:r>
    </w:p>
    <w:p>
      <w:pPr>
        <w:spacing w:after="40"/>
      </w:pPr>
      <w:r>
        <w:rPr>
          <w:rFonts w:ascii="Arial" w:cs="Arial" w:eastAsia="Arial" w:hAnsi="Arial"/>
          <w:color w:val="616161"/>
          <w:sz w:val="28"/>
          <w:szCs w:val="28"/>
        </w:rPr>
        <w:t xml:space="preserve">Industrial-Grade Code Audit Report</w:t>
      </w:r>
    </w:p>
    <w:p>
      <w:pPr>
        <w:spacing w:after="300"/>
      </w:pPr>
      <w:r>
        <w:rPr>
          <w:rFonts w:ascii="Arial" w:cs="Arial" w:eastAsia="Arial" w:hAnsi="Arial"/>
          <w:color w:val="616161"/>
          <w:sz w:val="20"/>
          <w:szCs w:val="20"/>
        </w:rPr>
        <w:t xml:space="preserve">Date: 2026-02-18  |  Auditor: Claude  |  Scope: Full Codebase (11 Python files)</w:t>
      </w:r>
    </w:p>
    <w:p>
      <w:pPr>
        <w:pStyle w:val="Heading1"/>
        <w:spacing w:before="0" w:after="200"/>
      </w:pPr>
      <w:r>
        <w:rPr>
          <w:rFonts w:ascii="Arial" w:cs="Arial" w:eastAsia="Arial" w:hAnsi="Arial"/>
          <w:b/>
          <w:bCs/>
          <w:color w:val="1A237E"/>
          <w:sz w:val="28"/>
          <w:szCs w:val="28"/>
        </w:rPr>
        <w:t xml:space="preserve">Executive Summary</w:t>
      </w:r>
    </w:p>
    <w:p>
      <w:pPr>
        <w:spacing w:after="200"/>
      </w:pPr>
      <w:r>
        <w:rPr>
          <w:rFonts w:ascii="Arial" w:cs="Arial" w:eastAsia="Arial" w:hAnsi="Arial"/>
          <w:color w:val="333333"/>
          <w:sz w:val="22"/>
          <w:szCs w:val="22"/>
        </w:rPr>
        <w:t xml:space="preserve">This audit reviewed all 11 Python source files, 1 CSV config, and project infrastructure of the KDJ Pattern Scanner V2 project. The project is a multi-source stock signal scanner with ML-enhanced predictions, KDJ technical indicators, candlestick pattern recognition, and automated email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40"/>
              <w:jc w:val="center"/>
            </w:pPr>
            <w:r>
              <w:rPr>
                <w:rFonts w:ascii="Arial" w:cs="Arial" w:eastAsia="Arial" w:hAnsi="Arial"/>
                <w:b/>
                <w:bCs/>
                <w:color w:val="CC0000"/>
                <w:sz w:val="36"/>
                <w:szCs w:val="36"/>
              </w:rPr>
              <w:t xml:space="preserve">3</w:t>
            </w:r>
          </w:p>
          <w:p>
            <w:pPr>
              <w:spacing w:after="0"/>
              <w:jc w:val="center"/>
            </w:pPr>
            <w:r>
              <w:rPr>
                <w:rFonts w:ascii="Arial" w:cs="Arial" w:eastAsia="Arial" w:hAnsi="Arial"/>
                <w:color w:val="616161"/>
                <w:sz w:val="18"/>
                <w:szCs w:val="18"/>
              </w:rPr>
              <w:t xml:space="preserve">CRITICAL</w:t>
            </w:r>
          </w:p>
        </w:tc>
        <w:tc>
          <w:tcPr>
            <w:tcW w:type="dxa" w:w="234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40"/>
              <w:jc w:val="center"/>
            </w:pPr>
            <w:r>
              <w:rPr>
                <w:rFonts w:ascii="Arial" w:cs="Arial" w:eastAsia="Arial" w:hAnsi="Arial"/>
                <w:b/>
                <w:bCs/>
                <w:color w:val="E65100"/>
                <w:sz w:val="36"/>
                <w:szCs w:val="36"/>
              </w:rPr>
              <w:t xml:space="preserve">13</w:t>
            </w:r>
          </w:p>
          <w:p>
            <w:pPr>
              <w:spacing w:after="0"/>
              <w:jc w:val="center"/>
            </w:pPr>
            <w:r>
              <w:rPr>
                <w:rFonts w:ascii="Arial" w:cs="Arial" w:eastAsia="Arial" w:hAnsi="Arial"/>
                <w:color w:val="616161"/>
                <w:sz w:val="18"/>
                <w:szCs w:val="18"/>
              </w:rPr>
              <w:t xml:space="preserve">HIGH</w:t>
            </w:r>
          </w:p>
        </w:tc>
        <w:tc>
          <w:tcPr>
            <w:tcW w:type="dxa" w:w="234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40"/>
              <w:jc w:val="center"/>
            </w:pPr>
            <w:r>
              <w:rPr>
                <w:rFonts w:ascii="Arial" w:cs="Arial" w:eastAsia="Arial" w:hAnsi="Arial"/>
                <w:b/>
                <w:bCs/>
                <w:color w:val="F57F17"/>
                <w:sz w:val="36"/>
                <w:szCs w:val="36"/>
              </w:rPr>
              <w:t xml:space="preserve">13</w:t>
            </w:r>
          </w:p>
          <w:p>
            <w:pPr>
              <w:spacing w:after="0"/>
              <w:jc w:val="center"/>
            </w:pPr>
            <w:r>
              <w:rPr>
                <w:rFonts w:ascii="Arial" w:cs="Arial" w:eastAsia="Arial" w:hAnsi="Arial"/>
                <w:color w:val="616161"/>
                <w:sz w:val="18"/>
                <w:szCs w:val="18"/>
              </w:rPr>
              <w:t xml:space="preserve">MEDIUM</w:t>
            </w:r>
          </w:p>
        </w:tc>
        <w:tc>
          <w:tcPr>
            <w:tcW w:type="dxa" w:w="234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40"/>
              <w:jc w:val="center"/>
            </w:pPr>
            <w:r>
              <w:rPr>
                <w:rFonts w:ascii="Arial" w:cs="Arial" w:eastAsia="Arial" w:hAnsi="Arial"/>
                <w:b/>
                <w:bCs/>
                <w:color w:val="1565C0"/>
                <w:sz w:val="36"/>
                <w:szCs w:val="36"/>
              </w:rPr>
              <w:t xml:space="preserve">6</w:t>
            </w:r>
          </w:p>
          <w:p>
            <w:pPr>
              <w:spacing w:after="0"/>
              <w:jc w:val="center"/>
            </w:pPr>
            <w:r>
              <w:rPr>
                <w:rFonts w:ascii="Arial" w:cs="Arial" w:eastAsia="Arial" w:hAnsi="Arial"/>
                <w:color w:val="616161"/>
                <w:sz w:val="18"/>
                <w:szCs w:val="18"/>
              </w:rPr>
              <w:t xml:space="preserve">LOW</w:t>
            </w:r>
          </w:p>
        </w:tc>
      </w:tr>
    </w:tbl>
    <w:p>
      <w:pPr>
        <w:spacing w:before="200" w:after="200"/>
      </w:pPr>
      <w:r>
        <w:rPr>
          <w:rFonts w:ascii="Arial" w:cs="Arial" w:eastAsia="Arial" w:hAnsi="Arial"/>
          <w:color w:val="333333"/>
          <w:sz w:val="22"/>
          <w:szCs w:val="22"/>
        </w:rPr>
        <w:t xml:space="preserve">Total issues found: 35. The project has 3 critical issues that must be addressed before any production deployment, including a pickle deserialization vulnerability, API key exposure in URLs, lack of ML cross-validation, and an unused but imported TimeSeriesSplit. 13 high-severity issues include zero test coverage, inconsistent business logic, and missing retry mechanisms.</w:t>
      </w:r>
    </w:p>
    <w:p>
      <w:pPr>
        <w:spacing w:after="300"/>
      </w:pPr>
      <w:r>
        <w:rPr>
          <w:rFonts w:ascii="Arial" w:cs="Arial" w:eastAsia="Arial" w:hAnsi="Arial"/>
          <w:b/>
          <w:bCs/>
          <w:color w:val="333333"/>
          <w:sz w:val="24"/>
          <w:szCs w:val="24"/>
        </w:rPr>
        <w:t xml:space="preserve">Overall Production Readiness: </w:t>
      </w:r>
      <w:r>
        <w:rPr>
          <w:rFonts w:ascii="Arial" w:cs="Arial" w:eastAsia="Arial" w:hAnsi="Arial"/>
          <w:b/>
          <w:bCs/>
          <w:color w:val="CC0000"/>
          <w:sz w:val="24"/>
          <w:szCs w:val="24"/>
        </w:rPr>
        <w:t xml:space="preserve">NOT READY</w:t>
      </w:r>
      <w:r>
        <w:rPr>
          <w:rFonts w:ascii="Arial" w:cs="Arial" w:eastAsia="Arial" w:hAnsi="Arial"/>
          <w:color w:val="333333"/>
          <w:sz w:val="22"/>
          <w:szCs w:val="22"/>
        </w:rPr>
        <w:t xml:space="preserve"> — Requires significant remediation before deployment.</w:t>
      </w:r>
    </w:p>
    <w:p>
      <w:r>
        <w:br w:type="page"/>
      </w:r>
    </w:p>
    <w:p>
      <w:pPr>
        <w:pStyle w:val="Heading1"/>
        <w:spacing w:before="0" w:after="200"/>
      </w:pPr>
      <w:r>
        <w:rPr>
          <w:rFonts w:ascii="Arial" w:cs="Arial" w:eastAsia="Arial" w:hAnsi="Arial"/>
          <w:b/>
          <w:bCs/>
          <w:color w:val="CC0000"/>
          <w:sz w:val="28"/>
          <w:szCs w:val="28"/>
        </w:rPr>
        <w:t xml:space="preserve">1. Security Audit</w:t>
      </w:r>
    </w:p>
    <w:p>
      <w:pPr>
        <w:spacing w:after="200"/>
      </w:pPr>
      <w:r>
        <w:rPr>
          <w:rFonts w:ascii="Arial" w:cs="Arial" w:eastAsia="Arial" w:hAnsi="Arial"/>
          <w:color w:val="333333"/>
          <w:sz w:val="22"/>
          <w:szCs w:val="22"/>
        </w:rPr>
        <w:t xml:space="preserve">Security is the most critical concern. The project handles financial API keys, email credentials, and makes external HTTP requests. Several issues were identified that could lead to credential leakage or remote code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460"/>
        <w:gridCol w:w="3000"/>
      </w:tblGrid>
      <w:tr>
        <w:tc>
          <w:tcPr>
            <w:tcW w:type="dxa" w:w="70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20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446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Description</w:t>
            </w:r>
          </w:p>
        </w:tc>
        <w:tc>
          <w:tcPr>
            <w:tcW w:type="dxa" w:w="300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S-01</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CC0000"/>
                <w:sz w:val="20"/>
                <w:szCs w:val="20"/>
              </w:rPr>
              <w:t xml:space="preserve">CRITICAL</w:t>
            </w:r>
          </w:p>
        </w:tc>
        <w:tc>
          <w:tcPr>
            <w:tcW w:type="dxa" w:w="44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Pickle反序列化漏洞 - pd.read_pickle()可执行任意代码</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616161"/>
                <w:sz w:val="18"/>
                <w:szCs w:val="18"/>
              </w:rPr>
              <w:t xml:space="preserve">data.py:224</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S-02</w:t>
            </w:r>
          </w:p>
        </w:tc>
        <w:tc>
          <w:tcPr>
            <w:tcW w:type="dxa" w:w="1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CC0000"/>
                <w:sz w:val="20"/>
                <w:szCs w:val="20"/>
              </w:rPr>
              <w:t xml:space="preserve">CRITICAL</w:t>
            </w:r>
          </w:p>
        </w:tc>
        <w:tc>
          <w:tcPr>
            <w:tcW w:type="dxa" w:w="4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333333"/>
                <w:sz w:val="20"/>
                <w:szCs w:val="20"/>
              </w:rPr>
              <w:t xml:space="preserve">API Key明文拼接进URL，可能通过日志/错误消息泄露</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616161"/>
                <w:sz w:val="18"/>
                <w:szCs w:val="18"/>
              </w:rPr>
              <w:t xml:space="preserve">data.py:35,80-84</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S-03</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E65100"/>
                <w:sz w:val="20"/>
                <w:szCs w:val="20"/>
              </w:rPr>
              <w:t xml:space="preserve">HIGH</w:t>
            </w:r>
          </w:p>
        </w:tc>
        <w:tc>
          <w:tcPr>
            <w:tcW w:type="dxa" w:w="44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密钥明文存储在项目文件中（虽已.gitignore）</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616161"/>
                <w:sz w:val="18"/>
                <w:szCs w:val="18"/>
              </w:rPr>
              <w:t xml:space="preserve">POLYGON_API_KEY.txt, GMAIL_APP_PASSWORD.txt</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S-04</w:t>
            </w:r>
          </w:p>
        </w:tc>
        <w:tc>
          <w:tcPr>
            <w:tcW w:type="dxa" w:w="1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E65100"/>
                <w:sz w:val="20"/>
                <w:szCs w:val="20"/>
              </w:rPr>
              <w:t xml:space="preserve">HIGH</w:t>
            </w:r>
          </w:p>
        </w:tc>
        <w:tc>
          <w:tcPr>
            <w:tcW w:type="dxa" w:w="4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333333"/>
                <w:sz w:val="20"/>
                <w:szCs w:val="20"/>
              </w:rPr>
              <w:t xml:space="preserve">邮箱地址硬编码在源码中</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616161"/>
                <w:sz w:val="18"/>
                <w:szCs w:val="18"/>
              </w:rPr>
              <w:t xml:space="preserve">config.py:46-47</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S-05</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F57F17"/>
                <w:sz w:val="20"/>
                <w:szCs w:val="20"/>
              </w:rPr>
              <w:t xml:space="preserve">MEDIUM</w:t>
            </w:r>
          </w:p>
        </w:tc>
        <w:tc>
          <w:tcPr>
            <w:tcW w:type="dxa" w:w="44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Ticker符号未做输入验证，直接拼入API URL</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616161"/>
                <w:sz w:val="18"/>
                <w:szCs w:val="18"/>
              </w:rPr>
              <w:t xml:space="preserve">data.py:35,81</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S-06</w:t>
            </w:r>
          </w:p>
        </w:tc>
        <w:tc>
          <w:tcPr>
            <w:tcW w:type="dxa" w:w="1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F57F17"/>
                <w:sz w:val="20"/>
                <w:szCs w:val="20"/>
              </w:rPr>
              <w:t xml:space="preserve">MEDIUM</w:t>
            </w:r>
          </w:p>
        </w:tc>
        <w:tc>
          <w:tcPr>
            <w:tcW w:type="dxa" w:w="4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333333"/>
                <w:sz w:val="20"/>
                <w:szCs w:val="20"/>
              </w:rPr>
              <w:t xml:space="preserve">SMTP密码通过内存传递，未加密</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616161"/>
                <w:sz w:val="18"/>
                <w:szCs w:val="18"/>
              </w:rPr>
              <w:t xml:space="preserve">reporting.py:472</w:t>
            </w:r>
          </w:p>
        </w:tc>
      </w:tr>
    </w:tbl>
    <w:p>
      <w:pPr>
        <w:spacing w:before="200" w:after="100"/>
      </w:pPr>
      <w:r>
        <w:rPr>
          <w:rFonts w:ascii="Arial" w:cs="Arial" w:eastAsia="Arial" w:hAnsi="Arial"/>
          <w:b/>
          <w:bCs/>
          <w:color w:val="333333"/>
          <w:sz w:val="22"/>
          <w:szCs w:val="22"/>
        </w:rPr>
        <w:t xml:space="preserve">Key Findings:</w:t>
      </w:r>
    </w:p>
    <w:p>
      <w:pPr>
        <w:spacing w:after="120"/>
      </w:pPr>
      <w:r>
        <w:rPr>
          <w:rFonts w:ascii="Arial" w:cs="Arial" w:eastAsia="Arial" w:hAnsi="Arial"/>
          <w:color w:val="333333"/>
          <w:sz w:val="22"/>
          <w:szCs w:val="22"/>
        </w:rPr>
        <w:t xml:space="preserve">S-01 Pickle Vulnerability: data.py line 224 uses pd.read_pickle() to load cache files. Python pickle can execute arbitrary code during deserialization. If an attacker can modify the cache file (_cache_*.pkl), they gain full code execution. Recommendation: Replace with pd.read_parquet() or json-based serialization.</w:t>
      </w:r>
    </w:p>
    <w:p>
      <w:pPr>
        <w:spacing w:after="120"/>
      </w:pPr>
      <w:r>
        <w:rPr>
          <w:rFonts w:ascii="Arial" w:cs="Arial" w:eastAsia="Arial" w:hAnsi="Arial"/>
          <w:color w:val="333333"/>
          <w:sz w:val="22"/>
          <w:szCs w:val="22"/>
        </w:rPr>
        <w:t xml:space="preserve">S-02 API Key in URLs: The Polygon API key is concatenated directly into URL strings (e.g., f"...&amp;apiKey={POLYGON_API_KEY}"). If any exception handler logs the URL, or if the URL appears in stack traces, the key is exposed in plaintext. Recommendation: Pass API key as a request header or use a session with default params.</w:t>
      </w:r>
    </w:p>
    <w:p>
      <w:pPr>
        <w:spacing w:after="300"/>
      </w:pPr>
      <w:r>
        <w:rPr>
          <w:rFonts w:ascii="Arial" w:cs="Arial" w:eastAsia="Arial" w:hAnsi="Arial"/>
          <w:color w:val="333333"/>
          <w:sz w:val="22"/>
          <w:szCs w:val="22"/>
        </w:rPr>
        <w:t xml:space="preserve">S-05 Ticker Injection: Ticker symbols from stock_list.csv are inserted directly into URLs without validation. A malicious ticker value like "AAPL/../../admin" could potentially manipulate the API path. Recommendation: Validate tickers against a regex pattern (e.g., ^[A-Z]{1,5}$).</w:t>
      </w:r>
    </w:p>
    <w:p>
      <w:r>
        <w:br w:type="page"/>
      </w:r>
    </w:p>
    <w:p>
      <w:pPr>
        <w:pStyle w:val="Heading1"/>
        <w:spacing w:before="0" w:after="200"/>
      </w:pPr>
      <w:r>
        <w:rPr>
          <w:rFonts w:ascii="Arial" w:cs="Arial" w:eastAsia="Arial" w:hAnsi="Arial"/>
          <w:b/>
          <w:bCs/>
          <w:color w:val="E65100"/>
          <w:sz w:val="28"/>
          <w:szCs w:val="28"/>
        </w:rPr>
        <w:t xml:space="preserve">2. Architecture &amp; Design Audit</w:t>
      </w:r>
    </w:p>
    <w:p>
      <w:pPr>
        <w:spacing w:after="200"/>
      </w:pPr>
      <w:r>
        <w:rPr>
          <w:rFonts w:ascii="Arial" w:cs="Arial" w:eastAsia="Arial" w:hAnsi="Arial"/>
          <w:color w:val="333333"/>
          <w:sz w:val="22"/>
          <w:szCs w:val="22"/>
        </w:rPr>
        <w:t xml:space="preserve">The project exhibits several architectural inconsistencies that indicate organic growth without refactoring. Dead code, duplicate logic paths, and orphaned modules reduce maintainability and increase the risk of behavioral divergence.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460"/>
        <w:gridCol w:w="3000"/>
      </w:tblGrid>
      <w:tr>
        <w:tc>
          <w:tcPr>
            <w:tcW w:type="dxa" w:w="70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20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446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Description</w:t>
            </w:r>
          </w:p>
        </w:tc>
        <w:tc>
          <w:tcPr>
            <w:tcW w:type="dxa" w:w="300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A-01</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E65100"/>
                <w:sz w:val="20"/>
                <w:szCs w:val="20"/>
              </w:rPr>
              <w:t xml:space="preserve">HIGH</w:t>
            </w:r>
          </w:p>
        </w:tc>
        <w:tc>
          <w:tcPr>
            <w:tcW w:type="dxa" w:w="44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reporting.py中add_result()为死代码，无任何调用方</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616161"/>
                <w:sz w:val="18"/>
                <w:szCs w:val="18"/>
              </w:rPr>
              <w:t xml:space="preserve">reporting.py:14-120</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A-02</w:t>
            </w:r>
          </w:p>
        </w:tc>
        <w:tc>
          <w:tcPr>
            <w:tcW w:type="dxa" w:w="1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E65100"/>
                <w:sz w:val="20"/>
                <w:szCs w:val="20"/>
              </w:rPr>
              <w:t xml:space="preserve">HIGH</w:t>
            </w:r>
          </w:p>
        </w:tc>
        <w:tc>
          <w:tcPr>
            <w:tcW w:type="dxa" w:w="4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333333"/>
                <w:sz w:val="20"/>
                <w:szCs w:val="20"/>
              </w:rPr>
              <w:t xml:space="preserve">止损计算逻辑不一致：run_strategy用ATR*2，reporting用近期高低点</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616161"/>
                <w:sz w:val="18"/>
                <w:szCs w:val="18"/>
              </w:rPr>
              <w:t xml:space="preserve">run_strategy.py:236 vs reporting.py:48</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A-03</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E65100"/>
                <w:sz w:val="20"/>
                <w:szCs w:val="20"/>
              </w:rPr>
              <w:t xml:space="preserve">HIGH</w:t>
            </w:r>
          </w:p>
        </w:tc>
        <w:tc>
          <w:tcPr>
            <w:tcW w:type="dxa" w:w="44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信号强度评分逻辑不一致：两套完全不同的计算方式</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616161"/>
                <w:sz w:val="18"/>
                <w:szCs w:val="18"/>
              </w:rPr>
              <w:t xml:space="preserve">run_strategy.py:186 vs reporting.py:19-43</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A-04</w:t>
            </w:r>
          </w:p>
        </w:tc>
        <w:tc>
          <w:tcPr>
            <w:tcW w:type="dxa" w:w="1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F57F17"/>
                <w:sz w:val="20"/>
                <w:szCs w:val="20"/>
              </w:rPr>
              <w:t xml:space="preserve">MEDIUM</w:t>
            </w:r>
          </w:p>
        </w:tc>
        <w:tc>
          <w:tcPr>
            <w:tcW w:type="dxa" w:w="4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333333"/>
                <w:sz w:val="20"/>
                <w:szCs w:val="20"/>
              </w:rPr>
              <w:t xml:space="preserve">重复的logging.basicConfig()配置</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616161"/>
                <w:sz w:val="18"/>
                <w:szCs w:val="18"/>
              </w:rPr>
              <w:t xml:space="preserve">config.py:7 vs run_strategy.py:21</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A-05</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F57F17"/>
                <w:sz w:val="20"/>
                <w:szCs w:val="20"/>
              </w:rPr>
              <w:t xml:space="preserve">MEDIUM</w:t>
            </w:r>
          </w:p>
        </w:tc>
        <w:tc>
          <w:tcPr>
            <w:tcW w:type="dxa" w:w="44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sentiment_analyzer.py完全未被主流程调用，为孤立模块</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616161"/>
                <w:sz w:val="18"/>
                <w:szCs w:val="18"/>
              </w:rPr>
              <w:t xml:space="preserve">sentiment_analyzer.py</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A-06</w:t>
            </w:r>
          </w:p>
        </w:tc>
        <w:tc>
          <w:tcPr>
            <w:tcW w:type="dxa" w:w="1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F57F17"/>
                <w:sz w:val="20"/>
                <w:szCs w:val="20"/>
              </w:rPr>
              <w:t xml:space="preserve">MEDIUM</w:t>
            </w:r>
          </w:p>
        </w:tc>
        <w:tc>
          <w:tcPr>
            <w:tcW w:type="dxa" w:w="4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333333"/>
                <w:sz w:val="20"/>
                <w:szCs w:val="20"/>
              </w:rPr>
              <w:t xml:space="preserve">fetch_yahoo_batch()虽存在但被DATA_SOURCE_PRIORITY禁用</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616161"/>
                <w:sz w:val="18"/>
                <w:szCs w:val="18"/>
              </w:rPr>
              <w:t xml:space="preserve">data.py:158-200</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A-07</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1565C0"/>
                <w:sz w:val="20"/>
                <w:szCs w:val="20"/>
              </w:rPr>
              <w:t xml:space="preserve">LOW</w:t>
            </w:r>
          </w:p>
        </w:tc>
        <w:tc>
          <w:tcPr>
            <w:tcW w:type="dxa" w:w="44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hmmlearn在requirements.txt中但从未import</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616161"/>
                <w:sz w:val="18"/>
                <w:szCs w:val="18"/>
              </w:rPr>
              <w:t xml:space="preserve">requirements.txt:10</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A-08</w:t>
            </w:r>
          </w:p>
        </w:tc>
        <w:tc>
          <w:tcPr>
            <w:tcW w:type="dxa" w:w="1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1565C0"/>
                <w:sz w:val="20"/>
                <w:szCs w:val="20"/>
              </w:rPr>
              <w:t xml:space="preserve">LOW</w:t>
            </w:r>
          </w:p>
        </w:tc>
        <w:tc>
          <w:tcPr>
            <w:tcW w:type="dxa" w:w="4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333333"/>
                <w:sz w:val="20"/>
                <w:szCs w:val="20"/>
              </w:rPr>
              <w:t xml:space="preserve">变量自赋值 cfg = cfg（无操作语句）</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616161"/>
                <w:sz w:val="18"/>
                <w:szCs w:val="18"/>
              </w:rPr>
              <w:t xml:space="preserve">run_strategy.py:49</w:t>
            </w:r>
          </w:p>
        </w:tc>
      </w:tr>
    </w:tbl>
    <w:p>
      <w:pPr>
        <w:spacing w:before="200" w:after="100"/>
      </w:pPr>
      <w:r>
        <w:rPr>
          <w:rFonts w:ascii="Arial" w:cs="Arial" w:eastAsia="Arial" w:hAnsi="Arial"/>
          <w:b/>
          <w:bCs/>
          <w:color w:val="333333"/>
          <w:sz w:val="22"/>
          <w:szCs w:val="22"/>
        </w:rPr>
        <w:t xml:space="preserve">Critical Consistency Issue:</w:t>
      </w:r>
    </w:p>
    <w:p>
      <w:pPr>
        <w:spacing w:after="300"/>
      </w:pPr>
      <w:r>
        <w:rPr>
          <w:rFonts w:ascii="Arial" w:cs="Arial" w:eastAsia="Arial" w:hAnsi="Arial"/>
          <w:color w:val="333333"/>
          <w:sz w:val="22"/>
          <w:szCs w:val="22"/>
        </w:rPr>
        <w:t xml:space="preserve">A-02/A-03: The project has TWO completely different implementations for stop-loss calculation and signal strength scoring. run_strategy.py (the active code path) uses ATR-based stop loss (price ± ATR*2.0) and a simple string-based strength system. reporting.py's add_result() (dead code) uses recent high/low with a buffer and a weighted numerical scoring system. This creates a dangerous situation where the dead code could be accidentally re-enabled, producing completely different trading signals. Recommendation: Remove the dead code path entirely and consolidate all business logic.</w:t>
      </w:r>
    </w:p>
    <w:p>
      <w:r>
        <w:br w:type="page"/>
      </w:r>
    </w:p>
    <w:p>
      <w:pPr>
        <w:pStyle w:val="Heading1"/>
        <w:spacing w:before="0" w:after="200"/>
      </w:pPr>
      <w:r>
        <w:rPr>
          <w:rFonts w:ascii="Arial" w:cs="Arial" w:eastAsia="Arial" w:hAnsi="Arial"/>
          <w:b/>
          <w:bCs/>
          <w:color w:val="CC0000"/>
          <w:sz w:val="28"/>
          <w:szCs w:val="28"/>
        </w:rPr>
        <w:t xml:space="preserve">3. ML Pipeline Audit</w:t>
      </w:r>
    </w:p>
    <w:p>
      <w:pPr>
        <w:spacing w:after="200"/>
      </w:pPr>
      <w:r>
        <w:rPr>
          <w:rFonts w:ascii="Arial" w:cs="Arial" w:eastAsia="Arial" w:hAnsi="Arial"/>
          <w:color w:val="333333"/>
          <w:sz w:val="22"/>
          <w:szCs w:val="22"/>
        </w:rPr>
        <w:t xml:space="preserve">The ML pipeline is the highest-risk component from a financial decision-making perspective. Several issues could lead to unreliable predictions that users may act upon for real trading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460"/>
        <w:gridCol w:w="3000"/>
      </w:tblGrid>
      <w:tr>
        <w:tc>
          <w:tcPr>
            <w:tcW w:type="dxa" w:w="70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20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446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Description</w:t>
            </w:r>
          </w:p>
        </w:tc>
        <w:tc>
          <w:tcPr>
            <w:tcW w:type="dxa" w:w="300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M-01</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CC0000"/>
                <w:sz w:val="20"/>
                <w:szCs w:val="20"/>
              </w:rPr>
              <w:t xml:space="preserve">CRITICAL</w:t>
            </w:r>
          </w:p>
        </w:tc>
        <w:tc>
          <w:tcPr>
            <w:tcW w:type="dxa" w:w="44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TimeSeriesSplit已导入但从未使用——模型无交叉验证</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616161"/>
                <w:sz w:val="18"/>
                <w:szCs w:val="18"/>
              </w:rPr>
              <w:t xml:space="preserve">ml_predictor.py:6</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M-02</w:t>
            </w:r>
          </w:p>
        </w:tc>
        <w:tc>
          <w:tcPr>
            <w:tcW w:type="dxa" w:w="1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E65100"/>
                <w:sz w:val="20"/>
                <w:szCs w:val="20"/>
              </w:rPr>
              <w:t xml:space="preserve">HIGH</w:t>
            </w:r>
          </w:p>
        </w:tc>
        <w:tc>
          <w:tcPr>
            <w:tcW w:type="dxa" w:w="4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333333"/>
                <w:sz w:val="20"/>
                <w:szCs w:val="20"/>
              </w:rPr>
              <w:t xml:space="preserve">最低训练样本从100降至50，小样本过拟合风险极高</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616161"/>
                <w:sz w:val="18"/>
                <w:szCs w:val="18"/>
              </w:rPr>
              <w:t xml:space="preserve">ml_predictor.py:161</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M-03</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E65100"/>
                <w:sz w:val="20"/>
                <w:szCs w:val="20"/>
              </w:rPr>
              <w:t xml:space="preserve">HIGH</w:t>
            </w:r>
          </w:p>
        </w:tc>
        <w:tc>
          <w:tcPr>
            <w:tcW w:type="dxa" w:w="44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per_signal模式下每个信号都重新训练完整模型，计算成本极高</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616161"/>
                <w:sz w:val="18"/>
                <w:szCs w:val="18"/>
              </w:rPr>
              <w:t xml:space="preserve">run_strategy.py:123-145</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M-04</w:t>
            </w:r>
          </w:p>
        </w:tc>
        <w:tc>
          <w:tcPr>
            <w:tcW w:type="dxa" w:w="1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E65100"/>
                <w:sz w:val="20"/>
                <w:szCs w:val="20"/>
              </w:rPr>
              <w:t xml:space="preserve">HIGH</w:t>
            </w:r>
          </w:p>
        </w:tc>
        <w:tc>
          <w:tcPr>
            <w:tcW w:type="dxa" w:w="4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333333"/>
                <w:sz w:val="20"/>
                <w:szCs w:val="20"/>
              </w:rPr>
              <w:t xml:space="preserve">HMM_Bull字段硬编码为0.0，模型从未实现</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616161"/>
                <w:sz w:val="18"/>
                <w:szCs w:val="18"/>
              </w:rPr>
              <w:t xml:space="preserve">ml_predictor.py:177</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M-05</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F57F17"/>
                <w:sz w:val="20"/>
                <w:szCs w:val="20"/>
              </w:rPr>
              <w:t xml:space="preserve">MEDIUM</w:t>
            </w:r>
          </w:p>
        </w:tc>
        <w:tc>
          <w:tcPr>
            <w:tcW w:type="dxa" w:w="44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权重分配和收缩因子(shrink_k=800)等关键参数为魔法数字</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616161"/>
                <w:sz w:val="18"/>
                <w:szCs w:val="18"/>
              </w:rPr>
              <w:t xml:space="preserve">ml_predictor.py:252-265</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M-06</w:t>
            </w:r>
          </w:p>
        </w:tc>
        <w:tc>
          <w:tcPr>
            <w:tcW w:type="dxa" w:w="1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F57F17"/>
                <w:sz w:val="20"/>
                <w:szCs w:val="20"/>
              </w:rPr>
              <w:t xml:space="preserve">MEDIUM</w:t>
            </w:r>
          </w:p>
        </w:tc>
        <w:tc>
          <w:tcPr>
            <w:tcW w:type="dxa" w:w="4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333333"/>
                <w:sz w:val="20"/>
                <w:szCs w:val="20"/>
              </w:rPr>
              <w:t xml:space="preserve">calculate_advanced_features()中rolling窗口可能引入前视偏差</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616161"/>
                <w:sz w:val="18"/>
                <w:szCs w:val="18"/>
              </w:rPr>
              <w:t xml:space="preserve">ml_predictor.py:18-66</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M-07</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1565C0"/>
                <w:sz w:val="20"/>
                <w:szCs w:val="20"/>
              </w:rPr>
              <w:t xml:space="preserve">LOW</w:t>
            </w:r>
          </w:p>
        </w:tc>
        <w:tc>
          <w:tcPr>
            <w:tcW w:type="dxa" w:w="44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模型训练无特征重要性记录，难以debug和解释</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616161"/>
                <w:sz w:val="18"/>
                <w:szCs w:val="18"/>
              </w:rPr>
              <w:t xml:space="preserve">ml_predictor.py:190-226</w:t>
            </w:r>
          </w:p>
        </w:tc>
      </w:tr>
    </w:tbl>
    <w:p>
      <w:pPr>
        <w:spacing w:before="200" w:after="100"/>
      </w:pPr>
      <w:r>
        <w:rPr>
          <w:rFonts w:ascii="Arial" w:cs="Arial" w:eastAsia="Arial" w:hAnsi="Arial"/>
          <w:b/>
          <w:bCs/>
          <w:color w:val="333333"/>
          <w:sz w:val="22"/>
          <w:szCs w:val="22"/>
        </w:rPr>
        <w:t xml:space="preserve">Critical Findings:</w:t>
      </w:r>
    </w:p>
    <w:p>
      <w:pPr>
        <w:spacing w:after="120"/>
      </w:pPr>
      <w:r>
        <w:rPr>
          <w:rFonts w:ascii="Arial" w:cs="Arial" w:eastAsia="Arial" w:hAnsi="Arial"/>
          <w:color w:val="333333"/>
          <w:sz w:val="22"/>
          <w:szCs w:val="22"/>
        </w:rPr>
        <w:t xml:space="preserve">M-01 No Cross-Validation: TimeSeriesSplit is imported from sklearn but never used. All three models (XGBoost, LightGBM, Logistic Regression) are trained on the full dataset and evaluated on a single prediction point. This provides zero insight into model generalization. The walk-forward audit in ml_audit.py partially addresses this, but only for email reporting — the actual prediction pipeline has no validation.</w:t>
      </w:r>
    </w:p>
    <w:p>
      <w:pPr>
        <w:spacing w:after="120"/>
      </w:pPr>
      <w:r>
        <w:rPr>
          <w:rFonts w:ascii="Arial" w:cs="Arial" w:eastAsia="Arial" w:hAnsi="Arial"/>
          <w:color w:val="333333"/>
          <w:sz w:val="22"/>
          <w:szCs w:val="22"/>
        </w:rPr>
        <w:t xml:space="preserve">M-02 Small Sample Overfitting: The minimum training sample threshold was relaxed from 100 to 50 rows (comment on line 161). With 14 features and 3 ensemble models, 50 samples is severely insufficient. XGBoost with 150 trees and max_depth=3 has significant capacity to memorize 50 data points. Recommendation: Restore the 100-sample minimum or implement regularization and proper cross-validation.</w:t>
      </w:r>
    </w:p>
    <w:p>
      <w:pPr>
        <w:spacing w:after="300"/>
      </w:pPr>
      <w:r>
        <w:rPr>
          <w:rFonts w:ascii="Arial" w:cs="Arial" w:eastAsia="Arial" w:hAnsi="Arial"/>
          <w:color w:val="333333"/>
          <w:sz w:val="22"/>
          <w:szCs w:val="22"/>
        </w:rPr>
        <w:t xml:space="preserve">M-06 Lookahead Bias Risk: calculate_advanced_features() uses rolling windows (e.g., 20-day Bollinger Bands, 14-day RSI). When training and prediction data overlap, features computed near the training/prediction boundary may incorporate future information. The current code filters by date after feature computation, which is correct, but the rolling window warm-up period is not explicitly handled. Recommendation: Add explicit warm-up period handling and document the data pipeline clearly.</w:t>
      </w:r>
    </w:p>
    <w:p>
      <w:r>
        <w:br w:type="page"/>
      </w:r>
    </w:p>
    <w:p>
      <w:pPr>
        <w:pStyle w:val="Heading1"/>
        <w:spacing w:before="0" w:after="200"/>
      </w:pPr>
      <w:r>
        <w:rPr>
          <w:rFonts w:ascii="Arial" w:cs="Arial" w:eastAsia="Arial" w:hAnsi="Arial"/>
          <w:b/>
          <w:bCs/>
          <w:color w:val="E65100"/>
          <w:sz w:val="28"/>
          <w:szCs w:val="28"/>
        </w:rPr>
        <w:t xml:space="preserve">4. Error Handling &amp; Resilience Audit</w:t>
      </w:r>
    </w:p>
    <w:p>
      <w:pPr>
        <w:spacing w:after="200"/>
      </w:pPr>
      <w:r>
        <w:rPr>
          <w:rFonts w:ascii="Arial" w:cs="Arial" w:eastAsia="Arial" w:hAnsi="Arial"/>
          <w:color w:val="333333"/>
          <w:sz w:val="22"/>
          <w:szCs w:val="22"/>
        </w:rPr>
        <w:t xml:space="preserve">For a system that runs on a schedule and makes trading-relevant decisions, robust error handling is essential. The current implementation silently swallows many errors, making debugging and monitoring extremely difficult.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460"/>
        <w:gridCol w:w="3000"/>
      </w:tblGrid>
      <w:tr>
        <w:tc>
          <w:tcPr>
            <w:tcW w:type="dxa" w:w="70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20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446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Description</w:t>
            </w:r>
          </w:p>
        </w:tc>
        <w:tc>
          <w:tcPr>
            <w:tcW w:type="dxa" w:w="300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E-01</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E65100"/>
                <w:sz w:val="20"/>
                <w:szCs w:val="20"/>
              </w:rPr>
              <w:t xml:space="preserve">HIGH</w:t>
            </w:r>
          </w:p>
        </w:tc>
        <w:tc>
          <w:tcPr>
            <w:tcW w:type="dxa" w:w="44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大量静默吞没异常，return空结果不记日志</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616161"/>
                <w:sz w:val="18"/>
                <w:szCs w:val="18"/>
              </w:rPr>
              <w:t xml:space="preserve">data.py:57,125,252</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E-02</w:t>
            </w:r>
          </w:p>
        </w:tc>
        <w:tc>
          <w:tcPr>
            <w:tcW w:type="dxa" w:w="1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E65100"/>
                <w:sz w:val="20"/>
                <w:szCs w:val="20"/>
              </w:rPr>
              <w:t xml:space="preserve">HIGH</w:t>
            </w:r>
          </w:p>
        </w:tc>
        <w:tc>
          <w:tcPr>
            <w:tcW w:type="dxa" w:w="4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333333"/>
                <w:sz w:val="20"/>
                <w:szCs w:val="20"/>
              </w:rPr>
              <w:t xml:space="preserve">API调用无重试机制，瞬态错误直接失败</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616161"/>
                <w:sz w:val="18"/>
                <w:szCs w:val="18"/>
              </w:rPr>
              <w:t xml:space="preserve">data.py:86-132</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E-03</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F57F17"/>
                <w:sz w:val="20"/>
                <w:szCs w:val="20"/>
              </w:rPr>
              <w:t xml:space="preserve">MEDIUM</w:t>
            </w:r>
          </w:p>
        </w:tc>
        <w:tc>
          <w:tcPr>
            <w:tcW w:type="dxa" w:w="44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Worker异常仅logger.exception()但不向调用方传播详情</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616161"/>
                <w:sz w:val="18"/>
                <w:szCs w:val="18"/>
              </w:rPr>
              <w:t xml:space="preserve">run_strategy.py:253</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E-04</w:t>
            </w:r>
          </w:p>
        </w:tc>
        <w:tc>
          <w:tcPr>
            <w:tcW w:type="dxa" w:w="1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F57F17"/>
                <w:sz w:val="20"/>
                <w:szCs w:val="20"/>
              </w:rPr>
              <w:t xml:space="preserve">MEDIUM</w:t>
            </w:r>
          </w:p>
        </w:tc>
        <w:tc>
          <w:tcPr>
            <w:tcW w:type="dxa" w:w="4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333333"/>
                <w:sz w:val="20"/>
                <w:szCs w:val="20"/>
              </w:rPr>
              <w:t xml:space="preserve">邮件发送失败仅记日志，无告警或备用通知方式</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616161"/>
                <w:sz w:val="18"/>
                <w:szCs w:val="18"/>
              </w:rPr>
              <w:t xml:space="preserve">reporting.py:486</w:t>
            </w:r>
          </w:p>
        </w:tc>
      </w:tr>
    </w:tbl>
    <w:p>
      <w:pPr>
        <w:spacing w:before="100" w:after="120"/>
      </w:pPr>
      <w:r>
        <w:rPr>
          <w:rFonts w:ascii="Arial" w:cs="Arial" w:eastAsia="Arial" w:hAnsi="Arial"/>
          <w:color w:val="333333"/>
          <w:sz w:val="22"/>
          <w:szCs w:val="22"/>
        </w:rPr>
        <w:t xml:space="preserve">E-01: At least 6 locations in data.py catch broad Exception and either return an empty DataFrame or pass silently. In a production system, these silent failures mean data could be missing for certain tickers without any operator awareness. Recommendation: Log all exceptions at WARNING level minimum, and implement a health-check report that summarizes data coverage.</w:t>
      </w:r>
    </w:p>
    <w:p>
      <w:pPr>
        <w:spacing w:after="300"/>
      </w:pPr>
      <w:r>
        <w:rPr>
          <w:rFonts w:ascii="Arial" w:cs="Arial" w:eastAsia="Arial" w:hAnsi="Arial"/>
          <w:color w:val="333333"/>
          <w:sz w:val="22"/>
          <w:szCs w:val="22"/>
        </w:rPr>
        <w:t xml:space="preserve">E-02: Polygon API calls have no retry logic. HTTP 429 (rate limited), 503 (service unavailable), and network timeouts are treated the same as permanent failures. Recommendation: Implement exponential backoff retry with a maximum of 3 attempts for retryable status codes.</w:t>
      </w:r>
    </w:p>
    <w:p>
      <w:pPr>
        <w:pStyle w:val="Heading1"/>
        <w:spacing w:before="0" w:after="200"/>
      </w:pPr>
      <w:r>
        <w:rPr>
          <w:rFonts w:ascii="Arial" w:cs="Arial" w:eastAsia="Arial" w:hAnsi="Arial"/>
          <w:b/>
          <w:bCs/>
          <w:color w:val="F57F17"/>
          <w:sz w:val="28"/>
          <w:szCs w:val="28"/>
        </w:rPr>
        <w:t xml:space="preserve">5. Performance &amp; Scalability Audit</w:t>
      </w:r>
    </w:p>
    <w:p>
      <w:pPr>
        <w:spacing w:after="200"/>
      </w:pPr>
      <w:r>
        <w:rPr>
          <w:rFonts w:ascii="Arial" w:cs="Arial" w:eastAsia="Arial" w:hAnsi="Arial"/>
          <w:color w:val="333333"/>
          <w:sz w:val="22"/>
          <w:szCs w:val="22"/>
        </w:rPr>
        <w:t xml:space="preserve">The project uses multiprocessing for parallel ticker processing, which is a good architectural choice. However, several inefficiencies limit its effectiveness.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460"/>
        <w:gridCol w:w="3000"/>
      </w:tblGrid>
      <w:tr>
        <w:tc>
          <w:tcPr>
            <w:tcW w:type="dxa" w:w="70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20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446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Description</w:t>
            </w:r>
          </w:p>
        </w:tc>
        <w:tc>
          <w:tcPr>
            <w:tcW w:type="dxa" w:w="300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P-01</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E65100"/>
                <w:sz w:val="20"/>
                <w:szCs w:val="20"/>
              </w:rPr>
              <w:t xml:space="preserve">HIGH</w:t>
            </w:r>
          </w:p>
        </w:tc>
        <w:tc>
          <w:tcPr>
            <w:tcW w:type="dxa" w:w="44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ProcessPoolExecutor中每个worker接收完整df_index副本，序列化开销大</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616161"/>
                <w:sz w:val="18"/>
                <w:szCs w:val="18"/>
              </w:rPr>
              <w:t xml:space="preserve">run_strategy.py:379-385</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P-02</w:t>
            </w:r>
          </w:p>
        </w:tc>
        <w:tc>
          <w:tcPr>
            <w:tcW w:type="dxa" w:w="1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F57F17"/>
                <w:sz w:val="20"/>
                <w:szCs w:val="20"/>
              </w:rPr>
              <w:t xml:space="preserve">MEDIUM</w:t>
            </w:r>
          </w:p>
        </w:tc>
        <w:tc>
          <w:tcPr>
            <w:tcW w:type="dxa" w:w="4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333333"/>
                <w:sz w:val="20"/>
                <w:szCs w:val="20"/>
              </w:rPr>
              <w:t xml:space="preserve">Polygon限速12s/请求，16个ticker需~3分钟仅用于数据获取</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616161"/>
                <w:sz w:val="18"/>
                <w:szCs w:val="18"/>
              </w:rPr>
              <w:t xml:space="preserve">data.py:20-23</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P-03</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F57F17"/>
                <w:sz w:val="20"/>
                <w:szCs w:val="20"/>
              </w:rPr>
              <w:t xml:space="preserve">MEDIUM</w:t>
            </w:r>
          </w:p>
        </w:tc>
        <w:tc>
          <w:tcPr>
            <w:tcW w:type="dxa" w:w="44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identify_patterns()遍历全部历史数据，非仅扫描窗口</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616161"/>
                <w:sz w:val="18"/>
                <w:szCs w:val="18"/>
              </w:rPr>
              <w:t xml:space="preserve">patterns.py:20</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P-04</w:t>
            </w:r>
          </w:p>
        </w:tc>
        <w:tc>
          <w:tcPr>
            <w:tcW w:type="dxa" w:w="1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1565C0"/>
                <w:sz w:val="20"/>
                <w:szCs w:val="20"/>
              </w:rPr>
              <w:t xml:space="preserve">LOW</w:t>
            </w:r>
          </w:p>
        </w:tc>
        <w:tc>
          <w:tcPr>
            <w:tcW w:type="dxa" w:w="4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333333"/>
                <w:sz w:val="20"/>
                <w:szCs w:val="20"/>
              </w:rPr>
              <w:t xml:space="preserve">日志中使用emoji字符，部分CI/CD系统不兼容</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616161"/>
                <w:sz w:val="18"/>
                <w:szCs w:val="18"/>
              </w:rPr>
              <w:t xml:space="preserve">run_strategy.py:355,358</w:t>
            </w:r>
          </w:p>
        </w:tc>
      </w:tr>
    </w:tbl>
    <w:p>
      <w:pPr>
        <w:spacing w:before="100" w:after="120"/>
      </w:pPr>
      <w:r>
        <w:rPr>
          <w:rFonts w:ascii="Arial" w:cs="Arial" w:eastAsia="Arial" w:hAnsi="Arial"/>
          <w:color w:val="333333"/>
          <w:sz w:val="22"/>
          <w:szCs w:val="22"/>
        </w:rPr>
        <w:t xml:space="preserve">P-01: Each worker receives a full copy of df_index (QQQ data). With spawn-based multiprocessing, this DataFrame is serialized via pickle for every worker process. For 16 tickers, this means 16 redundant copies. Recommendation: Use shared memory (multiprocessing.shared_memory) or convert df_index to a global that is inherited via fork, or write it to a temporary file that workers read.</w:t>
      </w:r>
    </w:p>
    <w:p>
      <w:pPr>
        <w:spacing w:after="300"/>
      </w:pPr>
      <w:r>
        <w:rPr>
          <w:rFonts w:ascii="Arial" w:cs="Arial" w:eastAsia="Arial" w:hAnsi="Arial"/>
          <w:color w:val="333333"/>
          <w:sz w:val="22"/>
          <w:szCs w:val="22"/>
        </w:rPr>
        <w:t xml:space="preserve">P-03: identify_patterns() in patterns.py iterates from row 1 to the end of the DataFrame. If the DataFrame contains 1.5 years of daily data (~375 rows), but the scan window is only the last year (~250 rows), roughly 33% of the pattern computation is wasted. Recommendation: Accept a start_index parameter to skip pre-scan-window rows.</w:t>
      </w:r>
    </w:p>
    <w:p>
      <w:r>
        <w:br w:type="page"/>
      </w:r>
    </w:p>
    <w:p>
      <w:pPr>
        <w:pStyle w:val="Heading1"/>
        <w:spacing w:before="0" w:after="200"/>
      </w:pPr>
      <w:r>
        <w:rPr>
          <w:rFonts w:ascii="Arial" w:cs="Arial" w:eastAsia="Arial" w:hAnsi="Arial"/>
          <w:b/>
          <w:bCs/>
          <w:color w:val="1565C0"/>
          <w:sz w:val="28"/>
          <w:szCs w:val="28"/>
        </w:rPr>
        <w:t xml:space="preserve">6. Code Quality &amp; Maintainability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460"/>
        <w:gridCol w:w="3000"/>
      </w:tblGrid>
      <w:tr>
        <w:tc>
          <w:tcPr>
            <w:tcW w:type="dxa" w:w="70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20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446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Description</w:t>
            </w:r>
          </w:p>
        </w:tc>
        <w:tc>
          <w:tcPr>
            <w:tcW w:type="dxa" w:w="3000"/>
            <w:tcBorders>
              <w:top w:val="single" w:color="BDBDBD" w:sz="1"/>
              <w:left w:val="single" w:color="BDBDBD" w:sz="1"/>
              <w:bottom w:val="single" w:color="BDBDBD" w:sz="1"/>
              <w:right w:val="single" w:color="BDBDBD" w:sz="1"/>
            </w:tcBorders>
            <w:shd w:fill="1A237E"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Q-01</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E65100"/>
                <w:sz w:val="20"/>
                <w:szCs w:val="20"/>
              </w:rPr>
              <w:t xml:space="preserve">HIGH</w:t>
            </w:r>
          </w:p>
        </w:tc>
        <w:tc>
          <w:tcPr>
            <w:tcW w:type="dxa" w:w="44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完全缺失单元测试——零测试覆盖率</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616161"/>
                <w:sz w:val="18"/>
                <w:szCs w:val="18"/>
              </w:rPr>
              <w:t xml:space="preserve">项目根目录</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Q-02</w:t>
            </w:r>
          </w:p>
        </w:tc>
        <w:tc>
          <w:tcPr>
            <w:tcW w:type="dxa" w:w="1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E65100"/>
                <w:sz w:val="20"/>
                <w:szCs w:val="20"/>
              </w:rPr>
              <w:t xml:space="preserve">HIGH</w:t>
            </w:r>
          </w:p>
        </w:tc>
        <w:tc>
          <w:tcPr>
            <w:tcW w:type="dxa" w:w="4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333333"/>
                <w:sz w:val="20"/>
                <w:szCs w:val="20"/>
              </w:rPr>
              <w:t xml:space="preserve">requirements.txt使用&gt;=而非==，可能导致不兼容升级</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616161"/>
                <w:sz w:val="18"/>
                <w:szCs w:val="18"/>
              </w:rPr>
              <w:t xml:space="preserve">requirements.txt</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Q-03</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F57F17"/>
                <w:sz w:val="20"/>
                <w:szCs w:val="20"/>
              </w:rPr>
              <w:t xml:space="preserve">MEDIUM</w:t>
            </w:r>
          </w:p>
        </w:tc>
        <w:tc>
          <w:tcPr>
            <w:tcW w:type="dxa" w:w="44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全项目无类型注解(type hints)</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616161"/>
                <w:sz w:val="18"/>
                <w:szCs w:val="18"/>
              </w:rPr>
              <w:t xml:space="preserve">所有.py文件</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Q-04</w:t>
            </w:r>
          </w:p>
        </w:tc>
        <w:tc>
          <w:tcPr>
            <w:tcW w:type="dxa" w:w="1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F57F17"/>
                <w:sz w:val="20"/>
                <w:szCs w:val="20"/>
              </w:rPr>
              <w:t xml:space="preserve">MEDIUM</w:t>
            </w:r>
          </w:p>
        </w:tc>
        <w:tc>
          <w:tcPr>
            <w:tcW w:type="dxa" w:w="4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333333"/>
                <w:sz w:val="20"/>
                <w:szCs w:val="20"/>
              </w:rPr>
              <w:t xml:space="preserve">大量注释掉的代码未清理</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616161"/>
                <w:sz w:val="18"/>
                <w:szCs w:val="18"/>
              </w:rPr>
              <w:t xml:space="preserve">run_strategy.py:51-53,222-230</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Q-05</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b/>
                <w:bCs/>
                <w:color w:val="1565C0"/>
                <w:sz w:val="20"/>
                <w:szCs w:val="20"/>
              </w:rPr>
              <w:t xml:space="preserve">LOW</w:t>
            </w:r>
          </w:p>
        </w:tc>
        <w:tc>
          <w:tcPr>
            <w:tcW w:type="dxa" w:w="44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333333"/>
                <w:sz w:val="20"/>
                <w:szCs w:val="20"/>
              </w:rPr>
              <w:t xml:space="preserve">中英文混用不一致（列名、注释、日志）</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pPr>
            <w:r>
              <w:rPr>
                <w:rFonts w:ascii="Arial" w:cs="Arial" w:eastAsia="Arial" w:hAnsi="Arial"/>
                <w:color w:val="616161"/>
                <w:sz w:val="18"/>
                <w:szCs w:val="18"/>
              </w:rPr>
              <w:t xml:space="preserve">多处</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Q-06</w:t>
            </w:r>
          </w:p>
        </w:tc>
        <w:tc>
          <w:tcPr>
            <w:tcW w:type="dxa" w:w="1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b/>
                <w:bCs/>
                <w:color w:val="1565C0"/>
                <w:sz w:val="20"/>
                <w:szCs w:val="20"/>
              </w:rPr>
              <w:t xml:space="preserve">LOW</w:t>
            </w:r>
          </w:p>
        </w:tc>
        <w:tc>
          <w:tcPr>
            <w:tcW w:type="dxa" w:w="4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333333"/>
                <w:sz w:val="20"/>
                <w:szCs w:val="20"/>
              </w:rPr>
              <w:t xml:space="preserve">变量名stop_loss遮蔽外层函数参数</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color w:val="616161"/>
                <w:sz w:val="18"/>
                <w:szCs w:val="18"/>
              </w:rPr>
              <w:t xml:space="preserve">run_strategy.py:236</w:t>
            </w:r>
          </w:p>
        </w:tc>
      </w:tr>
    </w:tbl>
    <w:p>
      <w:pPr>
        <w:spacing w:before="200" w:after="120"/>
      </w:pPr>
      <w:r>
        <w:rPr>
          <w:rFonts w:ascii="Arial" w:cs="Arial" w:eastAsia="Arial" w:hAnsi="Arial"/>
          <w:color w:val="333333"/>
          <w:sz w:val="22"/>
          <w:szCs w:val="22"/>
        </w:rPr>
        <w:t xml:space="preserve">Q-01 Zero Test Coverage: This is the single most impactful quality issue. A trading signal system with ML predictions, technical indicator calculations, and pattern recognition has zero automated tests. Any code change could silently alter signal generation behavior. Recommendation: Prioritize unit tests for indicators.py (KDJ calculation), patterns.py (candlestick recognition), and filters.py (signal filtering logic). These are deterministic functions with clear expected outputs.</w:t>
      </w:r>
    </w:p>
    <w:p>
      <w:pPr>
        <w:spacing w:after="300"/>
      </w:pPr>
      <w:r>
        <w:rPr>
          <w:rFonts w:ascii="Arial" w:cs="Arial" w:eastAsia="Arial" w:hAnsi="Arial"/>
          <w:color w:val="333333"/>
          <w:sz w:val="22"/>
          <w:szCs w:val="22"/>
        </w:rPr>
        <w:t xml:space="preserve">Q-02 Unpinned Dependencies: Using &gt;= in requirements.txt means pip install could pull incompatible versions at any time. xgboost, lightgbm, and pandas frequently introduce breaking changes. Recommendation: Use pip freeze to pin exact versions, or adopt a lock file mechanism (pip-tools, poetry).</w:t>
      </w:r>
    </w:p>
    <w:p>
      <w:r>
        <w:br w:type="page"/>
      </w:r>
    </w:p>
    <w:p>
      <w:pPr>
        <w:pStyle w:val="Heading1"/>
        <w:spacing w:before="0" w:after="200"/>
      </w:pPr>
      <w:r>
        <w:rPr>
          <w:rFonts w:ascii="Arial" w:cs="Arial" w:eastAsia="Arial" w:hAnsi="Arial"/>
          <w:b/>
          <w:bCs/>
          <w:color w:val="1A237E"/>
          <w:sz w:val="28"/>
          <w:szCs w:val="28"/>
        </w:rPr>
        <w:t xml:space="preserve">7. Prioritized Remediation Roadmap</w:t>
      </w:r>
    </w:p>
    <w:p>
      <w:pPr>
        <w:spacing w:after="120"/>
      </w:pPr>
      <w:r>
        <w:rPr>
          <w:rFonts w:ascii="Arial" w:cs="Arial" w:eastAsia="Arial" w:hAnsi="Arial"/>
          <w:b/>
          <w:bCs/>
          <w:color w:val="CC0000"/>
          <w:sz w:val="24"/>
          <w:szCs w:val="24"/>
        </w:rPr>
        <w:t xml:space="preserve">Phase 1: Critical Security Fixes (Immediate)</w:t>
      </w:r>
    </w:p>
    <w:p>
      <w:pPr>
        <w:spacing w:after="80"/>
      </w:pPr>
      <w:r>
        <w:rPr>
          <w:rFonts w:ascii="Arial" w:cs="Arial" w:eastAsia="Arial" w:hAnsi="Arial"/>
          <w:color w:val="333333"/>
          <w:sz w:val="22"/>
          <w:szCs w:val="22"/>
        </w:rPr>
        <w:t xml:space="preserve">1. Replace pd.read_pickle() with pd.read_parquet() or JSON serialization to eliminate RCE risk.</w:t>
      </w:r>
    </w:p>
    <w:p>
      <w:pPr>
        <w:spacing w:after="80"/>
      </w:pPr>
      <w:r>
        <w:rPr>
          <w:rFonts w:ascii="Arial" w:cs="Arial" w:eastAsia="Arial" w:hAnsi="Arial"/>
          <w:color w:val="333333"/>
          <w:sz w:val="22"/>
          <w:szCs w:val="22"/>
        </w:rPr>
        <w:t xml:space="preserve">2. Move API key from URL parameters to request headers (Polygon supports X-Polygon-API-Key header).</w:t>
      </w:r>
    </w:p>
    <w:p>
      <w:pPr>
        <w:spacing w:after="80"/>
      </w:pPr>
      <w:r>
        <w:rPr>
          <w:rFonts w:ascii="Arial" w:cs="Arial" w:eastAsia="Arial" w:hAnsi="Arial"/>
          <w:color w:val="333333"/>
          <w:sz w:val="22"/>
          <w:szCs w:val="22"/>
        </w:rPr>
        <w:t xml:space="preserve">3. Add ticker symbol validation regex before URL construction.</w:t>
      </w:r>
    </w:p>
    <w:p>
      <w:pPr>
        <w:spacing w:after="200"/>
      </w:pPr>
      <w:r>
        <w:rPr>
          <w:rFonts w:ascii="Arial" w:cs="Arial" w:eastAsia="Arial" w:hAnsi="Arial"/>
          <w:color w:val="333333"/>
          <w:sz w:val="22"/>
          <w:szCs w:val="22"/>
        </w:rPr>
        <w:t xml:space="preserve">4. Migrate all credentials to environment variables only; remove plaintext files from project.</w:t>
      </w:r>
    </w:p>
    <w:p>
      <w:pPr>
        <w:spacing w:after="120"/>
      </w:pPr>
      <w:r>
        <w:rPr>
          <w:rFonts w:ascii="Arial" w:cs="Arial" w:eastAsia="Arial" w:hAnsi="Arial"/>
          <w:b/>
          <w:bCs/>
          <w:color w:val="E65100"/>
          <w:sz w:val="24"/>
          <w:szCs w:val="24"/>
        </w:rPr>
        <w:t xml:space="preserve">Phase 2: ML Pipeline Integrity (1-2 weeks)</w:t>
      </w:r>
    </w:p>
    <w:p>
      <w:pPr>
        <w:spacing w:after="80"/>
      </w:pPr>
      <w:r>
        <w:rPr>
          <w:rFonts w:ascii="Arial" w:cs="Arial" w:eastAsia="Arial" w:hAnsi="Arial"/>
          <w:color w:val="333333"/>
          <w:sz w:val="22"/>
          <w:szCs w:val="22"/>
        </w:rPr>
        <w:t xml:space="preserve">1. Implement TimeSeriesSplit cross-validation in train_and_predict().</w:t>
      </w:r>
    </w:p>
    <w:p>
      <w:pPr>
        <w:spacing w:after="80"/>
      </w:pPr>
      <w:r>
        <w:rPr>
          <w:rFonts w:ascii="Arial" w:cs="Arial" w:eastAsia="Arial" w:hAnsi="Arial"/>
          <w:color w:val="333333"/>
          <w:sz w:val="22"/>
          <w:szCs w:val="22"/>
        </w:rPr>
        <w:t xml:space="preserve">2. Restore minimum training sample to 100; add regularization monitoring.</w:t>
      </w:r>
    </w:p>
    <w:p>
      <w:pPr>
        <w:spacing w:after="80"/>
      </w:pPr>
      <w:r>
        <w:rPr>
          <w:rFonts w:ascii="Arial" w:cs="Arial" w:eastAsia="Arial" w:hAnsi="Arial"/>
          <w:color w:val="333333"/>
          <w:sz w:val="22"/>
          <w:szCs w:val="22"/>
        </w:rPr>
        <w:t xml:space="preserve">3. Remove HMM_Bull placeholder or implement the HMM model; remove hmmlearn from requirements if unused.</w:t>
      </w:r>
    </w:p>
    <w:p>
      <w:pPr>
        <w:spacing w:after="200"/>
      </w:pPr>
      <w:r>
        <w:rPr>
          <w:rFonts w:ascii="Arial" w:cs="Arial" w:eastAsia="Arial" w:hAnsi="Arial"/>
          <w:color w:val="333333"/>
          <w:sz w:val="22"/>
          <w:szCs w:val="22"/>
        </w:rPr>
        <w:t xml:space="preserve">4. Document all magic numbers with rationale; extract to STRATEGY_CONFIG.</w:t>
      </w:r>
    </w:p>
    <w:p>
      <w:pPr>
        <w:spacing w:after="120"/>
      </w:pPr>
      <w:r>
        <w:rPr>
          <w:rFonts w:ascii="Arial" w:cs="Arial" w:eastAsia="Arial" w:hAnsi="Arial"/>
          <w:b/>
          <w:bCs/>
          <w:color w:val="F57F17"/>
          <w:sz w:val="24"/>
          <w:szCs w:val="24"/>
        </w:rPr>
        <w:t xml:space="preserve">Phase 3: Architecture Cleanup (2-4 weeks)</w:t>
      </w:r>
    </w:p>
    <w:p>
      <w:pPr>
        <w:spacing w:after="80"/>
      </w:pPr>
      <w:r>
        <w:rPr>
          <w:rFonts w:ascii="Arial" w:cs="Arial" w:eastAsia="Arial" w:hAnsi="Arial"/>
          <w:color w:val="333333"/>
          <w:sz w:val="22"/>
          <w:szCs w:val="22"/>
        </w:rPr>
        <w:t xml:space="preserve">1. Delete dead code: add_result() in reporting.py, commented blocks in run_strategy.py.</w:t>
      </w:r>
    </w:p>
    <w:p>
      <w:pPr>
        <w:spacing w:after="80"/>
      </w:pPr>
      <w:r>
        <w:rPr>
          <w:rFonts w:ascii="Arial" w:cs="Arial" w:eastAsia="Arial" w:hAnsi="Arial"/>
          <w:color w:val="333333"/>
          <w:sz w:val="22"/>
          <w:szCs w:val="22"/>
        </w:rPr>
        <w:t xml:space="preserve">2. Consolidate stop-loss and signal-strength logic into a single authoritative module.</w:t>
      </w:r>
    </w:p>
    <w:p>
      <w:pPr>
        <w:spacing w:after="80"/>
      </w:pPr>
      <w:r>
        <w:rPr>
          <w:rFonts w:ascii="Arial" w:cs="Arial" w:eastAsia="Arial" w:hAnsi="Arial"/>
          <w:color w:val="333333"/>
          <w:sz w:val="22"/>
          <w:szCs w:val="22"/>
        </w:rPr>
        <w:t xml:space="preserve">3. Add retry logic with exponential backoff for all API calls.</w:t>
      </w:r>
    </w:p>
    <w:p>
      <w:pPr>
        <w:spacing w:after="80"/>
      </w:pPr>
      <w:r>
        <w:rPr>
          <w:rFonts w:ascii="Arial" w:cs="Arial" w:eastAsia="Arial" w:hAnsi="Arial"/>
          <w:color w:val="333333"/>
          <w:sz w:val="22"/>
          <w:szCs w:val="22"/>
        </w:rPr>
        <w:t xml:space="preserve">4. Either integrate sentiment_analyzer.py into the main flow or remove it.</w:t>
      </w:r>
    </w:p>
    <w:p>
      <w:pPr>
        <w:spacing w:after="200"/>
      </w:pPr>
      <w:r>
        <w:rPr>
          <w:rFonts w:ascii="Arial" w:cs="Arial" w:eastAsia="Arial" w:hAnsi="Arial"/>
          <w:color w:val="333333"/>
          <w:sz w:val="22"/>
          <w:szCs w:val="22"/>
        </w:rPr>
        <w:t xml:space="preserve">5. Pin dependency versions in requirements.txt.</w:t>
      </w:r>
    </w:p>
    <w:p>
      <w:pPr>
        <w:spacing w:after="120"/>
      </w:pPr>
      <w:r>
        <w:rPr>
          <w:rFonts w:ascii="Arial" w:cs="Arial" w:eastAsia="Arial" w:hAnsi="Arial"/>
          <w:b/>
          <w:bCs/>
          <w:color w:val="1565C0"/>
          <w:sz w:val="24"/>
          <w:szCs w:val="24"/>
        </w:rPr>
        <w:t xml:space="preserve">Phase 4: Quality &amp; Testing (Ongoing)</w:t>
      </w:r>
    </w:p>
    <w:p>
      <w:pPr>
        <w:spacing w:after="80"/>
      </w:pPr>
      <w:r>
        <w:rPr>
          <w:rFonts w:ascii="Arial" w:cs="Arial" w:eastAsia="Arial" w:hAnsi="Arial"/>
          <w:color w:val="333333"/>
          <w:sz w:val="22"/>
          <w:szCs w:val="22"/>
        </w:rPr>
        <w:t xml:space="preserve">1. Write unit tests for indicators.py, patterns.py, filters.py (deterministic logic).</w:t>
      </w:r>
    </w:p>
    <w:p>
      <w:pPr>
        <w:spacing w:after="80"/>
      </w:pPr>
      <w:r>
        <w:rPr>
          <w:rFonts w:ascii="Arial" w:cs="Arial" w:eastAsia="Arial" w:hAnsi="Arial"/>
          <w:color w:val="333333"/>
          <w:sz w:val="22"/>
          <w:szCs w:val="22"/>
        </w:rPr>
        <w:t xml:space="preserve">2. Add integration tests for the full signal generation pipeline with known data.</w:t>
      </w:r>
    </w:p>
    <w:p>
      <w:pPr>
        <w:spacing w:after="80"/>
      </w:pPr>
      <w:r>
        <w:rPr>
          <w:rFonts w:ascii="Arial" w:cs="Arial" w:eastAsia="Arial" w:hAnsi="Arial"/>
          <w:color w:val="333333"/>
          <w:sz w:val="22"/>
          <w:szCs w:val="22"/>
        </w:rPr>
        <w:t xml:space="preserve">3. Add type hints to all public functions.</w:t>
      </w:r>
    </w:p>
    <w:p>
      <w:pPr>
        <w:spacing w:after="80"/>
      </w:pPr>
      <w:r>
        <w:rPr>
          <w:rFonts w:ascii="Arial" w:cs="Arial" w:eastAsia="Arial" w:hAnsi="Arial"/>
          <w:color w:val="333333"/>
          <w:sz w:val="22"/>
          <w:szCs w:val="22"/>
        </w:rPr>
        <w:t xml:space="preserve">4. Standardize language (Chinese or English) for column names and comments.</w:t>
      </w:r>
    </w:p>
    <w:p>
      <w:pPr>
        <w:spacing w:after="200"/>
      </w:pPr>
      <w:r>
        <w:rPr>
          <w:rFonts w:ascii="Arial" w:cs="Arial" w:eastAsia="Arial" w:hAnsi="Arial"/>
          <w:color w:val="333333"/>
          <w:sz w:val="22"/>
          <w:szCs w:val="22"/>
        </w:rPr>
        <w:t xml:space="preserve">5. Set up CI/CD pipeline with automated testing before deployment.</w:t>
      </w:r>
    </w:p>
    <w:p>
      <w:pPr>
        <w:spacing w:before="300" w:after="0"/>
      </w:pPr>
      <w:r>
        <w:rPr>
          <w:rFonts w:ascii="Arial" w:cs="Arial" w:eastAsia="Arial" w:hAnsi="Arial"/>
          <w:i/>
          <w:iCs/>
          <w:color w:val="616161"/>
          <w:sz w:val="20"/>
          <w:szCs w:val="20"/>
        </w:rPr>
        <w:t xml:space="preserve">This audit was conducted based on a static review of all source files. A dynamic analysis (runtime profiling, penetration testing) is recommended as a follow-up to validate the findings and uncover any runtime-specific issues.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center"/>
    </w:pPr>
    <w:r>
      <w:rPr>
        <w:rFonts w:ascii="Arial" w:cs="Arial" w:eastAsia="Arial" w:hAnsi="Arial"/>
        <w:color w:val="616161"/>
        <w:sz w:val="16"/>
        <w:szCs w:val="16"/>
      </w:rPr>
      <w:t xml:space="preserve">Page </w:t>
    </w:r>
    <w:r>
      <w:rPr>
        <w:rFonts w:ascii="Arial" w:cs="Arial" w:eastAsia="Arial" w:hAnsi="Arial"/>
        <w:color w:val="6161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BDBD" w:sz="4" w:space="4"/>
      </w:pBdr>
      <w:tabs>
        <w:tab w:val="right" w:pos="9026"/>
      </w:tabs>
      <w:spacing w:after="0"/>
    </w:pPr>
    <w:r>
      <w:rPr>
        <w:rFonts w:ascii="Arial" w:cs="Arial" w:eastAsia="Arial" w:hAnsi="Arial"/>
        <w:color w:val="616161"/>
        <w:sz w:val="16"/>
        <w:szCs w:val="16"/>
      </w:rPr>
      <w:t xml:space="preserve">KDJ Pattern Scanner V2 — Code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2026-02-18T05:41:51.022Z</dcterms:created>
  <dcterms:modified xsi:type="dcterms:W3CDTF">2026-02-18T05:41:51.022Z</dcterms:modified>
</cp:coreProperties>
</file>

<file path=docProps/custom.xml><?xml version="1.0" encoding="utf-8"?>
<Properties xmlns="http://schemas.openxmlformats.org/officeDocument/2006/custom-properties" xmlns:vt="http://schemas.openxmlformats.org/officeDocument/2006/docPropsVTypes"/>
</file>