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Sora ExtraBold" w:cs="Sora ExtraBold" w:eastAsia="Sora ExtraBold" w:hAnsi="Sora ExtraBold"/>
          <w:b w:val="0"/>
          <w:bCs w:val="0"/>
          <w:sz w:val="80"/>
          <w:szCs w:val="80"/>
        </w:rPr>
      </w:pPr>
      <w:bookmarkStart w:colFirst="0" w:colLast="0" w:name="_kcqbjg4ph9u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925.360000000000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Title"/>
              <w:spacing w:line="192.00000000000003" w:lineRule="auto"/>
              <w:jc w:val="left"/>
              <w:rPr>
                <w:rFonts w:ascii="Sora SemiBold" w:cs="Sora SemiBold" w:eastAsia="Sora SemiBold" w:hAnsi="Sora SemiBold"/>
                <w:b w:val="0"/>
                <w:bCs w:val="0"/>
                <w:sz w:val="88"/>
                <w:szCs w:val="88"/>
              </w:rPr>
            </w:pPr>
            <w:bookmarkStart w:colFirst="0" w:colLast="0" w:name="_avw31baewu7o" w:id="1"/>
            <w:bookmarkEnd w:id="1"/>
            <w:r w:rsidDel="00000000" w:rsidR="00000000" w:rsidRPr="00000000">
              <w:rPr>
                <w:rFonts w:ascii="Sora SemiBold" w:cs="Sora SemiBold" w:eastAsia="Sora SemiBold" w:hAnsi="Sora SemiBold"/>
                <w:b w:val="0"/>
                <w:bCs w:val="0"/>
                <w:color w:val="ffffff"/>
                <w:sz w:val="104"/>
                <w:szCs w:val="104"/>
                <w:rtl w:val="0"/>
              </w:rPr>
              <w:t xml:space="preserve">Memoria Técnica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240" w:lineRule="auto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Subtitle"/>
              <w:rPr>
                <w:color w:val="3f7be9"/>
                <w:sz w:val="32"/>
                <w:szCs w:val="32"/>
              </w:rPr>
            </w:pPr>
            <w:bookmarkStart w:colFirst="0" w:colLast="0" w:name="_m1le92d32r6m" w:id="2"/>
            <w:bookmarkEnd w:id="2"/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Autor:</w:t>
            </w:r>
            <w:r w:rsidDel="00000000" w:rsidR="00000000" w:rsidRPr="00000000">
              <w:rPr>
                <w:color w:val="3f7be9"/>
                <w:sz w:val="32"/>
                <w:szCs w:val="32"/>
                <w:rtl w:val="0"/>
              </w:rPr>
              <w:t xml:space="preserve"> </w:t>
            </w:r>
            <w:hyperlink r:id="rId6">
              <w:r w:rsidDel="00000000" w:rsidR="00000000" w:rsidRPr="00000000">
                <w:rPr>
                  <w:color w:val="0000ee"/>
                  <w:sz w:val="32"/>
                  <w:szCs w:val="32"/>
                  <w:u w:val="single"/>
                  <w:rtl w:val="0"/>
                </w:rPr>
                <w:t xml:space="preserve">Francisco Maximo Ortega Calvo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Subtitle"/>
              <w:rPr>
                <w:color w:val="ffffff"/>
                <w:sz w:val="32"/>
                <w:szCs w:val="32"/>
              </w:rPr>
            </w:pPr>
            <w:bookmarkStart w:colFirst="0" w:colLast="0" w:name="_j7v92aw52odp" w:id="3"/>
            <w:bookmarkEnd w:id="3"/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Equipo: Data &amp; BI</w:t>
            </w:r>
          </w:p>
          <w:p w:rsidR="00000000" w:rsidDel="00000000" w:rsidP="00000000" w:rsidRDefault="00000000" w:rsidRPr="00000000" w14:paraId="0000000F">
            <w:pPr>
              <w:pStyle w:val="Subtitle"/>
              <w:rPr>
                <w:color w:val="ffffff"/>
                <w:sz w:val="32"/>
                <w:szCs w:val="32"/>
              </w:rPr>
            </w:pPr>
            <w:bookmarkStart w:colFirst="0" w:colLast="0" w:name="_iaf4ell62v2r" w:id="4"/>
            <w:bookmarkEnd w:id="4"/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Versión del documento: 1.0</w:t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rPr>
          <w:rFonts w:ascii="Barlow" w:cs="Barlow" w:eastAsia="Barlow" w:hAnsi="Barlow"/>
          <w:sz w:val="24"/>
          <w:szCs w:val="24"/>
        </w:rPr>
      </w:pPr>
      <w:bookmarkStart w:colFirst="0" w:colLast="0" w:name="_wkv43zyeje5z" w:id="5"/>
      <w:bookmarkEnd w:id="5"/>
      <w:r w:rsidDel="00000000" w:rsidR="00000000" w:rsidRPr="00000000">
        <w:rPr>
          <w:rtl w:val="0"/>
        </w:rPr>
        <w:t xml:space="preserve">Control de cambios</w:t>
      </w:r>
      <w:r w:rsidDel="00000000" w:rsidR="00000000" w:rsidRPr="00000000">
        <w:rPr>
          <w:rtl w:val="0"/>
        </w:rPr>
      </w:r>
    </w:p>
    <w:tbl>
      <w:tblPr>
        <w:tblStyle w:val="Table3"/>
        <w:tblW w:w="9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1455"/>
        <w:gridCol w:w="4155"/>
        <w:gridCol w:w="2085"/>
        <w:tblGridChange w:id="0">
          <w:tblGrid>
            <w:gridCol w:w="1470"/>
            <w:gridCol w:w="1455"/>
            <w:gridCol w:w="4155"/>
            <w:gridCol w:w="20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f7be9" w:space="0" w:sz="8" w:val="single"/>
              <w:left w:color="3f7be9" w:space="0" w:sz="8" w:val="single"/>
              <w:bottom w:color="3f7be9" w:space="0" w:sz="8" w:val="single"/>
              <w:right w:color="3f7be9" w:space="0" w:sz="8" w:val="single"/>
            </w:tcBorders>
            <w:shd w:fill="dee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ra SemiBold" w:cs="Sora SemiBold" w:eastAsia="Sora SemiBold" w:hAnsi="Sora SemiBold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rtl w:val="0"/>
              </w:rPr>
              <w:t xml:space="preserve">Versión</w:t>
            </w:r>
          </w:p>
        </w:tc>
        <w:tc>
          <w:tcPr>
            <w:tcBorders>
              <w:top w:color="3f7be9" w:space="0" w:sz="8" w:val="single"/>
              <w:left w:color="3f7be9" w:space="0" w:sz="8" w:val="single"/>
              <w:bottom w:color="3f7be9" w:space="0" w:sz="8" w:val="single"/>
              <w:right w:color="3f7be9" w:space="0" w:sz="8" w:val="single"/>
            </w:tcBorders>
            <w:shd w:fill="dee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ra SemiBold" w:cs="Sora SemiBold" w:eastAsia="Sora SemiBold" w:hAnsi="Sora SemiBold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rtl w:val="0"/>
              </w:rPr>
              <w:t xml:space="preserve">Fecha</w:t>
            </w:r>
          </w:p>
        </w:tc>
        <w:tc>
          <w:tcPr>
            <w:tcBorders>
              <w:top w:color="3f7be9" w:space="0" w:sz="8" w:val="single"/>
              <w:left w:color="3f7be9" w:space="0" w:sz="8" w:val="single"/>
              <w:bottom w:color="3f7be9" w:space="0" w:sz="8" w:val="single"/>
              <w:right w:color="3f7be9" w:space="0" w:sz="8" w:val="single"/>
            </w:tcBorders>
            <w:shd w:fill="dee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ra SemiBold" w:cs="Sora SemiBold" w:eastAsia="Sora SemiBold" w:hAnsi="Sora SemiBold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rtl w:val="0"/>
              </w:rPr>
              <w:t xml:space="preserve">Descripción cambios</w:t>
            </w:r>
          </w:p>
        </w:tc>
        <w:tc>
          <w:tcPr>
            <w:tcBorders>
              <w:top w:color="3f7be9" w:space="0" w:sz="8" w:val="single"/>
              <w:left w:color="3f7be9" w:space="0" w:sz="8" w:val="single"/>
              <w:bottom w:color="3f7be9" w:space="0" w:sz="8" w:val="single"/>
              <w:right w:color="3f7be9" w:space="0" w:sz="8" w:val="single"/>
            </w:tcBorders>
            <w:shd w:fill="dee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ra SemiBold" w:cs="Sora SemiBold" w:eastAsia="Sora SemiBold" w:hAnsi="Sora SemiBold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f7be9" w:space="0" w:sz="8" w:val="single"/>
              <w:left w:color="3f7be9" w:space="0" w:sz="8" w:val="single"/>
              <w:bottom w:color="3f7be9" w:space="0" w:sz="8" w:val="single"/>
              <w:right w:color="3f7b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Instrument Sans" w:cs="Instrument Sans" w:eastAsia="Instrument Sans" w:hAnsi="Instrument Sans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f7be9" w:space="0" w:sz="8" w:val="single"/>
              <w:left w:color="3f7be9" w:space="0" w:sz="8" w:val="single"/>
              <w:bottom w:color="3f7be9" w:space="0" w:sz="8" w:val="single"/>
              <w:right w:color="3f7b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 sept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f7be9" w:space="0" w:sz="5" w:val="single"/>
              <w:left w:color="3f7be9" w:space="0" w:sz="5" w:val="single"/>
              <w:bottom w:color="3f7be9" w:space="0" w:sz="5" w:val="single"/>
              <w:right w:color="3f7be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Versión inicial — entrega del ejercicio práctico de integración ETL GeoStat (SQLite Legacy + API REST demográfica) en PostgreSQL</w:t>
            </w:r>
          </w:p>
        </w:tc>
        <w:tc>
          <w:tcPr>
            <w:tcBorders>
              <w:top w:color="3f7be9" w:space="0" w:sz="8" w:val="single"/>
              <w:left w:color="3f7be9" w:space="0" w:sz="8" w:val="single"/>
              <w:bottom w:color="3f7be9" w:space="0" w:sz="8" w:val="single"/>
              <w:right w:color="3f7b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76" w:lineRule="auto"/>
              <w:jc w:val="center"/>
              <w:rPr>
                <w:rFonts w:ascii="Instrument Sans" w:cs="Instrument Sans" w:eastAsia="Instrument Sans" w:hAnsi="Instrument Sans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Francisco Maximo Ortega Calvo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f7be9" w:space="0" w:sz="8" w:val="single"/>
              <w:left w:color="3f7be9" w:space="0" w:sz="8" w:val="single"/>
              <w:bottom w:color="3f7be9" w:space="0" w:sz="8" w:val="single"/>
              <w:right w:color="3f7b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3f7be9" w:space="0" w:sz="8" w:val="single"/>
              <w:left w:color="3f7be9" w:space="0" w:sz="8" w:val="single"/>
              <w:bottom w:color="3f7be9" w:space="0" w:sz="8" w:val="single"/>
              <w:right w:color="3f7b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sept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f7be9" w:space="0" w:sz="5" w:val="single"/>
              <w:left w:color="3f7be9" w:space="0" w:sz="5" w:val="single"/>
              <w:bottom w:color="3f7be9" w:space="0" w:sz="5" w:val="single"/>
              <w:right w:color="3f7be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Actualización — pipeline reestructurado como paquete de notebooks-módulo (</w:t>
            </w:r>
            <w:r w:rsidDel="00000000" w:rsidR="00000000" w:rsidRPr="00000000">
              <w:rPr>
                <w:rtl w:val="0"/>
              </w:rPr>
              <w:t xml:space="preserve">geostat_etl</w:t>
            </w:r>
            <w:r w:rsidDel="00000000" w:rsidR="00000000" w:rsidRPr="00000000">
              <w:rPr>
                <w:rtl w:val="0"/>
              </w:rPr>
              <w:t xml:space="preserve">/) orquestado por main.ipynb; columnas del modelo de datos renombradas (</w:t>
            </w:r>
            <w:r w:rsidDel="00000000" w:rsidR="00000000" w:rsidRPr="00000000">
              <w:rPr>
                <w:rtl w:val="0"/>
              </w:rPr>
              <w:t xml:space="preserve">nombre_pais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poblacion_total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pib_total_eur</w:t>
            </w:r>
            <w:r w:rsidDel="00000000" w:rsidR="00000000" w:rsidRPr="00000000">
              <w:rPr>
                <w:rtl w:val="0"/>
              </w:rPr>
              <w:t xml:space="preserve">, id) </w:t>
            </w:r>
          </w:p>
        </w:tc>
        <w:tc>
          <w:tcPr>
            <w:tcBorders>
              <w:top w:color="3f7be9" w:space="0" w:sz="8" w:val="single"/>
              <w:left w:color="3f7be9" w:space="0" w:sz="8" w:val="single"/>
              <w:bottom w:color="3f7be9" w:space="0" w:sz="8" w:val="single"/>
              <w:right w:color="3f7b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0" w:line="276" w:lineRule="auto"/>
              <w:jc w:val="center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Francisco Maximo Ortega Calvo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20" w:before="120" w:line="336" w:lineRule="auto"/>
        <w:ind w:left="0" w:firstLine="0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771ivxo74pra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jjbhfhqko05b" w:id="7"/>
      <w:bookmarkEnd w:id="7"/>
      <w:r w:rsidDel="00000000" w:rsidR="00000000" w:rsidRPr="00000000">
        <w:rPr>
          <w:rtl w:val="0"/>
        </w:rPr>
        <w:t xml:space="preserve">Índice.</w:t>
      </w:r>
    </w:p>
    <w:sdt>
      <w:sdtPr>
        <w:id w:val="13054679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wkv43zyeje5z">
            <w:r w:rsidDel="00000000" w:rsidR="00000000" w:rsidRPr="00000000">
              <w:rPr>
                <w:rFonts w:ascii="Instrument Sans" w:cs="Instrument Sans" w:eastAsia="Instrument Sans" w:hAnsi="Instrument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cambios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jbhfhqko05b">
            <w:r w:rsidDel="00000000" w:rsidR="00000000" w:rsidRPr="00000000">
              <w:rPr>
                <w:rFonts w:ascii="Instrument Sans" w:cs="Instrument Sans" w:eastAsia="Instrument Sans" w:hAnsi="Instrument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3r3iipo544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Contexto y objetivos.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o85stcwx8l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de alto nivel (arquitectura).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z7ifqalb0k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detallado.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g6ab9ggqss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del pipeline ETL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gh4fhru2q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 de datos (esquema de base de datos).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mzz6ffpc7t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Lógica clave y algoritmos.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l2foiamgh6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Alternativas consideradas.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7oqz5okllt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pruebas (testing).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hoauke333g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despliegue (rollout).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q58s4ow3pj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y preguntas abiertas.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/>
      </w:pPr>
      <w:bookmarkStart w:colFirst="0" w:colLast="0" w:name="_fu7vsugzdd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rFonts w:ascii="Instrument Sans" w:cs="Instrument Sans" w:eastAsia="Instrument Sans" w:hAnsi="Instrument Sans"/>
          <w:b w:val="1"/>
          <w:bCs w:val="1"/>
          <w:sz w:val="46"/>
          <w:szCs w:val="46"/>
        </w:rPr>
      </w:pPr>
      <w:bookmarkStart w:colFirst="0" w:colLast="0" w:name="_y3r3iipo5446" w:id="9"/>
      <w:bookmarkEnd w:id="9"/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sz w:val="46"/>
          <w:szCs w:val="46"/>
          <w:rtl w:val="0"/>
        </w:rPr>
        <w:t xml:space="preserve">Contexto y objetivos.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Qué: </w:t>
      </w:r>
      <w:r w:rsidDel="00000000" w:rsidR="00000000" w:rsidRPr="00000000">
        <w:rPr>
          <w:rtl w:val="0"/>
        </w:rPr>
        <w:t xml:space="preserve">se integra la base Legacy SQLite de reportes económicos históricos (</w:t>
      </w:r>
      <w:r w:rsidDel="00000000" w:rsidR="00000000" w:rsidRPr="00000000">
        <w:rPr>
          <w:rtl w:val="0"/>
        </w:rPr>
        <w:t xml:space="preserve">datos_economicos_locales.db</w:t>
      </w:r>
      <w:r w:rsidDel="00000000" w:rsidR="00000000" w:rsidRPr="00000000">
        <w:rPr>
          <w:rtl w:val="0"/>
        </w:rPr>
        <w:t xml:space="preserve">, 20.000 filas con divisas variadas y ruido en las mediciones) con datos demográficos en vivo de una API REST, mediante un pipeline ETL en Python, cargando un modelo analítico relacional en PostgreSQL.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qué: </w:t>
      </w:r>
      <w:r w:rsidDel="00000000" w:rsidR="00000000" w:rsidRPr="00000000">
        <w:rPr>
          <w:rtl w:val="0"/>
        </w:rPr>
        <w:t xml:space="preserve">el organismo estadístico necesita una cifra consolidada y fiable por país europeo (44 países), con trazabilidad completa de los registros descartados (cuarentena) y de cada ejecución (auditoría), y sin que una caída de la fuente demográfica externa interrumpa el proceso.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 alcance de este documento cubre el despliegue de PostgreSQL vía Docker, el diseño del modelo de datos destino, el desarrollo del pipeline ETL (extracción, limpieza, consolidación y carga) y esta misma documentación.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rFonts w:ascii="Instrument Sans" w:cs="Instrument Sans" w:eastAsia="Instrument Sans" w:hAnsi="Instrument Sans"/>
          <w:b w:val="1"/>
          <w:bCs w:val="1"/>
          <w:sz w:val="46"/>
          <w:szCs w:val="46"/>
        </w:rPr>
      </w:pPr>
      <w:bookmarkStart w:colFirst="0" w:colLast="0" w:name="_do85stcwx8lp" w:id="10"/>
      <w:bookmarkEnd w:id="10"/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sz w:val="46"/>
          <w:szCs w:val="46"/>
          <w:rtl w:val="0"/>
        </w:rPr>
        <w:t xml:space="preserve">Diseño de alto nivel (arquitectura).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El pipeline sigue el patrón clásico </w:t>
      </w:r>
      <w:r w:rsidDel="00000000" w:rsidR="00000000" w:rsidRPr="00000000">
        <w:rPr>
          <w:b w:val="1"/>
          <w:bCs w:val="1"/>
          <w:rtl w:val="0"/>
        </w:rPr>
        <w:t xml:space="preserve">Extract → Transform → Load</w:t>
      </w:r>
      <w:r w:rsidDel="00000000" w:rsidR="00000000" w:rsidRPr="00000000">
        <w:rPr>
          <w:rtl w:val="0"/>
        </w:rPr>
        <w:t xml:space="preserve">, implementado como un paquete de notebooks-módulo (</w:t>
      </w:r>
      <w:r w:rsidDel="00000000" w:rsidR="00000000" w:rsidRPr="00000000">
        <w:rPr>
          <w:rtl w:val="0"/>
        </w:rPr>
        <w:t xml:space="preserve">geostat_etl</w:t>
      </w:r>
      <w:r w:rsidDel="00000000" w:rsidR="00000000" w:rsidRPr="00000000">
        <w:rPr>
          <w:rtl w:val="0"/>
        </w:rPr>
        <w:t xml:space="preserve">/), uno por responsabilidad, orquestados por main.ipynb mediante %run — que en conjunto leen de SQLite y de la API REST, aplican las reglas de limpieza y consolidación en memoria con pandas, y escriben en PostgreSQL de forma idempotente. Los registros que no superan la validación se desvían a una tabla de cuarentena en lugar de detener el proceso; cada ejecución completa queda auditada con sus contadores y su estado final.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5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i w:val="1"/>
          <w:iCs w:val="1"/>
          <w:color w:val="6b7280"/>
          <w:sz w:val="18"/>
          <w:szCs w:val="18"/>
        </w:rPr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docker-compose.yml despliega PostgreSQL; sql/ddl_destino_postgresql.sql crea el esquema (tablas) al arrancar.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El entorno PostgreSQL destino se despliega con docker-compose.yml: un único contenedor postgres:15 con las credenciales fijadas (base </w:t>
      </w:r>
      <w:r w:rsidDel="00000000" w:rsidR="00000000" w:rsidRPr="00000000">
        <w:rPr>
          <w:rtl w:val="0"/>
        </w:rPr>
        <w:t xml:space="preserve">db_geostat_dw</w:t>
      </w:r>
      <w:r w:rsidDel="00000000" w:rsidR="00000000" w:rsidRPr="00000000">
        <w:rPr>
          <w:rtl w:val="0"/>
        </w:rPr>
        <w:t xml:space="preserve">, usuario </w:t>
      </w:r>
      <w:r w:rsidDel="00000000" w:rsidR="00000000" w:rsidRPr="00000000">
        <w:rPr>
          <w:rtl w:val="0"/>
        </w:rPr>
        <w:t xml:space="preserve">geostat_user</w:t>
      </w:r>
      <w:r w:rsidDel="00000000" w:rsidR="00000000" w:rsidRPr="00000000">
        <w:rPr>
          <w:rtl w:val="0"/>
        </w:rPr>
        <w:t xml:space="preserve">), expuesto en el puerto 5433, que monta sql/</w:t>
      </w:r>
      <w:r w:rsidDel="00000000" w:rsidR="00000000" w:rsidRPr="00000000">
        <w:rPr>
          <w:rtl w:val="0"/>
        </w:rPr>
        <w:t xml:space="preserve">ddl_destino_postgresql.sql</w:t>
      </w:r>
      <w:r w:rsidDel="00000000" w:rsidR="00000000" w:rsidRPr="00000000">
        <w:rPr>
          <w:rtl w:val="0"/>
        </w:rPr>
        <w:t xml:space="preserve"> en /docker-entrypoint-initdb.d/ para crear el esquema automáticamente en el primer arranque.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rFonts w:ascii="Instrument Sans" w:cs="Instrument Sans" w:eastAsia="Instrument Sans" w:hAnsi="Instrument Sans"/>
          <w:b w:val="1"/>
          <w:bCs w:val="1"/>
          <w:sz w:val="46"/>
          <w:szCs w:val="46"/>
        </w:rPr>
      </w:pPr>
      <w:bookmarkStart w:colFirst="0" w:colLast="0" w:name="_6z7ifqalb0kk" w:id="11"/>
      <w:bookmarkEnd w:id="11"/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sz w:val="46"/>
          <w:szCs w:val="46"/>
          <w:rtl w:val="0"/>
        </w:rPr>
        <w:t xml:space="preserve">Diseño detallado.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360" w:lineRule="auto"/>
        <w:rPr>
          <w:rFonts w:ascii="Instrument Sans" w:cs="Instrument Sans" w:eastAsia="Instrument Sans" w:hAnsi="Instrument Sans"/>
          <w:b w:val="1"/>
          <w:bCs w:val="1"/>
          <w:sz w:val="34"/>
          <w:szCs w:val="34"/>
        </w:rPr>
      </w:pPr>
      <w:bookmarkStart w:colFirst="0" w:colLast="0" w:name="_hg6ab9ggqss3" w:id="12"/>
      <w:bookmarkEnd w:id="12"/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sz w:val="34"/>
          <w:szCs w:val="34"/>
          <w:rtl w:val="0"/>
        </w:rPr>
        <w:t xml:space="preserve">Diseño del pipeline ETL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El pipeline se organiza como un paquete de 9 notebooks-módulo dentro de </w:t>
      </w:r>
      <w:r w:rsidDel="00000000" w:rsidR="00000000" w:rsidRPr="00000000">
        <w:rPr>
          <w:rtl w:val="0"/>
        </w:rPr>
        <w:t xml:space="preserve">geostat_etl</w:t>
      </w:r>
      <w:r w:rsidDel="00000000" w:rsidR="00000000" w:rsidRPr="00000000">
        <w:rPr>
          <w:rtl w:val="0"/>
        </w:rPr>
        <w:t xml:space="preserve">/ (uno por responsabilidad: configuración, logging, transformación, demografía, conexión a base de datos, extracción, consolidación, carga y orquestador), encadenados con %run desde main.ipynb en el orden correcto de dependencias. Cada módulo incluye su propio markdown documentado y celdas de prueba rápida:</w:t>
      </w:r>
    </w:p>
    <w:p w:rsidR="00000000" w:rsidDel="00000000" w:rsidP="00000000" w:rsidRDefault="00000000" w:rsidRPr="00000000" w14:paraId="0000003F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7be9"/>
          <w:sz w:val="21"/>
          <w:szCs w:val="21"/>
          <w:rtl w:val="0"/>
        </w:rPr>
        <w:t xml:space="preserve">Configuración</w:t>
      </w:r>
      <w:r w:rsidDel="00000000" w:rsidR="00000000" w:rsidRPr="00000000">
        <w:rPr>
          <w:rtl w:val="0"/>
        </w:rPr>
        <w:t xml:space="preserve"> — credenciales parametrizadas por variable de entorno (host, puerto, usuario), rutas, tamaño de chunk, tipos de cambio, sinónimos de país y el dataset de respaldo demográfico.</w:t>
      </w:r>
    </w:p>
    <w:p w:rsidR="00000000" w:rsidDel="00000000" w:rsidP="00000000" w:rsidRDefault="00000000" w:rsidRPr="00000000" w14:paraId="00000040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7be9"/>
          <w:sz w:val="21"/>
          <w:szCs w:val="21"/>
          <w:rtl w:val="0"/>
        </w:rPr>
        <w:t xml:space="preserve">Extracción</w:t>
      </w:r>
      <w:r w:rsidDel="00000000" w:rsidR="00000000" w:rsidRPr="00000000">
        <w:rPr>
          <w:rtl w:val="0"/>
        </w:rPr>
        <w:t xml:space="preserve"> — la API se intenta hasta 3 veces con timeout; la SQLite se lee obligatoriamente en chunks de 2.000 filas.</w:t>
      </w:r>
    </w:p>
    <w:p w:rsidR="00000000" w:rsidDel="00000000" w:rsidP="00000000" w:rsidRDefault="00000000" w:rsidRPr="00000000" w14:paraId="00000041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7be9"/>
          <w:sz w:val="21"/>
          <w:szCs w:val="21"/>
          <w:rtl w:val="0"/>
        </w:rPr>
        <w:t xml:space="preserve">Transformación</w:t>
      </w:r>
      <w:r w:rsidDel="00000000" w:rsidR="00000000" w:rsidRPr="00000000">
        <w:rPr>
          <w:rtl w:val="0"/>
        </w:rPr>
        <w:t xml:space="preserve"> — normalización de nombres, conversión de unidades y divisas, reglas de cuarentena, consolidación estadística y cálculo de indicadores.</w:t>
      </w:r>
    </w:p>
    <w:p w:rsidR="00000000" w:rsidDel="00000000" w:rsidP="00000000" w:rsidRDefault="00000000" w:rsidRPr="00000000" w14:paraId="00000042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7be9"/>
          <w:sz w:val="21"/>
          <w:szCs w:val="21"/>
          <w:rtl w:val="0"/>
        </w:rPr>
        <w:t xml:space="preserve">Carga</w:t>
      </w:r>
      <w:r w:rsidDel="00000000" w:rsidR="00000000" w:rsidRPr="00000000">
        <w:rPr>
          <w:rtl w:val="0"/>
        </w:rPr>
        <w:t xml:space="preserve"> — UPSERT idempotente sobre </w:t>
      </w:r>
      <w:r w:rsidDel="00000000" w:rsidR="00000000" w:rsidRPr="00000000">
        <w:rPr>
          <w:rtl w:val="0"/>
        </w:rPr>
        <w:t xml:space="preserve">tb_indicadores_europa</w:t>
      </w:r>
      <w:r w:rsidDel="00000000" w:rsidR="00000000" w:rsidRPr="00000000">
        <w:rPr>
          <w:rtl w:val="0"/>
        </w:rPr>
        <w:t xml:space="preserve">, inserción en bloque de la cuarentena y cierre de la auditoría de la ejecución.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La extracción demográfica intenta conectar primero a la API REST; cualquier fallo de conexión o una respuesta con formato inesperado se captura, se registra en el log como aviso, y el proceso continúa con el dataset de respaldo interno sin detenerse. Un error de conexión a PostgreSQL, en cambio, sí se registra como error crítico, ya que sin destino no hay carga posible.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before="360" w:lineRule="auto"/>
        <w:rPr>
          <w:rFonts w:ascii="Instrument Sans" w:cs="Instrument Sans" w:eastAsia="Instrument Sans" w:hAnsi="Instrument Sans"/>
          <w:b w:val="1"/>
          <w:bCs w:val="1"/>
          <w:sz w:val="34"/>
          <w:szCs w:val="34"/>
        </w:rPr>
      </w:pPr>
      <w:bookmarkStart w:colFirst="0" w:colLast="0" w:name="_n5gh4fhru2q2" w:id="13"/>
      <w:bookmarkEnd w:id="13"/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sz w:val="34"/>
          <w:szCs w:val="34"/>
          <w:rtl w:val="0"/>
        </w:rPr>
        <w:t xml:space="preserve">Modelo de datos (esquema de base de datos).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El esquema contiene tres tablas: la tabla analítica destino (un registro por país europeo), la tabla de cuarentena (trazabilidad de los registros rechazados) y la tabla de auditoría (una fila por ejecución del pipeline).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Tablas del modelo destino: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2160"/>
        <w:gridCol w:w="3810"/>
        <w:tblGridChange w:id="0">
          <w:tblGrid>
            <w:gridCol w:w="2910"/>
            <w:gridCol w:w="2160"/>
            <w:gridCol w:w="381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before="0" w:lineRule="auto"/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Tabla</w:t>
            </w:r>
          </w:p>
        </w:tc>
        <w:tc>
          <w:tcPr>
            <w:tcBorders>
              <w:top w:color="c4c7c5" w:space="0" w:sz="5" w:val="single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before="0" w:lineRule="auto"/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Tipo</w:t>
            </w:r>
          </w:p>
        </w:tc>
        <w:tc>
          <w:tcPr>
            <w:tcBorders>
              <w:top w:color="c4c7c5" w:space="0" w:sz="5" w:val="single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before="0" w:lineRule="auto"/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Contenido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tb_indicadores_europa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Analítica destino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1 fila por país (UNIQUE en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nombre_pais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): id,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poblacion_total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superficie_km2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, pib_total_eur,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densidad_poblacional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, pib_per_capita_eur, fuente_poblacion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tb_cuarentena_geodatos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Cuarentena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Dato original sin transformar + motivo de rechazo +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id_ejecución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tb_ejecuciones_etl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fecha_inicio/fin,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registros_leídos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/insertados/cuarentena,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origen_demografía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, estado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Fragmento representativo del DDL — tabla analítica destino: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CREATE TABLE IF NOT EXISTS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tb_indicadores_europa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(</w:t>
      </w:r>
    </w:p>
    <w:p w:rsidR="00000000" w:rsidDel="00000000" w:rsidP="00000000" w:rsidRDefault="00000000" w:rsidRPr="00000000" w14:paraId="00000058">
      <w:pPr>
        <w:spacing w:after="0" w:before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ab/>
        <w:t xml:space="preserve">id                </w:t>
        <w:tab/>
        <w:t xml:space="preserve">SERIAL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PRIMARY KEY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pacing w:after="0" w:before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nombre_pais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 NULL UNIQUE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pacing w:after="0" w:before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poblacion_total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BIGINT NOT 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pacing w:after="0" w:before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superficie_km2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pacing w:after="0" w:before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pib_total_eur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pacing w:after="0" w:before="0" w:line="276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ab/>
        <w:t xml:space="preserve">fuente_poblacion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'API' o 'FALLBACK'</w:t>
      </w:r>
    </w:p>
    <w:p w:rsidR="00000000" w:rsidDel="00000000" w:rsidP="00000000" w:rsidRDefault="00000000" w:rsidRPr="00000000" w14:paraId="0000005E">
      <w:pPr>
        <w:spacing w:after="0" w:before="0" w:line="276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fecha_actualizacion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TIMESTAMP NOT NULL DEFAULT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NOW(),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para el UPSERT</w:t>
      </w:r>
    </w:p>
    <w:p w:rsidR="00000000" w:rsidDel="00000000" w:rsidP="00000000" w:rsidRDefault="00000000" w:rsidRPr="00000000" w14:paraId="0000005F">
      <w:pPr>
        <w:spacing w:after="0" w:before="0" w:line="276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before="360" w:lineRule="auto"/>
        <w:rPr>
          <w:rFonts w:ascii="Instrument Sans" w:cs="Instrument Sans" w:eastAsia="Instrument Sans" w:hAnsi="Instrument Sans"/>
          <w:b w:val="1"/>
          <w:bCs w:val="1"/>
          <w:sz w:val="34"/>
          <w:szCs w:val="34"/>
        </w:rPr>
      </w:pPr>
      <w:bookmarkStart w:colFirst="0" w:colLast="0" w:name="_xmzz6ffpc7tn" w:id="14"/>
      <w:bookmarkEnd w:id="14"/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sz w:val="34"/>
          <w:szCs w:val="34"/>
          <w:rtl w:val="0"/>
        </w:rPr>
        <w:t xml:space="preserve">Lógica clave y algoritmos.</w:t>
      </w:r>
    </w:p>
    <w:p w:rsidR="00000000" w:rsidDel="00000000" w:rsidP="00000000" w:rsidRDefault="00000000" w:rsidRPr="00000000" w14:paraId="00000062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7be9"/>
          <w:sz w:val="21"/>
          <w:szCs w:val="21"/>
          <w:rtl w:val="0"/>
        </w:rPr>
        <w:t xml:space="preserve">normalizar_nombre_pais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7be9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  <w:t xml:space="preserve"> — recorta y colapsa espacios (regex \s+), elimina acentos (unicodedata) y traduce sinónimos en español a la forma canónica en inglés, para cruzar de forma fiable la SQLite con la API.</w:t>
      </w:r>
    </w:p>
    <w:p w:rsidR="00000000" w:rsidDel="00000000" w:rsidP="00000000" w:rsidRDefault="00000000" w:rsidRPr="00000000" w14:paraId="00000063">
      <w:pPr>
        <w:spacing w:after="160" w:before="0" w:lineRule="auto"/>
        <w:ind w:left="1080" w:hanging="24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83200" cy="2463800"/>
            <wp:effectExtent b="0" l="0" r="0" t="0"/>
            <wp:docPr id="14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7be9"/>
          <w:sz w:val="21"/>
          <w:szCs w:val="21"/>
          <w:rtl w:val="0"/>
        </w:rPr>
        <w:t xml:space="preserve">convertir_superficie_a_km2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7be9"/>
          <w:sz w:val="21"/>
          <w:szCs w:val="21"/>
          <w:rtl w:val="0"/>
        </w:rPr>
        <w:t xml:space="preserve">()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7be9"/>
          <w:sz w:val="21"/>
          <w:szCs w:val="21"/>
          <w:rtl w:val="0"/>
        </w:rPr>
        <w:t xml:space="preserve">convertir_pib_a_eur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7be9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  <w:t xml:space="preserve"> — factor fijo 1 </w:t>
      </w:r>
      <w:r w:rsidDel="00000000" w:rsidR="00000000" w:rsidRPr="00000000">
        <w:rPr>
          <w:rtl w:val="0"/>
        </w:rPr>
        <w:t xml:space="preserve">sq_mi</w:t>
      </w:r>
      <w:r w:rsidDel="00000000" w:rsidR="00000000" w:rsidRPr="00000000">
        <w:rPr>
          <w:rtl w:val="0"/>
        </w:rPr>
        <w:t xml:space="preserve"> = 2,58999 </w:t>
      </w:r>
      <w:r w:rsidDel="00000000" w:rsidR="00000000" w:rsidRPr="00000000">
        <w:rPr>
          <w:rtl w:val="0"/>
        </w:rPr>
        <w:t xml:space="preserve">km²</w:t>
      </w:r>
      <w:r w:rsidDel="00000000" w:rsidR="00000000" w:rsidRPr="00000000">
        <w:rPr>
          <w:rtl w:val="0"/>
        </w:rPr>
        <w:t xml:space="preserve">; estructura fija de 11 tipos de cambio frente al EUR (referencia BCE).</w:t>
      </w:r>
    </w:p>
    <w:p w:rsidR="00000000" w:rsidDel="00000000" w:rsidP="00000000" w:rsidRDefault="00000000" w:rsidRPr="00000000" w14:paraId="00000065">
      <w:pPr>
        <w:spacing w:after="160" w:before="0" w:lineRule="auto"/>
        <w:ind w:left="1080" w:hanging="240"/>
        <w:rPr/>
      </w:pPr>
      <w:r w:rsidDel="00000000" w:rsidR="00000000" w:rsidRPr="00000000">
        <w:rPr/>
        <w:drawing>
          <wp:inline distB="114300" distT="114300" distL="114300" distR="114300">
            <wp:extent cx="5207000" cy="1536700"/>
            <wp:effectExtent b="0" l="0" r="0" t="0"/>
            <wp:docPr id="6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before="0" w:lineRule="auto"/>
        <w:ind w:left="1080" w:hanging="240"/>
        <w:rPr/>
      </w:pPr>
      <w:r w:rsidDel="00000000" w:rsidR="00000000" w:rsidRPr="00000000">
        <w:rPr/>
        <w:drawing>
          <wp:inline distB="114300" distT="114300" distL="114300" distR="114300">
            <wp:extent cx="5727700" cy="2184400"/>
            <wp:effectExtent b="0" l="0" r="0" t="0"/>
            <wp:docPr id="13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7be9"/>
          <w:sz w:val="21"/>
          <w:szCs w:val="21"/>
          <w:rtl w:val="0"/>
        </w:rPr>
        <w:t xml:space="preserve">consolidar_estadisticamente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7be9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  <w:t xml:space="preserve"> — mediana por país sobre los reportes válidos, elegida por ser robusta frente a valores atípicos frente a la media aritmética.</w:t>
      </w:r>
    </w:p>
    <w:p w:rsidR="00000000" w:rsidDel="00000000" w:rsidP="00000000" w:rsidRDefault="00000000" w:rsidRPr="00000000" w14:paraId="00000068">
      <w:pPr>
        <w:spacing w:after="160" w:before="0" w:lineRule="auto"/>
        <w:ind w:left="1080" w:hanging="240"/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7be9"/>
          <w:sz w:val="21"/>
          <w:szCs w:val="21"/>
          <w:rtl w:val="0"/>
        </w:rPr>
        <w:t xml:space="preserve">calcular_indicadores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7be9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densidad_poblacional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poblacion_total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superficie_km2</w:t>
      </w:r>
      <w:r w:rsidDel="00000000" w:rsidR="00000000" w:rsidRPr="00000000">
        <w:rPr>
          <w:rtl w:val="0"/>
        </w:rPr>
        <w:t xml:space="preserve">; pib_per_capita_eur = </w:t>
      </w:r>
      <w:r w:rsidDel="00000000" w:rsidR="00000000" w:rsidRPr="00000000">
        <w:rPr>
          <w:rtl w:val="0"/>
        </w:rPr>
        <w:t xml:space="preserve">pib_total_eur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poblacion_total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160" w:before="0" w:lineRule="auto"/>
        <w:ind w:left="1080" w:hanging="240"/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7be9"/>
          <w:sz w:val="21"/>
          <w:szCs w:val="21"/>
          <w:rtl w:val="0"/>
        </w:rPr>
        <w:t xml:space="preserve">cargar_en_postgres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7be9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  <w:t xml:space="preserve"> — INSERT ... ON CONFLICT (</w:t>
      </w:r>
      <w:r w:rsidDel="00000000" w:rsidR="00000000" w:rsidRPr="00000000">
        <w:rPr>
          <w:rtl w:val="0"/>
        </w:rPr>
        <w:t xml:space="preserve">nombre_pais</w:t>
      </w:r>
      <w:r w:rsidDel="00000000" w:rsidR="00000000" w:rsidRPr="00000000">
        <w:rPr>
          <w:rtl w:val="0"/>
        </w:rPr>
        <w:t xml:space="preserve">) DO UPDATE en una única transacción, con ROLLBACK y log de error ante cualquier fallo.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rFonts w:ascii="Instrument Sans" w:cs="Instrument Sans" w:eastAsia="Instrument Sans" w:hAnsi="Instrument Sans"/>
          <w:b w:val="1"/>
          <w:bCs w:val="1"/>
          <w:sz w:val="46"/>
          <w:szCs w:val="46"/>
        </w:rPr>
      </w:pPr>
      <w:bookmarkStart w:colFirst="0" w:colLast="0" w:name="_ul2foiamgh6m" w:id="15"/>
      <w:bookmarkEnd w:id="15"/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sz w:val="46"/>
          <w:szCs w:val="46"/>
          <w:rtl w:val="0"/>
        </w:rPr>
        <w:t xml:space="preserve">Alternativas consideradas.</w:t>
      </w:r>
    </w:p>
    <w:p w:rsidR="00000000" w:rsidDel="00000000" w:rsidP="00000000" w:rsidRDefault="00000000" w:rsidRPr="00000000" w14:paraId="00000070">
      <w:pPr>
        <w:spacing w:after="160" w:before="0" w:lineRule="auto"/>
        <w:ind w:left="1080" w:hanging="240"/>
        <w:rPr/>
      </w:pPr>
      <w:r w:rsidDel="00000000" w:rsidR="00000000" w:rsidRPr="00000000">
        <w:rPr>
          <w:b w:val="1"/>
          <w:bCs w:val="1"/>
          <w:rtl w:val="0"/>
        </w:rPr>
        <w:t xml:space="preserve">Media vs. mediana</w:t>
      </w:r>
      <w:r w:rsidDel="00000000" w:rsidR="00000000" w:rsidRPr="00000000">
        <w:rPr>
          <w:rtl w:val="0"/>
        </w:rPr>
        <w:t xml:space="preserve"> para consolidar los duplicados — se descartó la media aritmética por ser sensible a valores atípicos; la mediana da una cifra estable incluso con cientos de reportes ruidosos por país.</w:t>
      </w:r>
    </w:p>
    <w:p w:rsidR="00000000" w:rsidDel="00000000" w:rsidP="00000000" w:rsidRDefault="00000000" w:rsidRPr="00000000" w14:paraId="00000071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Detener el pipeline vs. cuarentena</w:t>
      </w:r>
      <w:r w:rsidDel="00000000" w:rsidR="00000000" w:rsidRPr="00000000">
        <w:rPr>
          <w:rtl w:val="0"/>
        </w:rPr>
        <w:t xml:space="preserve"> ante datos inválidos — se descartó detener la ejecución al primer registro incoherente; se optó por aislar cada fila problemática en </w:t>
      </w:r>
      <w:r w:rsidDel="00000000" w:rsidR="00000000" w:rsidRPr="00000000">
        <w:rPr>
          <w:rtl w:val="0"/>
        </w:rPr>
        <w:t xml:space="preserve">tb_cuarentena_geodatos</w:t>
      </w:r>
      <w:r w:rsidDel="00000000" w:rsidR="00000000" w:rsidRPr="00000000">
        <w:rPr>
          <w:rtl w:val="0"/>
        </w:rPr>
        <w:t xml:space="preserve"> y continuar, para no perder el resto del dataset por un porcentaje minoritario de errores.</w:t>
      </w:r>
    </w:p>
    <w:p w:rsidR="00000000" w:rsidDel="00000000" w:rsidP="00000000" w:rsidRDefault="00000000" w:rsidRPr="00000000" w14:paraId="00000072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DELETE + INSERT vs. UPSERT</w:t>
      </w:r>
      <w:r w:rsidDel="00000000" w:rsidR="00000000" w:rsidRPr="00000000">
        <w:rPr>
          <w:rtl w:val="0"/>
        </w:rPr>
        <w:t xml:space="preserve"> para la idempotencia — se descartó vaciar la tabla en cada ejecución por perder el histórico de </w:t>
      </w:r>
      <w:r w:rsidDel="00000000" w:rsidR="00000000" w:rsidRPr="00000000">
        <w:rPr>
          <w:rtl w:val="0"/>
        </w:rPr>
        <w:t xml:space="preserve">fecha_actualizacion</w:t>
      </w:r>
      <w:r w:rsidDel="00000000" w:rsidR="00000000" w:rsidRPr="00000000">
        <w:rPr>
          <w:rtl w:val="0"/>
        </w:rPr>
        <w:t xml:space="preserve">; ON CONFLICT DO UPDATE actualiza solo lo que cambia.</w:t>
      </w:r>
    </w:p>
    <w:p w:rsidR="00000000" w:rsidDel="00000000" w:rsidP="00000000" w:rsidRDefault="00000000" w:rsidRPr="00000000" w14:paraId="00000073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Notebook único vs. paquete de notebooks-módulo</w:t>
      </w:r>
      <w:r w:rsidDel="00000000" w:rsidR="00000000" w:rsidRPr="00000000">
        <w:rPr>
          <w:rtl w:val="0"/>
        </w:rPr>
        <w:t xml:space="preserve"> — se probó primero un único notebook autocontenido para simplificar la ejecución; finalmente se adoptó un paquete de notebooks-módulo (</w:t>
      </w:r>
      <w:r w:rsidDel="00000000" w:rsidR="00000000" w:rsidRPr="00000000">
        <w:rPr>
          <w:rtl w:val="0"/>
        </w:rPr>
        <w:t xml:space="preserve">geostat_etl</w:t>
      </w:r>
      <w:r w:rsidDel="00000000" w:rsidR="00000000" w:rsidRPr="00000000">
        <w:rPr>
          <w:rtl w:val="0"/>
        </w:rPr>
        <w:t xml:space="preserve">/), uno por responsabilidad, encadenados con %run desde main.ipynb, para alinear el proyecto con la estructura clásica de módulos/paquetes de Python — a costa de una cadena de dependencias entre notebooks que hay que respetar al ejecutar cada uno por separado.</w:t>
      </w:r>
    </w:p>
    <w:p w:rsidR="00000000" w:rsidDel="00000000" w:rsidP="00000000" w:rsidRDefault="00000000" w:rsidRPr="00000000" w14:paraId="00000074">
      <w:pPr>
        <w:spacing w:after="160" w:before="0" w:lineRule="auto"/>
        <w:ind w:left="1080" w:hanging="24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Tipos de cambio fijos vs. API de divisas en vivo</w:t>
      </w:r>
      <w:r w:rsidDel="00000000" w:rsidR="00000000" w:rsidRPr="00000000">
        <w:rPr>
          <w:rtl w:val="0"/>
        </w:rPr>
        <w:t xml:space="preserve"> — se descartó añadir una segunda dependencia externa por el alcance del ejercicio; queda anotado como mejora futura en la sección de riesgos.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rFonts w:ascii="Instrument Sans" w:cs="Instrument Sans" w:eastAsia="Instrument Sans" w:hAnsi="Instrument Sans"/>
          <w:b w:val="1"/>
          <w:bCs w:val="1"/>
          <w:sz w:val="46"/>
          <w:szCs w:val="46"/>
        </w:rPr>
      </w:pPr>
      <w:bookmarkStart w:colFirst="0" w:colLast="0" w:name="_n7oqz5oklltt" w:id="16"/>
      <w:bookmarkEnd w:id="16"/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sz w:val="46"/>
          <w:szCs w:val="46"/>
          <w:rtl w:val="0"/>
        </w:rPr>
        <w:t xml:space="preserve">Plan de pruebas (testing).</w:t>
      </w:r>
    </w:p>
    <w:p w:rsidR="00000000" w:rsidDel="00000000" w:rsidP="00000000" w:rsidRDefault="00000000" w:rsidRPr="00000000" w14:paraId="00000077">
      <w:pPr>
        <w:spacing w:after="160" w:before="0" w:lineRule="auto"/>
        <w:rPr/>
      </w:pPr>
      <w:r w:rsidDel="00000000" w:rsidR="00000000" w:rsidRPr="00000000">
        <w:rPr>
          <w:rtl w:val="0"/>
        </w:rPr>
        <w:t xml:space="preserve">Antes de la entrega se ejecutó el notebook de extremo a extremo contra una instancia real de PostgreSQL 15 (no solo se revisó el código), verificando los siguientes casos:</w:t>
      </w:r>
    </w:p>
    <w:p w:rsidR="00000000" w:rsidDel="00000000" w:rsidP="00000000" w:rsidRDefault="00000000" w:rsidRPr="00000000" w14:paraId="00000078">
      <w:pPr>
        <w:spacing w:after="160" w:before="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3300"/>
        <w:gridCol w:w="2550"/>
        <w:tblGridChange w:id="0">
          <w:tblGrid>
            <w:gridCol w:w="3030"/>
            <w:gridCol w:w="3300"/>
            <w:gridCol w:w="255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before="0" w:lineRule="auto"/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Caso de prueba</w:t>
            </w:r>
          </w:p>
        </w:tc>
        <w:tc>
          <w:tcPr>
            <w:tcBorders>
              <w:top w:color="c4c7c5" w:space="0" w:sz="5" w:val="single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before="0" w:lineRule="auto"/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Resultado esperado</w:t>
            </w:r>
          </w:p>
        </w:tc>
        <w:tc>
          <w:tcPr>
            <w:tcBorders>
              <w:top w:color="c4c7c5" w:space="0" w:sz="5" w:val="single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before="0" w:lineRule="auto"/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Resultado obtenido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Carga completa del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44 países en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tb_indicadores_europa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44 — OK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Ranking por PIB per cápita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Mónaco, Liechtenstein y Luxemburgo arriba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Confirmado — OK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Filtrado de entidades no europeas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Narnia y Atlantis a cuarentena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993 registros — OK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before="0" w:lineRule="auto"/>
              <w:jc w:val="lef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Filtrado de PIB ≤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Registros incoherentes a cuarentena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209 registros — OK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Caída de la API de demografía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Fallback interno sin detener el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Confirmado (API deprecada) — OK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Re-ejecución del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Sin duplicar países (UPSERT)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60" w:before="0" w:lineRule="auto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44 tras 5 corridas — OK</w:t>
            </w:r>
          </w:p>
        </w:tc>
      </w:tr>
    </w:tbl>
    <w:p w:rsidR="00000000" w:rsidDel="00000000" w:rsidP="00000000" w:rsidRDefault="00000000" w:rsidRPr="00000000" w14:paraId="0000008E">
      <w:pPr>
        <w:spacing w:after="16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0" w:before="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Verificación independiente en PostgreSQL (psql)</w:t>
      </w:r>
    </w:p>
    <w:p w:rsidR="00000000" w:rsidDel="00000000" w:rsidP="00000000" w:rsidRDefault="00000000" w:rsidRPr="00000000" w14:paraId="00000090">
      <w:pPr>
        <w:spacing w:after="160" w:before="0" w:lineRule="auto"/>
        <w:rPr/>
      </w:pPr>
      <w:r w:rsidDel="00000000" w:rsidR="00000000" w:rsidRPr="00000000">
        <w:rPr>
          <w:rtl w:val="0"/>
        </w:rPr>
        <w:t xml:space="preserve">Recuento final de filas por tabla, consultado directamente con psql (fuera del propio notebook) como verificación independiente:</w:t>
      </w:r>
    </w:p>
    <w:p w:rsidR="00000000" w:rsidDel="00000000" w:rsidP="00000000" w:rsidRDefault="00000000" w:rsidRPr="00000000" w14:paraId="00000091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67050" cy="120015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left"/>
        <w:rPr>
          <w:i w:val="1"/>
          <w:iCs w:val="1"/>
          <w:color w:val="595959"/>
          <w:sz w:val="18"/>
          <w:szCs w:val="18"/>
        </w:rPr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0" w:before="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 de ejecución completo</w:t>
      </w:r>
    </w:p>
    <w:p w:rsidR="00000000" w:rsidDel="00000000" w:rsidP="00000000" w:rsidRDefault="00000000" w:rsidRPr="00000000" w14:paraId="00000094">
      <w:pPr>
        <w:spacing w:after="160" w:before="0" w:lineRule="auto"/>
        <w:rPr/>
      </w:pPr>
      <w:r w:rsidDel="00000000" w:rsidR="00000000" w:rsidRPr="00000000">
        <w:rPr>
          <w:rtl w:val="0"/>
        </w:rPr>
        <w:t xml:space="preserve">Contenido íntegro de logs/ejecucion_etl.log de la última ejecución (conexión a origen y destino, inicio/fin de cada fase, recuentos, avisos y duración total, tal y como exige el apartado de Calidad y Auditoría del documento de requerimientos):</w:t>
      </w:r>
    </w:p>
    <w:p w:rsidR="00000000" w:rsidDel="00000000" w:rsidP="00000000" w:rsidRDefault="00000000" w:rsidRPr="00000000" w14:paraId="00000095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rFonts w:ascii="Instrument Sans" w:cs="Instrument Sans" w:eastAsia="Instrument Sans" w:hAnsi="Instrument Sans"/>
          <w:b w:val="1"/>
          <w:bCs w:val="1"/>
          <w:sz w:val="46"/>
          <w:szCs w:val="46"/>
        </w:rPr>
      </w:pPr>
      <w:bookmarkStart w:colFirst="0" w:colLast="0" w:name="_dhoauke333g7" w:id="17"/>
      <w:bookmarkEnd w:id="17"/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sz w:val="46"/>
          <w:szCs w:val="46"/>
          <w:rtl w:val="0"/>
        </w:rPr>
        <w:t xml:space="preserve">Plan de despliegue (rollout).</w:t>
      </w:r>
    </w:p>
    <w:p w:rsidR="00000000" w:rsidDel="00000000" w:rsidP="00000000" w:rsidRDefault="00000000" w:rsidRPr="00000000" w14:paraId="00000097">
      <w:pPr>
        <w:spacing w:after="16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Infraestructura</w:t>
      </w:r>
      <w:r w:rsidDel="00000000" w:rsidR="00000000" w:rsidRPr="00000000">
        <w:rPr>
          <w:rtl w:val="0"/>
        </w:rPr>
        <w:t xml:space="preserve"> — docker compose up -d levanta PostgreSQL 15 en el puerto 5433 y crea las 3 tablas automáticamente a partir de sql/ddl_destino_postgresql.sql.</w:t>
      </w:r>
    </w:p>
    <w:p w:rsidR="00000000" w:rsidDel="00000000" w:rsidP="00000000" w:rsidRDefault="00000000" w:rsidRPr="00000000" w14:paraId="00000098">
      <w:pPr>
        <w:spacing w:after="16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Entorno Python</w:t>
      </w:r>
      <w:r w:rsidDel="00000000" w:rsidR="00000000" w:rsidRPr="00000000">
        <w:rPr>
          <w:rtl w:val="0"/>
        </w:rPr>
        <w:t xml:space="preserve"> — entorno virtual (python -m venv .venv) con las dependencias de requirements.txt (pandas, requests, psycopg2-binary, ipykernel).</w:t>
      </w:r>
    </w:p>
    <w:p w:rsidR="00000000" w:rsidDel="00000000" w:rsidP="00000000" w:rsidRDefault="00000000" w:rsidRPr="00000000" w14:paraId="00000099">
      <w:pPr>
        <w:spacing w:after="16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Ejecución</w:t>
      </w:r>
      <w:r w:rsidDel="00000000" w:rsidR="00000000" w:rsidRPr="00000000">
        <w:rPr>
          <w:rtl w:val="0"/>
        </w:rPr>
        <w:t xml:space="preserve"> — abrir main.ipynb (raíz del proyecto), seleccionar el kernel del entorno virtual y ejecutar todas las celdas (Restart &amp; Run All); la sección 1 encadena los 9 módulos </w:t>
      </w:r>
      <w:r w:rsidDel="00000000" w:rsidR="00000000" w:rsidRPr="00000000">
        <w:rPr>
          <w:rtl w:val="0"/>
        </w:rPr>
        <w:t xml:space="preserve">con %run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16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Verificación</w:t>
      </w:r>
      <w:r w:rsidDel="00000000" w:rsidR="00000000" w:rsidRPr="00000000">
        <w:rPr>
          <w:rtl w:val="0"/>
        </w:rPr>
        <w:t xml:space="preserve"> — la última celda de main.ipynb consulta PostgreSQL directamente y confirma el total de países, el top 10 por PIB per cápita y el desglose de la cuarentena.</w:t>
      </w:r>
    </w:p>
    <w:p w:rsidR="00000000" w:rsidDel="00000000" w:rsidP="00000000" w:rsidRDefault="00000000" w:rsidRPr="00000000" w14:paraId="0000009B">
      <w:pPr>
        <w:spacing w:after="16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Reinicio limpio</w:t>
      </w:r>
      <w:r w:rsidDel="00000000" w:rsidR="00000000" w:rsidRPr="00000000">
        <w:rPr>
          <w:rtl w:val="0"/>
        </w:rPr>
        <w:t xml:space="preserve"> — docker compose down -v elimina los datos; el DDL se vuelve a ejecutar en el siguiente up.</w:t>
      </w:r>
    </w:p>
    <w:p w:rsidR="00000000" w:rsidDel="00000000" w:rsidP="00000000" w:rsidRDefault="00000000" w:rsidRPr="00000000" w14:paraId="0000009C">
      <w:pPr>
        <w:spacing w:after="16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16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rFonts w:ascii="Instrument Sans" w:cs="Instrument Sans" w:eastAsia="Instrument Sans" w:hAnsi="Instrument Sans"/>
          <w:b w:val="1"/>
          <w:bCs w:val="1"/>
          <w:sz w:val="46"/>
          <w:szCs w:val="46"/>
        </w:rPr>
      </w:pPr>
      <w:bookmarkStart w:colFirst="0" w:colLast="0" w:name="_4q58s4ow3pjj" w:id="18"/>
      <w:bookmarkEnd w:id="18"/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sz w:val="46"/>
          <w:szCs w:val="46"/>
          <w:rtl w:val="0"/>
        </w:rPr>
        <w:t xml:space="preserve">Riesgos y preguntas abiertas.</w:t>
      </w:r>
    </w:p>
    <w:p w:rsidR="00000000" w:rsidDel="00000000" w:rsidP="00000000" w:rsidRDefault="00000000" w:rsidRPr="00000000" w14:paraId="000000A2">
      <w:pPr>
        <w:spacing w:after="16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de demografía deprecada.</w:t>
      </w:r>
      <w:r w:rsidDel="00000000" w:rsidR="00000000" w:rsidRPr="00000000">
        <w:rPr>
          <w:rtl w:val="0"/>
        </w:rPr>
        <w:t xml:space="preserve"> El endpoint restcountries.com/v3.1/... indicado en la especificación está deprecado por el proveedor a fecha de este documento; el pipeline lo cubre con el fallback interno, pero una migración a la v5 de la API queda pendiente si se quiere depender de datos en vivo.</w:t>
      </w:r>
    </w:p>
    <w:p w:rsidR="00000000" w:rsidDel="00000000" w:rsidP="00000000" w:rsidRDefault="00000000" w:rsidRPr="00000000" w14:paraId="000000A3">
      <w:pPr>
        <w:spacing w:after="16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Magnitudes de PIB sintéticas.</w:t>
      </w:r>
      <w:r w:rsidDel="00000000" w:rsidR="00000000" w:rsidRPr="00000000">
        <w:rPr>
          <w:rtl w:val="0"/>
        </w:rPr>
        <w:t xml:space="preserve"> Los importes de PIB proceden directamente de la fuente Legacy proporcionada, sin corrección manual; algunas cifras absolutas no coinciden con el PIB real de esos países, aunque el ranking relativo (Mónaco / Liechtenstein / Luxemburgo arriba) sí es coherente.</w:t>
      </w:r>
    </w:p>
    <w:p w:rsidR="00000000" w:rsidDel="00000000" w:rsidP="00000000" w:rsidRDefault="00000000" w:rsidRPr="00000000" w14:paraId="000000A4">
      <w:pPr>
        <w:spacing w:after="16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Tipos de cambio fijos.</w:t>
      </w:r>
      <w:r w:rsidDel="00000000" w:rsidR="00000000" w:rsidRPr="00000000">
        <w:rPr>
          <w:rtl w:val="0"/>
        </w:rPr>
        <w:t xml:space="preserve"> La estructura de divisas es una foto fija (referencia BCE en la fecha de desarrollo); no se actualiza automáticamente en cada ejecución.</w:t>
      </w:r>
    </w:p>
    <w:p w:rsidR="00000000" w:rsidDel="00000000" w:rsidP="00000000" w:rsidRDefault="00000000" w:rsidRPr="00000000" w14:paraId="000000A5">
      <w:pPr>
        <w:spacing w:after="16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Rutas de proyecto muy largas en Windows.</w:t>
      </w:r>
      <w:r w:rsidDel="00000000" w:rsidR="00000000" w:rsidRPr="00000000">
        <w:rPr>
          <w:rtl w:val="0"/>
        </w:rPr>
        <w:t xml:space="preserve"> La instalación de algunas dependencias (p. ej. jupyterlab) puede fallar por el límite de 260 caracteres de Windows si la ruta del proyecto es muy profunda; no afecta a la ejecución del pipeline en sí.</w:t>
      </w:r>
    </w:p>
    <w:p w:rsidR="00000000" w:rsidDel="00000000" w:rsidP="00000000" w:rsidRDefault="00000000" w:rsidRPr="00000000" w14:paraId="000000A6">
      <w:pPr>
        <w:spacing w:after="16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 confirmada:</w:t>
      </w:r>
      <w:r w:rsidDel="00000000" w:rsidR="00000000" w:rsidRPr="00000000">
        <w:rPr>
          <w:rtl w:val="0"/>
        </w:rPr>
        <w:t xml:space="preserve"> se planteó si la tabla de cuarentena debía deduplicarse entre ejecuciones o mantenerse como log completo por </w:t>
      </w:r>
      <w:r w:rsidDel="00000000" w:rsidR="00000000" w:rsidRPr="00000000">
        <w:rPr>
          <w:rtl w:val="0"/>
        </w:rPr>
        <w:t xml:space="preserve">id_ejecución</w:t>
      </w:r>
      <w:r w:rsidDel="00000000" w:rsidR="00000000" w:rsidRPr="00000000">
        <w:rPr>
          <w:rtl w:val="0"/>
        </w:rPr>
        <w:t xml:space="preserve">. Se confirmó la segunda opción por trazabilidad: cada ejecución dejará sus propios registros de cuarentena sin sobrescribir los anteriores.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footerReference r:id="rId21" w:type="default"/>
      <w:footerReference r:id="rId22" w:type="first"/>
      <w:pgSz w:h="16845" w:w="11910" w:orient="portrait"/>
      <w:pgMar w:bottom="1440" w:top="1440" w:left="1440" w:right="1440" w:header="360" w:footer="36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ra SemiBold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Karla ExtraBold">
    <w:embedBold w:fontKey="{00000000-0000-0000-0000-000000000000}" r:id="rId7" w:subsetted="0"/>
    <w:embedBoldItalic w:fontKey="{00000000-0000-0000-0000-000000000000}" r:id="rId8" w:subsetted="0"/>
  </w:font>
  <w:font w:name="Instrument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Sora ExtraBold">
    <w:embedBold w:fontKey="{00000000-0000-0000-0000-000000000000}" r:id="rId13" w:subsetted="0"/>
  </w:font>
  <w:font w:name="Roboto Mono">
    <w:embedRegular w:fontKey="{00000000-0000-0000-0000-000000000000}" r:id="rId14" w:subsetted="0"/>
    <w:embedBold w:fontKey="{00000000-0000-0000-0000-000000000000}" r:id="rId15" w:subsetted="0"/>
    <w:embedItalic w:fontKey="{00000000-0000-0000-0000-000000000000}" r:id="rId16" w:subsetted="0"/>
    <w:embedBoldItalic w:fontKey="{00000000-0000-0000-0000-000000000000}" r:id="rId17" w:subsetted="0"/>
  </w:font>
  <w:font w:name="Barlow">
    <w:embedRegular w:fontKey="{00000000-0000-0000-0000-000000000000}" r:id="rId18" w:subsetted="0"/>
    <w:embedBold w:fontKey="{00000000-0000-0000-0000-000000000000}" r:id="rId19" w:subsetted="0"/>
    <w:embedItalic w:fontKey="{00000000-0000-0000-0000-000000000000}" r:id="rId20" w:subsetted="0"/>
    <w:embedBoldItalic w:fontKey="{00000000-0000-0000-0000-000000000000}" r:id="rId2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jc w:val="right"/>
      <w:rPr>
        <w:color w:val="999999"/>
      </w:rPr>
    </w:pPr>
    <w:r w:rsidDel="00000000" w:rsidR="00000000" w:rsidRPr="00000000">
      <w:rPr>
        <w:rtl w:val="0"/>
      </w:rPr>
    </w:r>
  </w:p>
  <w:tbl>
    <w:tblPr>
      <w:tblStyle w:val="Table6"/>
      <w:tblW w:w="9016.666666666666" w:type="dxa"/>
      <w:jc w:val="left"/>
      <w:tblInd w:w="1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500"/>
      <w:gridCol w:w="4516.666666666666"/>
      <w:tblGridChange w:id="0">
        <w:tblGrid>
          <w:gridCol w:w="4500"/>
          <w:gridCol w:w="4516.66666666666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C">
          <w:pPr>
            <w:spacing w:after="0" w:before="0" w:line="240" w:lineRule="auto"/>
            <w:jc w:val="left"/>
            <w:rPr>
              <w:color w:val="666666"/>
            </w:rPr>
          </w:pPr>
          <w:r w:rsidDel="00000000" w:rsidR="00000000" w:rsidRPr="00000000">
            <w:rPr>
              <w:color w:val="666666"/>
              <w:rtl w:val="0"/>
            </w:rPr>
            <w:t xml:space="preserve">Página </w:t>
          </w:r>
          <w:r w:rsidDel="00000000" w:rsidR="00000000" w:rsidRPr="00000000">
            <w:rPr>
              <w:color w:val="66666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D">
          <w:pPr>
            <w:spacing w:after="0" w:before="0" w:line="240" w:lineRule="auto"/>
            <w:jc w:val="right"/>
            <w:rPr>
              <w:color w:val="666666"/>
            </w:rPr>
          </w:pPr>
          <w:r w:rsidDel="00000000" w:rsidR="00000000" w:rsidRPr="00000000">
            <w:rPr>
              <w:color w:val="666666"/>
              <w:rtl w:val="0"/>
            </w:rPr>
            <w:t xml:space="preserve">Documento de diseño técnico V.1.</w:t>
          </w:r>
        </w:p>
      </w:tc>
    </w:tr>
  </w:tbl>
  <w:p w:rsidR="00000000" w:rsidDel="00000000" w:rsidP="00000000" w:rsidRDefault="00000000" w:rsidRPr="00000000" w14:paraId="000000AE">
    <w:pPr>
      <w:jc w:val="right"/>
      <w:rPr/>
    </w:pPr>
    <w:r w:rsidDel="00000000" w:rsidR="00000000" w:rsidRPr="00000000">
      <w:rPr>
        <w:rtl w:val="0"/>
      </w:rPr>
      <w:tab/>
      <w:tab/>
      <w:tab/>
      <w:t xml:space="preserve">                                </w:t>
      <w:tab/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1055362" cy="348270"/>
          <wp:effectExtent b="0" l="0" r="0" t="0"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5362" cy="34827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page">
                <wp:posOffset>-19049</wp:posOffset>
              </wp:positionH>
              <wp:positionV relativeFrom="page">
                <wp:posOffset>-28799</wp:posOffset>
              </wp:positionV>
              <wp:extent cx="7610475" cy="1962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 rot="-5400000">
                        <a:off x="5954400" y="-5954300"/>
                        <a:ext cx="303600" cy="1221240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2178EE"/>
                          </a:gs>
                          <a:gs pos="100000">
                            <a:srgbClr val="FFFFFF"/>
                          </a:gs>
                        </a:gsLst>
                        <a:lin ang="5400012" scaled="0"/>
                      </a:gra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page">
                <wp:posOffset>-19049</wp:posOffset>
              </wp:positionH>
              <wp:positionV relativeFrom="page">
                <wp:posOffset>-28799</wp:posOffset>
              </wp:positionV>
              <wp:extent cx="7610475" cy="196208"/>
              <wp:effectExtent b="0" l="0" r="0" t="0"/>
              <wp:wrapNone/>
              <wp:docPr id="1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0475" cy="1962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-962024</wp:posOffset>
          </wp:positionH>
          <wp:positionV relativeFrom="paragraph">
            <wp:posOffset>-280799</wp:posOffset>
          </wp:positionV>
          <wp:extent cx="10801350" cy="7677150"/>
          <wp:effectExtent b="0" l="0" r="0" t="0"/>
          <wp:wrapNone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4940" l="-20756" r="-19397" t="14667"/>
                  <a:stretch>
                    <a:fillRect/>
                  </a:stretch>
                </pic:blipFill>
                <pic:spPr>
                  <a:xfrm rot="5400000">
                    <a:off x="0" y="0"/>
                    <a:ext cx="10801350" cy="7677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-476249</wp:posOffset>
          </wp:positionH>
          <wp:positionV relativeFrom="paragraph">
            <wp:posOffset>33402</wp:posOffset>
          </wp:positionV>
          <wp:extent cx="1587500" cy="613724"/>
          <wp:effectExtent b="0" l="0" r="0" t="0"/>
          <wp:wrapNone/>
          <wp:docPr id="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87500" cy="61372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strument Sans" w:cs="Instrument Sans" w:eastAsia="Instrument Sans" w:hAnsi="Instrument Sans"/>
        <w:sz w:val="22"/>
        <w:szCs w:val="22"/>
      </w:rPr>
    </w:rPrDefault>
    <w:pPrDefault>
      <w:pPr>
        <w:spacing w:after="200" w:before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="360" w:lineRule="auto"/>
    </w:pPr>
    <w:rPr>
      <w:rFonts w:ascii="Karla ExtraBold" w:cs="Karla ExtraBold" w:eastAsia="Karla ExtraBold" w:hAnsi="Karla ExtraBol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Rule="auto"/>
    </w:pPr>
    <w:rPr>
      <w:rFonts w:ascii="Karla ExtraBold" w:cs="Karla ExtraBold" w:eastAsia="Karla ExtraBold" w:hAnsi="Karla ExtraBold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color w:val="e46b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ind w:left="566.9291338582676" w:firstLine="0"/>
    </w:pPr>
    <w:rPr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8.gif"/><Relationship Id="rId22" Type="http://schemas.openxmlformats.org/officeDocument/2006/relationships/footer" Target="footer1.xml"/><Relationship Id="rId10" Type="http://schemas.openxmlformats.org/officeDocument/2006/relationships/image" Target="media/image7.gif"/><Relationship Id="rId21" Type="http://schemas.openxmlformats.org/officeDocument/2006/relationships/footer" Target="footer2.xml"/><Relationship Id="rId13" Type="http://schemas.openxmlformats.org/officeDocument/2006/relationships/image" Target="media/image5.png"/><Relationship Id="rId12" Type="http://schemas.openxmlformats.org/officeDocument/2006/relationships/image" Target="media/image10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gif"/><Relationship Id="rId15" Type="http://schemas.openxmlformats.org/officeDocument/2006/relationships/image" Target="media/image12.png"/><Relationship Id="rId14" Type="http://schemas.openxmlformats.org/officeDocument/2006/relationships/image" Target="media/image4.png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mailto:francisco.ortega@nter.es" TargetMode="External"/><Relationship Id="rId18" Type="http://schemas.openxmlformats.org/officeDocument/2006/relationships/image" Target="media/image6.png"/><Relationship Id="rId7" Type="http://schemas.openxmlformats.org/officeDocument/2006/relationships/hyperlink" Target="mailto:francisco.ortega@nter.es" TargetMode="External"/><Relationship Id="rId8" Type="http://schemas.openxmlformats.org/officeDocument/2006/relationships/hyperlink" Target="mailto:francisco.ortega@nter.es" TargetMode="Externa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Barlow-italic.ttf"/><Relationship Id="rId11" Type="http://schemas.openxmlformats.org/officeDocument/2006/relationships/font" Target="fonts/InstrumentSans-italic.ttf"/><Relationship Id="rId10" Type="http://schemas.openxmlformats.org/officeDocument/2006/relationships/font" Target="fonts/InstrumentSans-bold.ttf"/><Relationship Id="rId21" Type="http://schemas.openxmlformats.org/officeDocument/2006/relationships/font" Target="fonts/Barlow-boldItalic.ttf"/><Relationship Id="rId13" Type="http://schemas.openxmlformats.org/officeDocument/2006/relationships/font" Target="fonts/SoraExtraBold-bold.ttf"/><Relationship Id="rId12" Type="http://schemas.openxmlformats.org/officeDocument/2006/relationships/font" Target="fonts/InstrumentSans-boldItalic.ttf"/><Relationship Id="rId1" Type="http://schemas.openxmlformats.org/officeDocument/2006/relationships/font" Target="fonts/SoraSemiBold-regular.ttf"/><Relationship Id="rId2" Type="http://schemas.openxmlformats.org/officeDocument/2006/relationships/font" Target="fonts/SoraSemiBold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9" Type="http://schemas.openxmlformats.org/officeDocument/2006/relationships/font" Target="fonts/InstrumentSans-regular.ttf"/><Relationship Id="rId15" Type="http://schemas.openxmlformats.org/officeDocument/2006/relationships/font" Target="fonts/RobotoMono-bold.ttf"/><Relationship Id="rId14" Type="http://schemas.openxmlformats.org/officeDocument/2006/relationships/font" Target="fonts/RobotoMono-regular.ttf"/><Relationship Id="rId17" Type="http://schemas.openxmlformats.org/officeDocument/2006/relationships/font" Target="fonts/RobotoMono-boldItalic.ttf"/><Relationship Id="rId16" Type="http://schemas.openxmlformats.org/officeDocument/2006/relationships/font" Target="fonts/RobotoMono-italic.ttf"/><Relationship Id="rId5" Type="http://schemas.openxmlformats.org/officeDocument/2006/relationships/font" Target="fonts/Roboto-italic.ttf"/><Relationship Id="rId19" Type="http://schemas.openxmlformats.org/officeDocument/2006/relationships/font" Target="fonts/Barlow-bold.ttf"/><Relationship Id="rId6" Type="http://schemas.openxmlformats.org/officeDocument/2006/relationships/font" Target="fonts/Roboto-boldItalic.ttf"/><Relationship Id="rId18" Type="http://schemas.openxmlformats.org/officeDocument/2006/relationships/font" Target="fonts/Barlow-regular.ttf"/><Relationship Id="rId7" Type="http://schemas.openxmlformats.org/officeDocument/2006/relationships/font" Target="fonts/KarlaExtraBold-bold.ttf"/><Relationship Id="rId8" Type="http://schemas.openxmlformats.org/officeDocument/2006/relationships/font" Target="fonts/KarlaExtra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