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Sora ExtraBold" w:cs="Sora ExtraBold" w:eastAsia="Sora ExtraBold" w:hAnsi="Sora ExtraBold"/>
          <w:b w:val="0"/>
          <w:bCs w:val="0"/>
          <w:sz w:val="80"/>
          <w:szCs w:val="80"/>
        </w:rPr>
      </w:pPr>
      <w:bookmarkStart w:colFirst="0" w:colLast="0" w:name="_kcqbjg4ph9u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925.360000000000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Title"/>
              <w:spacing w:line="192.00000000000003" w:lineRule="auto"/>
              <w:jc w:val="left"/>
              <w:rPr>
                <w:rFonts w:ascii="Sora SemiBold" w:cs="Sora SemiBold" w:eastAsia="Sora SemiBold" w:hAnsi="Sora SemiBold"/>
                <w:b w:val="0"/>
                <w:bCs w:val="0"/>
                <w:sz w:val="88"/>
                <w:szCs w:val="88"/>
              </w:rPr>
            </w:pPr>
            <w:bookmarkStart w:colFirst="0" w:colLast="0" w:name="_avw31baewu7o" w:id="1"/>
            <w:bookmarkEnd w:id="1"/>
            <w:r w:rsidDel="00000000" w:rsidR="00000000" w:rsidRPr="00000000">
              <w:rPr>
                <w:rFonts w:ascii="Sora SemiBold" w:cs="Sora SemiBold" w:eastAsia="Sora SemiBold" w:hAnsi="Sora SemiBold"/>
                <w:b w:val="0"/>
                <w:bCs w:val="0"/>
                <w:color w:val="ffffff"/>
                <w:sz w:val="104"/>
                <w:szCs w:val="104"/>
                <w:rtl w:val="0"/>
              </w:rPr>
              <w:t xml:space="preserve">Memoria Técnica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240" w:lineRule="auto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Subtitle"/>
              <w:rPr>
                <w:color w:val="3f7be9"/>
                <w:sz w:val="32"/>
                <w:szCs w:val="32"/>
              </w:rPr>
            </w:pPr>
            <w:bookmarkStart w:colFirst="0" w:colLast="0" w:name="_m1le92d32r6m" w:id="2"/>
            <w:bookmarkEnd w:id="2"/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Autor:</w:t>
            </w:r>
            <w:r w:rsidDel="00000000" w:rsidR="00000000" w:rsidRPr="00000000">
              <w:rPr>
                <w:color w:val="3f7be9"/>
                <w:sz w:val="32"/>
                <w:szCs w:val="32"/>
                <w:rtl w:val="0"/>
              </w:rPr>
              <w:t xml:space="preserve"> </w:t>
            </w:r>
            <w:hyperlink r:id="rId6">
              <w:r w:rsidDel="00000000" w:rsidR="00000000" w:rsidRPr="00000000">
                <w:rPr>
                  <w:color w:val="0000ee"/>
                  <w:sz w:val="32"/>
                  <w:szCs w:val="32"/>
                  <w:u w:val="single"/>
                  <w:rtl w:val="0"/>
                </w:rPr>
                <w:t xml:space="preserve">Francisco Maximo Ortega Calvo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Subtitle"/>
              <w:rPr>
                <w:color w:val="ffffff"/>
                <w:sz w:val="32"/>
                <w:szCs w:val="32"/>
              </w:rPr>
            </w:pPr>
            <w:bookmarkStart w:colFirst="0" w:colLast="0" w:name="_j7v92aw52odp" w:id="3"/>
            <w:bookmarkEnd w:id="3"/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Equipo: Data &amp; BI</w:t>
            </w:r>
          </w:p>
          <w:p w:rsidR="00000000" w:rsidDel="00000000" w:rsidP="00000000" w:rsidRDefault="00000000" w:rsidRPr="00000000" w14:paraId="0000000F">
            <w:pPr>
              <w:pStyle w:val="Subtitle"/>
              <w:rPr>
                <w:color w:val="ffffff"/>
                <w:sz w:val="32"/>
                <w:szCs w:val="32"/>
              </w:rPr>
            </w:pPr>
            <w:bookmarkStart w:colFirst="0" w:colLast="0" w:name="_iaf4ell62v2r" w:id="4"/>
            <w:bookmarkEnd w:id="4"/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Versión del documento: 1.2</w:t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rPr>
          <w:rFonts w:ascii="Barlow" w:cs="Barlow" w:eastAsia="Barlow" w:hAnsi="Barlow"/>
          <w:sz w:val="24"/>
          <w:szCs w:val="24"/>
        </w:rPr>
      </w:pPr>
      <w:bookmarkStart w:colFirst="0" w:colLast="0" w:name="_wkv43zyeje5z" w:id="5"/>
      <w:bookmarkEnd w:id="5"/>
      <w:r w:rsidDel="00000000" w:rsidR="00000000" w:rsidRPr="00000000">
        <w:rPr>
          <w:rtl w:val="0"/>
        </w:rPr>
        <w:t xml:space="preserve">Control de cambios</w:t>
      </w:r>
      <w:r w:rsidDel="00000000" w:rsidR="00000000" w:rsidRPr="00000000">
        <w:rPr>
          <w:rtl w:val="0"/>
        </w:rPr>
      </w:r>
    </w:p>
    <w:tbl>
      <w:tblPr>
        <w:tblStyle w:val="Table3"/>
        <w:tblW w:w="9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1455"/>
        <w:gridCol w:w="4155"/>
        <w:gridCol w:w="2085"/>
        <w:tblGridChange w:id="0">
          <w:tblGrid>
            <w:gridCol w:w="1470"/>
            <w:gridCol w:w="1455"/>
            <w:gridCol w:w="4155"/>
            <w:gridCol w:w="2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dee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ra SemiBold" w:cs="Sora SemiBold" w:eastAsia="Sora SemiBold" w:hAnsi="Sora SemiBold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rtl w:val="0"/>
              </w:rPr>
              <w:t xml:space="preserve">Versión</w:t>
            </w:r>
          </w:p>
        </w:tc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dee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ra SemiBold" w:cs="Sora SemiBold" w:eastAsia="Sora SemiBold" w:hAnsi="Sora SemiBold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rtl w:val="0"/>
              </w:rPr>
              <w:t xml:space="preserve">Fecha</w:t>
            </w:r>
          </w:p>
        </w:tc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dee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ra SemiBold" w:cs="Sora SemiBold" w:eastAsia="Sora SemiBold" w:hAnsi="Sora SemiBold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rtl w:val="0"/>
              </w:rPr>
              <w:t xml:space="preserve">Descripción cambios</w:t>
            </w:r>
          </w:p>
        </w:tc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dee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ra SemiBold" w:cs="Sora SemiBold" w:eastAsia="Sora SemiBold" w:hAnsi="Sora SemiBold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Instrument Sans" w:cs="Instrument Sans" w:eastAsia="Instrument Sans" w:hAnsi="Instrument Sans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 sept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f7be9" w:space="0" w:sz="5" w:val="single"/>
              <w:left w:color="3f7be9" w:space="0" w:sz="5" w:val="single"/>
              <w:bottom w:color="3f7be9" w:space="0" w:sz="5" w:val="single"/>
              <w:right w:color="3f7be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Versión inicial del pipeline: ingesta resiliente (Bronze), contrato de calidad con </w:t>
            </w:r>
            <w:r w:rsidDel="00000000" w:rsidR="00000000" w:rsidRPr="00000000">
              <w:rPr>
                <w:rtl w:val="0"/>
              </w:rPr>
              <w:t xml:space="preserve">pandera</w:t>
            </w:r>
            <w:r w:rsidDel="00000000" w:rsidR="00000000" w:rsidRPr="00000000">
              <w:rPr>
                <w:rtl w:val="0"/>
              </w:rPr>
              <w:t xml:space="preserve"> (Silver), agregaciones </w:t>
            </w:r>
            <w:r w:rsidDel="00000000" w:rsidR="00000000" w:rsidRPr="00000000">
              <w:rPr>
                <w:rtl w:val="0"/>
              </w:rPr>
              <w:t xml:space="preserve">DuckDB</w:t>
            </w:r>
            <w:r w:rsidDel="00000000" w:rsidR="00000000" w:rsidRPr="00000000">
              <w:rPr>
                <w:rtl w:val="0"/>
              </w:rPr>
              <w:t xml:space="preserve"> (Gold), CLI y dashboard </w:t>
            </w:r>
            <w:r w:rsidDel="00000000" w:rsidR="00000000" w:rsidRPr="00000000">
              <w:rPr>
                <w:rtl w:val="0"/>
              </w:rPr>
              <w:t xml:space="preserve">Streamlit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76" w:lineRule="auto"/>
              <w:jc w:val="center"/>
              <w:rPr>
                <w:rFonts w:ascii="Instrument Sans" w:cs="Instrument Sans" w:eastAsia="Instrument Sans" w:hAnsi="Instrument Sans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Francisco Maximo Ortega Calvo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 sept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f7be9" w:space="0" w:sz="5" w:val="single"/>
              <w:left w:color="3f7be9" w:space="0" w:sz="5" w:val="single"/>
              <w:bottom w:color="3f7be9" w:space="0" w:sz="5" w:val="single"/>
              <w:right w:color="3f7be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valida la ejecución completa del pipeline contra la API real de Open-Meteo (no solo contra el mock de pruebas); ver sección Trazabilidad. </w:t>
            </w:r>
          </w:p>
        </w:tc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0" w:line="276" w:lineRule="auto"/>
              <w:jc w:val="center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Francisco Maximo Ortega Calvo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 sept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f7be9" w:space="0" w:sz="5" w:val="single"/>
              <w:left w:color="3f7be9" w:space="0" w:sz="5" w:val="single"/>
              <w:bottom w:color="3f7be9" w:space="0" w:sz="5" w:val="single"/>
              <w:right w:color="3f7be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Corrige la selección del lote </w:t>
            </w:r>
            <w:r w:rsidDel="00000000" w:rsidR="00000000" w:rsidRPr="00000000">
              <w:rPr>
                <w:rtl w:val="0"/>
              </w:rPr>
              <w:t xml:space="preserve">Bronze</w:t>
            </w:r>
            <w:r w:rsidDel="00000000" w:rsidR="00000000" w:rsidRPr="00000000">
              <w:rPr>
                <w:rtl w:val="0"/>
              </w:rPr>
              <w:t xml:space="preserve"> de FALLBACK en extract_openmeteo.ipynb (</w:t>
            </w:r>
            <w:r w:rsidDel="00000000" w:rsidR="00000000" w:rsidRPr="00000000">
              <w:rPr>
                <w:rtl w:val="0"/>
              </w:rPr>
              <w:t xml:space="preserve">ruta_ultimo_bronze</w:t>
            </w:r>
            <w:r w:rsidDel="00000000" w:rsidR="00000000" w:rsidRPr="00000000">
              <w:rPr>
                <w:rtl w:val="0"/>
              </w:rPr>
              <w:t xml:space="preserve">), detectado al ejecutar la suite de pruebas de forma repetida; ver sección Lógica clave y algoritmos. </w:t>
            </w:r>
          </w:p>
        </w:tc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76" w:lineRule="auto"/>
              <w:jc w:val="center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Francisco Maximo Ortega Calvo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20" w:before="120" w:line="336" w:lineRule="auto"/>
        <w:ind w:left="0" w:firstLine="0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771ivxo74pra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jjbhfhqko05b" w:id="7"/>
      <w:bookmarkEnd w:id="7"/>
      <w:r w:rsidDel="00000000" w:rsidR="00000000" w:rsidRPr="00000000">
        <w:rPr>
          <w:rtl w:val="0"/>
        </w:rPr>
        <w:t xml:space="preserve">Índice.</w:t>
      </w:r>
    </w:p>
    <w:sdt>
      <w:sdtPr>
        <w:id w:val="-8546324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kv43zyeje5z">
            <w:r w:rsidDel="00000000" w:rsidR="00000000" w:rsidRPr="00000000">
              <w:rPr>
                <w:rFonts w:ascii="Instrument Sans" w:cs="Instrument Sans" w:eastAsia="Instrument Sans" w:hAnsi="Instrument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cambios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jbhfhqko05b">
            <w:r w:rsidDel="00000000" w:rsidR="00000000" w:rsidRPr="00000000">
              <w:rPr>
                <w:rFonts w:ascii="Instrument Sans" w:cs="Instrument Sans" w:eastAsia="Instrument Sans" w:hAnsi="Instrument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3r3iipo544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 y objetivos.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o85stcwx8l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de alto nivel (arquitectura).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z7ifqalb0k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detallado.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g6ab9ggqss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del pipeline ETL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gh4fhru2q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de datos (</w:t>
            </w:r>
          </w:hyperlink>
          <w:hyperlink w:anchor="_n5gh4fhru2q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GeoDataFrame</w:t>
            </w:r>
          </w:hyperlink>
          <w:hyperlink w:anchor="_n5gh4fhru2q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maestro).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mzz6ffpc7t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Lógica clave y algoritmos.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l2foiamgh6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Alternativas consideradas.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oqz5okllt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pruebas (testing).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r7iv6jpe5c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Verificación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hoauke333g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despliegue.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cvrq9cfsiq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Trazabilidad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rnw8kcpeaq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y preguntas abiertas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/>
      </w:pPr>
      <w:bookmarkStart w:colFirst="0" w:colLast="0" w:name="_fu7vsugzdd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/>
      </w:pPr>
      <w:bookmarkStart w:colFirst="0" w:colLast="0" w:name="_y3r3iipo5446" w:id="9"/>
      <w:bookmarkEnd w:id="9"/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46"/>
          <w:szCs w:val="46"/>
          <w:rtl w:val="0"/>
        </w:rPr>
        <w:t xml:space="preserve">Contexto y objetivos.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Climate Engine es la prueba técnica individual del área de Data &amp; BI: un pipeline ETL meteorológico que obtiene la previsión horaria a 14 días de 5 ciudades españolas (Madrid, Barcelona, Valencia, Sevilla y Bilbao) desde la API pública de Open-Meteo, la procesa siguiendo una arquitectura por capas (Bronze / Silver / Gold) y expone el resultado a través de un CLI y un cuadro de mando interactivo en </w:t>
      </w:r>
      <w:r w:rsidDel="00000000" w:rsidR="00000000" w:rsidRPr="00000000">
        <w:rPr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El enunciado exige, entre otros requisitos, una </w:t>
      </w:r>
      <w:r w:rsidDel="00000000" w:rsidR="00000000" w:rsidRPr="00000000">
        <w:rPr>
          <w:b w:val="1"/>
          <w:bCs w:val="1"/>
          <w:rtl w:val="0"/>
        </w:rPr>
        <w:t xml:space="preserve">ingesta resiliente</w:t>
      </w:r>
      <w:r w:rsidDel="00000000" w:rsidR="00000000" w:rsidRPr="00000000">
        <w:rPr>
          <w:rtl w:val="0"/>
        </w:rPr>
        <w:t xml:space="preserve"> ante fallos transitorios de la API (con reintentos, backoff y un mecanismo de FALLBACK sobre el último dato real disponible), un </w:t>
      </w:r>
      <w:r w:rsidDel="00000000" w:rsidR="00000000" w:rsidRPr="00000000">
        <w:rPr>
          <w:b w:val="1"/>
          <w:bCs w:val="1"/>
          <w:rtl w:val="0"/>
        </w:rPr>
        <w:t xml:space="preserve">contrato de calidad de datos</w:t>
      </w:r>
      <w:r w:rsidDel="00000000" w:rsidR="00000000" w:rsidRPr="00000000">
        <w:rPr>
          <w:rtl w:val="0"/>
        </w:rPr>
        <w:t xml:space="preserve"> explícito antes de promover un registro a Silver, y métricas analíticas (medias móviles y Z-Score) calculadas con un motor SQL in-process (</w:t>
      </w:r>
      <w:r w:rsidDel="00000000" w:rsidR="00000000" w:rsidRPr="00000000">
        <w:rPr>
          <w:rtl w:val="0"/>
        </w:rPr>
        <w:t xml:space="preserve">DuckDB</w:t>
      </w:r>
      <w:r w:rsidDel="00000000" w:rsidR="00000000" w:rsidRPr="00000000">
        <w:rPr>
          <w:rtl w:val="0"/>
        </w:rPr>
        <w:t xml:space="preserve">) sobre los ficheros Parquet de Silver, sin base de datos relacional externa.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Todo el pipeline está implementado como notebooks </w:t>
      </w:r>
      <w:r w:rsidDel="00000000" w:rsidR="00000000" w:rsidRPr="00000000">
        <w:rPr>
          <w:rtl w:val="0"/>
        </w:rPr>
        <w:t xml:space="preserve">Jupyter</w:t>
      </w:r>
      <w:r w:rsidDel="00000000" w:rsidR="00000000" w:rsidRPr="00000000">
        <w:rPr>
          <w:rtl w:val="0"/>
        </w:rPr>
        <w:t xml:space="preserve"> encadenados con la magia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%run</w:t>
      </w:r>
      <w:r w:rsidDel="00000000" w:rsidR="00000000" w:rsidRPr="00000000">
        <w:rPr>
          <w:rtl w:val="0"/>
        </w:rPr>
        <w:t xml:space="preserve"> desde main.ipynb, con una suite de 16 pruebas pytest que ejecuta la lógica real de cada notebook mediante </w:t>
      </w:r>
      <w:r w:rsidDel="00000000" w:rsidR="00000000" w:rsidRPr="00000000">
        <w:rPr>
          <w:rtl w:val="0"/>
        </w:rPr>
        <w:t xml:space="preserve">nbclient</w:t>
      </w:r>
      <w:r w:rsidDel="00000000" w:rsidR="00000000" w:rsidRPr="00000000">
        <w:rPr>
          <w:rtl w:val="0"/>
        </w:rPr>
        <w:t xml:space="preserve"> (no una </w:t>
      </w:r>
      <w:r w:rsidDel="00000000" w:rsidR="00000000" w:rsidRPr="00000000">
        <w:rPr>
          <w:rtl w:val="0"/>
        </w:rPr>
        <w:t xml:space="preserve">reimplementación</w:t>
      </w:r>
      <w:r w:rsidDel="00000000" w:rsidR="00000000" w:rsidRPr="00000000">
        <w:rPr>
          <w:rtl w:val="0"/>
        </w:rPr>
        <w:t xml:space="preserve"> paralela), y puede desplegarse en un contenedor Docker autocontenido.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rFonts w:ascii="Instrument Sans" w:cs="Instrument Sans" w:eastAsia="Instrument Sans" w:hAnsi="Instrument Sans"/>
          <w:b w:val="1"/>
          <w:bCs w:val="1"/>
          <w:sz w:val="46"/>
          <w:szCs w:val="46"/>
        </w:rPr>
      </w:pPr>
      <w:bookmarkStart w:colFirst="0" w:colLast="0" w:name="_do85stcwx8lp" w:id="10"/>
      <w:bookmarkEnd w:id="10"/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46"/>
          <w:szCs w:val="46"/>
          <w:rtl w:val="0"/>
        </w:rPr>
        <w:t xml:space="preserve">Diseño de alto nivel (arquitectura).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El pipeline sigue una arquitectura medallion clásica sobre ficheros Parquet particionados en disco (sin servidor de base de datos): cada capa lee exclusivamente de la anterior y nunca modifica sus datos de origen, lo que hace que todo el proceso sea reproducible e idempotente de principio a fin.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i w:val="1"/>
          <w:iCs w:val="1"/>
          <w:color w:val="6b7280"/>
          <w:sz w:val="18"/>
          <w:szCs w:val="18"/>
        </w:rPr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Flujo Bronze / Silver / Gold: ingesta resiliente desde Open-Meteo, contrato de calidad con pandera, agregaciones </w:t>
      </w: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DuckDB</w:t>
      </w: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 y consumo desde CLI y dashboard.</w:t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rFonts w:ascii="Instrument Sans" w:cs="Instrument Sans" w:eastAsia="Instrument Sans" w:hAnsi="Instrument Sans"/>
          <w:b w:val="1"/>
          <w:bCs w:val="1"/>
          <w:sz w:val="46"/>
          <w:szCs w:val="46"/>
        </w:rPr>
      </w:pPr>
      <w:bookmarkStart w:colFirst="0" w:colLast="0" w:name="_6z7ifqalb0kk" w:id="11"/>
      <w:bookmarkEnd w:id="11"/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46"/>
          <w:szCs w:val="46"/>
          <w:rtl w:val="0"/>
        </w:rPr>
        <w:t xml:space="preserve">Diseño detallado.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360" w:lineRule="auto"/>
        <w:rPr>
          <w:rFonts w:ascii="Instrument Sans" w:cs="Instrument Sans" w:eastAsia="Instrument Sans" w:hAnsi="Instrument Sans"/>
          <w:b w:val="1"/>
          <w:bCs w:val="1"/>
          <w:sz w:val="34"/>
          <w:szCs w:val="34"/>
        </w:rPr>
      </w:pPr>
      <w:bookmarkStart w:colFirst="0" w:colLast="0" w:name="_hg6ab9ggqss3" w:id="12"/>
      <w:bookmarkEnd w:id="12"/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34"/>
          <w:szCs w:val="34"/>
          <w:rtl w:val="0"/>
        </w:rPr>
        <w:t xml:space="preserve">Diseño del pipeline ETL</w:t>
      </w:r>
    </w:p>
    <w:p w:rsidR="00000000" w:rsidDel="00000000" w:rsidP="00000000" w:rsidRDefault="00000000" w:rsidRPr="00000000" w14:paraId="00000047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7be9"/>
          <w:sz w:val="21"/>
          <w:szCs w:val="21"/>
          <w:rtl w:val="0"/>
        </w:rPr>
        <w:t xml:space="preserve">Extracción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extract_openmeteo.ipynb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bronze_ingest.ipynb</w:t>
      </w:r>
      <w:r w:rsidDel="00000000" w:rsidR="00000000" w:rsidRPr="00000000">
        <w:rPr>
          <w:rtl w:val="0"/>
        </w:rPr>
        <w:t xml:space="preserve">) — sesión HTTP resiliente con reintentos y backoff exponencial ante códigos 429/500/502/503/504, y detección de "fallo silencioso" (200 OK con cuerpo inválido). Si tras el intento no hay datos válidos, recurre al último lote Bronze real de esa ciudad (FALLBACK), nunca a datos inventados.</w:t>
      </w:r>
    </w:p>
    <w:p w:rsidR="00000000" w:rsidDel="00000000" w:rsidP="00000000" w:rsidRDefault="00000000" w:rsidRPr="00000000" w14:paraId="00000048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7be9"/>
          <w:sz w:val="21"/>
          <w:szCs w:val="21"/>
          <w:rtl w:val="0"/>
        </w:rPr>
        <w:t xml:space="preserve">Bronze</w:t>
      </w:r>
      <w:r w:rsidDel="00000000" w:rsidR="00000000" w:rsidRPr="00000000">
        <w:rPr>
          <w:rtl w:val="0"/>
        </w:rPr>
        <w:t xml:space="preserve"> — el JSON crudo de la API se guarda tal cual llega, junto con metadata de trazabilidad (</w:t>
      </w:r>
      <w:r w:rsidDel="00000000" w:rsidR="00000000" w:rsidRPr="00000000">
        <w:rPr>
          <w:rtl w:val="0"/>
        </w:rPr>
        <w:t xml:space="preserve">id_lote</w:t>
      </w:r>
      <w:r w:rsidDel="00000000" w:rsidR="00000000" w:rsidRPr="00000000">
        <w:rPr>
          <w:rtl w:val="0"/>
        </w:rPr>
        <w:t xml:space="preserve">, origen, </w:t>
      </w:r>
      <w:r w:rsidDel="00000000" w:rsidR="00000000" w:rsidRPr="00000000">
        <w:rPr>
          <w:rtl w:val="0"/>
        </w:rPr>
        <w:t xml:space="preserve">timestamp_ingesta_utc</w:t>
      </w:r>
      <w:r w:rsidDel="00000000" w:rsidR="00000000" w:rsidRPr="00000000">
        <w:rPr>
          <w:rtl w:val="0"/>
        </w:rPr>
        <w:t xml:space="preserve">), particionado por ciudad/</w:t>
      </w:r>
      <w:r w:rsidDel="00000000" w:rsidR="00000000" w:rsidRPr="00000000">
        <w:rPr>
          <w:rtl w:val="0"/>
        </w:rPr>
        <w:t xml:space="preserve">fecha_ingesta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7be9"/>
          <w:sz w:val="21"/>
          <w:szCs w:val="21"/>
          <w:rtl w:val="0"/>
        </w:rPr>
        <w:t xml:space="preserve">Silver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silver_clean.ipynb</w:t>
      </w:r>
      <w:r w:rsidDel="00000000" w:rsidR="00000000" w:rsidRPr="00000000">
        <w:rPr>
          <w:rtl w:val="0"/>
        </w:rPr>
        <w:t xml:space="preserve">) — aplana el </w:t>
      </w:r>
      <w:r w:rsidDel="00000000" w:rsidR="00000000" w:rsidRPr="00000000">
        <w:rPr>
          <w:rtl w:val="0"/>
        </w:rPr>
        <w:t xml:space="preserve">Bronze</w:t>
      </w:r>
      <w:r w:rsidDel="00000000" w:rsidR="00000000" w:rsidRPr="00000000">
        <w:rPr>
          <w:rtl w:val="0"/>
        </w:rPr>
        <w:t xml:space="preserve"> a formato largo (una fila por hora) y aplica un contrato de calidad con pandera antes de escribir; los registros que no lo cumplen se separan a cuarentena con el motivo de rechazo, nunca se descartan.</w:t>
      </w:r>
    </w:p>
    <w:p w:rsidR="00000000" w:rsidDel="00000000" w:rsidP="00000000" w:rsidRDefault="00000000" w:rsidRPr="00000000" w14:paraId="0000004A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7be9"/>
          <w:sz w:val="21"/>
          <w:szCs w:val="21"/>
          <w:rtl w:val="0"/>
        </w:rPr>
        <w:t xml:space="preserve">Gold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gold_analytics.ipynb</w:t>
      </w:r>
      <w:r w:rsidDel="00000000" w:rsidR="00000000" w:rsidRPr="00000000">
        <w:rPr>
          <w:rtl w:val="0"/>
        </w:rPr>
        <w:t xml:space="preserve">) — tres tablas calculadas con </w:t>
      </w:r>
      <w:r w:rsidDel="00000000" w:rsidR="00000000" w:rsidRPr="00000000">
        <w:rPr>
          <w:rtl w:val="0"/>
        </w:rPr>
        <w:t xml:space="preserve">DuckDB</w:t>
      </w:r>
      <w:r w:rsidDel="00000000" w:rsidR="00000000" w:rsidRPr="00000000">
        <w:rPr>
          <w:rtl w:val="0"/>
        </w:rPr>
        <w:t xml:space="preserve"> sobre los Parquet de Silver: resumen diario, media móvil de temperatura a 24h y Z-Score horario por ciudad.</w:t>
      </w:r>
    </w:p>
    <w:p w:rsidR="00000000" w:rsidDel="00000000" w:rsidP="00000000" w:rsidRDefault="00000000" w:rsidRPr="00000000" w14:paraId="0000004B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7be9"/>
          <w:sz w:val="21"/>
          <w:szCs w:val="21"/>
          <w:rtl w:val="0"/>
        </w:rPr>
        <w:t xml:space="preserve">CLI y dashboard</w:t>
      </w:r>
      <w:r w:rsidDel="00000000" w:rsidR="00000000" w:rsidRPr="00000000">
        <w:rPr>
          <w:rtl w:val="0"/>
        </w:rPr>
        <w:t xml:space="preserve"> — cli.py orquesta el pipeline completo (o por etapas) ejecutando los notebooks vía nbclient; dashboard/app.py (Streamlit) lee la capa Gold en vivo y la representa con Plotly.</w:t>
      </w:r>
    </w:p>
    <w:p w:rsidR="00000000" w:rsidDel="00000000" w:rsidP="00000000" w:rsidRDefault="00000000" w:rsidRPr="00000000" w14:paraId="0000004C">
      <w:pPr>
        <w:spacing w:after="16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10200" cy="467677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10125" cy="6400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i w:val="1"/>
          <w:iCs w:val="1"/>
          <w:color w:val="6b7280"/>
          <w:sz w:val="18"/>
          <w:szCs w:val="18"/>
        </w:rPr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Sesión HTTP resiliente y patrón de dos niveles de </w:t>
      </w: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obtener_datos_ciudad</w:t>
      </w: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(): reintentos/backoff de urllib3 y, si no hay datos válidos, FALLBACK al último Bronze real.</w:t>
      </w:r>
    </w:p>
    <w:p w:rsidR="00000000" w:rsidDel="00000000" w:rsidP="00000000" w:rsidRDefault="00000000" w:rsidRPr="00000000" w14:paraId="0000004F">
      <w:pPr>
        <w:spacing w:after="160" w:before="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360" w:lineRule="auto"/>
        <w:rPr>
          <w:rFonts w:ascii="Instrument Sans" w:cs="Instrument Sans" w:eastAsia="Instrument Sans" w:hAnsi="Instrument Sans"/>
          <w:b w:val="1"/>
          <w:bCs w:val="1"/>
          <w:sz w:val="34"/>
          <w:szCs w:val="34"/>
        </w:rPr>
      </w:pPr>
      <w:bookmarkStart w:colFirst="0" w:colLast="0" w:name="_n5gh4fhru2q2" w:id="13"/>
      <w:bookmarkEnd w:id="13"/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34"/>
          <w:szCs w:val="34"/>
          <w:rtl w:val="0"/>
        </w:rPr>
        <w:t xml:space="preserve">Modelo de datos (</w:t>
      </w: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34"/>
          <w:szCs w:val="34"/>
          <w:rtl w:val="0"/>
        </w:rPr>
        <w:t xml:space="preserve">GeoDataFrame</w:t>
      </w: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34"/>
          <w:szCs w:val="34"/>
          <w:rtl w:val="0"/>
        </w:rPr>
        <w:t xml:space="preserve"> maestro).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El contrato de calidad de la capa Silver se define de forma explícita con un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DataFrameSchema</w:t>
      </w:r>
      <w:r w:rsidDel="00000000" w:rsidR="00000000" w:rsidRPr="00000000">
        <w:rPr>
          <w:rtl w:val="0"/>
        </w:rPr>
        <w:t xml:space="preserve"> de pandera (</w:t>
      </w:r>
      <w:r w:rsidDel="00000000" w:rsidR="00000000" w:rsidRPr="00000000">
        <w:rPr>
          <w:rtl w:val="0"/>
        </w:rPr>
        <w:t xml:space="preserve">ESQUEMA_SILVER</w:t>
      </w:r>
      <w:r w:rsidDel="00000000" w:rsidR="00000000" w:rsidRPr="00000000">
        <w:rPr>
          <w:rtl w:val="0"/>
        </w:rPr>
        <w:t xml:space="preserve">), validado en modo lazy para poder separar en un mismo paso todos los registros no conformes, no solo el primero:</w:t>
      </w:r>
    </w:p>
    <w:tbl>
      <w:tblPr>
        <w:tblStyle w:val="Table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"/>
        <w:gridCol w:w="2505"/>
        <w:gridCol w:w="3240"/>
        <w:tblGridChange w:id="0">
          <w:tblGrid>
            <w:gridCol w:w="3135"/>
            <w:gridCol w:w="2505"/>
            <w:gridCol w:w="324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Columna</w:t>
            </w:r>
          </w:p>
        </w:tc>
        <w:tc>
          <w:tcPr>
            <w:tcBorders>
              <w:top w:color="c4c7c5" w:space="0" w:sz="5" w:val="single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Tipo / regla</w:t>
            </w:r>
          </w:p>
        </w:tc>
        <w:tc>
          <w:tcPr>
            <w:tcBorders>
              <w:top w:color="c4c7c5" w:space="0" w:sz="5" w:val="single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ciudad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str, en catálogo de 5 ciudades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Nombre de la ciudad de origen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fecha_hora_utc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datetime64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[ns]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Marca horaria del registro meteorológico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temperature_2m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float, [-50, 60] 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Temperatura a 2 m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relative_humidity_2m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float, [0, 100]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Humedad relativa a 2 m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precipitation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f1f1f"/>
                <w:sz w:val="21"/>
                <w:szCs w:val="21"/>
                <w:rtl w:val="0"/>
              </w:rPr>
              <w:t xml:space="preserve">float, ≥ 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Precipitación horaria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wind_speed_10m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float, rango válido km/h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Velocidad del viento a 10 m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surface_pressure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float, rango válido hPa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Presión atmosférica en superficie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Identificador del lote de ingesta (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uuid4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 hex)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origen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str, {API, FALLBACK}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Procedencia real del dato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timestamp_ingesta_utc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str (ISO 8601)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Instante real de ingesta, usado para el FALLBACK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i w:val="1"/>
          <w:iCs w:val="1"/>
          <w:color w:val="6b7280"/>
          <w:sz w:val="18"/>
          <w:szCs w:val="18"/>
        </w:rPr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Definición de </w:t>
      </w: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ESQUEMA_SILVER</w:t>
      </w: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 (</w:t>
      </w: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silver_clean.ipynb</w:t>
      </w: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): contrato de calidad validado antes de escribir en Silver.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before="360" w:lineRule="auto"/>
        <w:rPr>
          <w:rFonts w:ascii="Instrument Sans" w:cs="Instrument Sans" w:eastAsia="Instrument Sans" w:hAnsi="Instrument Sans"/>
          <w:b w:val="1"/>
          <w:bCs w:val="1"/>
          <w:sz w:val="34"/>
          <w:szCs w:val="34"/>
        </w:rPr>
      </w:pPr>
      <w:bookmarkStart w:colFirst="0" w:colLast="0" w:name="_xmzz6ffpc7tn" w:id="14"/>
      <w:bookmarkEnd w:id="14"/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34"/>
          <w:szCs w:val="34"/>
          <w:rtl w:val="0"/>
        </w:rPr>
        <w:t xml:space="preserve">Lógica clave y algoritmos.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El caso más interesante de esta entrega es un bug real detectado y corregido durante el propio desarrollo de la suite de pruebas (versión 1.2): la función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ruta_ultimo_bronze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</w:t>
      </w:r>
      <w:r w:rsidDel="00000000" w:rsidR="00000000" w:rsidRPr="00000000">
        <w:rPr>
          <w:rtl w:val="0"/>
        </w:rPr>
        <w:t xml:space="preserve"> localiza el lote </w:t>
      </w:r>
      <w:r w:rsidDel="00000000" w:rsidR="00000000" w:rsidRPr="00000000">
        <w:rPr>
          <w:rtl w:val="0"/>
        </w:rPr>
        <w:t xml:space="preserve">Bronze</w:t>
      </w:r>
      <w:r w:rsidDel="00000000" w:rsidR="00000000" w:rsidRPr="00000000">
        <w:rPr>
          <w:rtl w:val="0"/>
        </w:rPr>
        <w:t xml:space="preserve"> más reciente de una ciudad para usarlo como FALLBACK. La versión original ordenaba los ficheros candidatos por nombre (orden alfabético) y tomaba el último; como el </w:t>
      </w:r>
      <w:r w:rsidDel="00000000" w:rsidR="00000000" w:rsidRPr="00000000">
        <w:rPr>
          <w:rtl w:val="0"/>
        </w:rPr>
        <w:t xml:space="preserve">id_lote</w:t>
      </w:r>
      <w:r w:rsidDel="00000000" w:rsidR="00000000" w:rsidRPr="00000000">
        <w:rPr>
          <w:rtl w:val="0"/>
        </w:rPr>
        <w:t xml:space="preserve"> es un hash aleatorio (</w:t>
      </w:r>
      <w:r w:rsidDel="00000000" w:rsidR="00000000" w:rsidRPr="00000000">
        <w:rPr>
          <w:rtl w:val="0"/>
        </w:rPr>
        <w:t xml:space="preserve">uuid.uuid4</w:t>
      </w:r>
      <w:r w:rsidDel="00000000" w:rsidR="00000000" w:rsidRPr="00000000">
        <w:rPr>
          <w:rtl w:val="0"/>
        </w:rPr>
        <w:t xml:space="preserve">().hex[:12]) y no un identificador cronológico, ese orden no </w:t>
      </w:r>
      <w:r w:rsidDel="00000000" w:rsidR="00000000" w:rsidRPr="00000000">
        <w:rPr>
          <w:rtl w:val="0"/>
        </w:rPr>
        <w:t xml:space="preserve">garantizaba</w:t>
      </w:r>
      <w:r w:rsidDel="00000000" w:rsidR="00000000" w:rsidRPr="00000000">
        <w:rPr>
          <w:rtl w:val="0"/>
        </w:rPr>
        <w:t xml:space="preserve"> el lote realmente más reciente cuando existían varios lotes el mismo día — algo que se hizo evidente al ejecutar la suite de pruebas repetidas veces sobre el mismo almacén Bronze acumulado.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La corrección compara en su lugar el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timestamp_ingesta_utc</w:t>
      </w:r>
      <w:r w:rsidDel="00000000" w:rsidR="00000000" w:rsidRPr="00000000">
        <w:rPr>
          <w:rtl w:val="0"/>
        </w:rPr>
        <w:t xml:space="preserve"> real guardado dentro de cada fichero (metadata), que sí refleja el orden cronológico real de ingesta:</w:t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i w:val="1"/>
          <w:iCs w:val="1"/>
          <w:color w:val="6b7280"/>
          <w:sz w:val="18"/>
          <w:szCs w:val="18"/>
        </w:rPr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Corrección v1.2 de </w:t>
      </w: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ruta_ultimo_bronze</w:t>
      </w: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(), verificada con tests/</w:t>
      </w: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test_extract_resiliencia.py</w:t>
      </w: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 (16/16 pruebas en verde).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La métrica de Z-Score de temperatura (requisito de detección de anomalías) se calcula íntegramente en SQL sobre </w:t>
      </w:r>
      <w:r w:rsidDel="00000000" w:rsidR="00000000" w:rsidRPr="00000000">
        <w:rPr>
          <w:rtl w:val="0"/>
        </w:rPr>
        <w:t xml:space="preserve">DuckDB</w:t>
      </w:r>
      <w:r w:rsidDel="00000000" w:rsidR="00000000" w:rsidRPr="00000000">
        <w:rPr>
          <w:rtl w:val="0"/>
        </w:rPr>
        <w:t xml:space="preserve">, comparando cada lectura horaria con la media y desviación típica históricas de su propia ciudad (no frente a un dataset externo):</w:t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308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i w:val="1"/>
          <w:iCs w:val="1"/>
          <w:color w:val="6b7280"/>
          <w:sz w:val="18"/>
          <w:szCs w:val="18"/>
        </w:rPr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calcular_zscore_horario() (</w:t>
      </w: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gold_analytics.ipynb</w:t>
      </w: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): Z = (temperatura - media histórica) / desviación histórica, por ciudad.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rFonts w:ascii="Instrument Sans" w:cs="Instrument Sans" w:eastAsia="Instrument Sans" w:hAnsi="Instrument Sans"/>
          <w:b w:val="1"/>
          <w:bCs w:val="1"/>
          <w:sz w:val="46"/>
          <w:szCs w:val="46"/>
        </w:rPr>
      </w:pPr>
      <w:bookmarkStart w:colFirst="0" w:colLast="0" w:name="_ul2foiamgh6m" w:id="15"/>
      <w:bookmarkEnd w:id="15"/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46"/>
          <w:szCs w:val="46"/>
          <w:rtl w:val="0"/>
        </w:rPr>
        <w:t xml:space="preserve">Alternativas consideradas.</w:t>
      </w:r>
    </w:p>
    <w:p w:rsidR="00000000" w:rsidDel="00000000" w:rsidP="00000000" w:rsidRDefault="00000000" w:rsidRPr="00000000" w14:paraId="00000085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Parquet particionado frente a base de datos relacional: </w:t>
      </w:r>
      <w:r w:rsidDel="00000000" w:rsidR="00000000" w:rsidRPr="00000000">
        <w:rPr>
          <w:rtl w:val="0"/>
        </w:rPr>
        <w:t xml:space="preserve">se descartó levantar Postgres/SQLite porque el enunciado pide explícitamente un motor analítico in-process (</w:t>
      </w:r>
      <w:r w:rsidDel="00000000" w:rsidR="00000000" w:rsidRPr="00000000">
        <w:rPr>
          <w:rtl w:val="0"/>
        </w:rPr>
        <w:t xml:space="preserve">DuckDB</w:t>
      </w:r>
      <w:r w:rsidDel="00000000" w:rsidR="00000000" w:rsidRPr="00000000">
        <w:rPr>
          <w:rtl w:val="0"/>
        </w:rPr>
        <w:t xml:space="preserve">) sobre ficheros; Parquet particionado por ciudad/año/mes </w:t>
      </w:r>
      <w:r w:rsidDel="00000000" w:rsidR="00000000" w:rsidRPr="00000000">
        <w:rPr>
          <w:rtl w:val="0"/>
        </w:rPr>
        <w:t xml:space="preserve">da lecturas</w:t>
      </w:r>
      <w:r w:rsidDel="00000000" w:rsidR="00000000" w:rsidRPr="00000000">
        <w:rPr>
          <w:rtl w:val="0"/>
        </w:rPr>
        <w:t xml:space="preserve"> selectivas eficientes sin infraestructura adicional que desplegar ni mantener.</w:t>
      </w:r>
    </w:p>
    <w:p w:rsidR="00000000" w:rsidDel="00000000" w:rsidP="00000000" w:rsidRDefault="00000000" w:rsidRPr="00000000" w14:paraId="00000086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Notebooks encadenados con %run frente a módulos .py puros: </w:t>
      </w:r>
      <w:r w:rsidDel="00000000" w:rsidR="00000000" w:rsidRPr="00000000">
        <w:rPr>
          <w:rtl w:val="0"/>
        </w:rPr>
        <w:t xml:space="preserve">se mantuvieron notebooks para conservar la documentación markdown y las celdas de prueba rápida junto al código, tal como pide el enunciado; el coste es que %run no es código Python estático, por lo que las pruebas pytest ejecutan el notebook real con </w:t>
      </w:r>
      <w:r w:rsidDel="00000000" w:rsidR="00000000" w:rsidRPr="00000000">
        <w:rPr>
          <w:rtl w:val="0"/>
        </w:rPr>
        <w:t xml:space="preserve">nbclient</w:t>
      </w:r>
      <w:r w:rsidDel="00000000" w:rsidR="00000000" w:rsidRPr="00000000">
        <w:rPr>
          <w:rtl w:val="0"/>
        </w:rPr>
        <w:t xml:space="preserve"> en lugar de hacer un import convencional.</w:t>
      </w:r>
    </w:p>
    <w:p w:rsidR="00000000" w:rsidDel="00000000" w:rsidP="00000000" w:rsidRDefault="00000000" w:rsidRPr="00000000" w14:paraId="00000087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Cuarentena frente a descarte silencioso: </w:t>
      </w:r>
      <w:r w:rsidDel="00000000" w:rsidR="00000000" w:rsidRPr="00000000">
        <w:rPr>
          <w:rtl w:val="0"/>
        </w:rPr>
        <w:t xml:space="preserve">los registros que no superan </w:t>
      </w:r>
      <w:r w:rsidDel="00000000" w:rsidR="00000000" w:rsidRPr="00000000">
        <w:rPr>
          <w:rtl w:val="0"/>
        </w:rPr>
        <w:t xml:space="preserve">ESQUEMA_SILVER</w:t>
      </w:r>
      <w:r w:rsidDel="00000000" w:rsidR="00000000" w:rsidRPr="00000000">
        <w:rPr>
          <w:rtl w:val="0"/>
        </w:rPr>
        <w:t xml:space="preserve"> se acumulan en un Parquet de cuarentena con el motivo de rechazo en vez de perderse, priorizando la trazabilidad sobre la simplicidad del pipeline.</w:t>
      </w:r>
    </w:p>
    <w:p w:rsidR="00000000" w:rsidDel="00000000" w:rsidP="00000000" w:rsidRDefault="00000000" w:rsidRPr="00000000" w14:paraId="00000088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Reconstrucción completa de </w:t>
      </w:r>
      <w:r w:rsidDel="00000000" w:rsidR="00000000" w:rsidRPr="00000000">
        <w:rPr>
          <w:b w:val="1"/>
          <w:bCs w:val="1"/>
          <w:rtl w:val="0"/>
        </w:rPr>
        <w:t xml:space="preserve">Gold</w:t>
      </w:r>
      <w:r w:rsidDel="00000000" w:rsidR="00000000" w:rsidRPr="00000000">
        <w:rPr>
          <w:b w:val="1"/>
          <w:bCs w:val="1"/>
          <w:rtl w:val="0"/>
        </w:rPr>
        <w:t xml:space="preserve"> frente a cálculo incremental: </w:t>
      </w:r>
      <w:r w:rsidDel="00000000" w:rsidR="00000000" w:rsidRPr="00000000">
        <w:rPr>
          <w:rtl w:val="0"/>
        </w:rPr>
        <w:t xml:space="preserve">procesar_gold</w:t>
      </w:r>
      <w:r w:rsidDel="00000000" w:rsidR="00000000" w:rsidRPr="00000000">
        <w:rPr>
          <w:rtl w:val="0"/>
        </w:rPr>
        <w:t xml:space="preserve">() recalcula las tres tablas Gold desde toda la Silver disponible en cada ejecución (idempotente y sencillo de razonar); a la escala de este ejercicio (5 ciudades, 14 días) el coste de recomputar es marginal frente a la complejidad de un cálculo incremental correcto.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rFonts w:ascii="Instrument Sans" w:cs="Instrument Sans" w:eastAsia="Instrument Sans" w:hAnsi="Instrument Sans"/>
          <w:b w:val="1"/>
          <w:bCs w:val="1"/>
          <w:sz w:val="46"/>
          <w:szCs w:val="46"/>
        </w:rPr>
      </w:pPr>
      <w:bookmarkStart w:colFirst="0" w:colLast="0" w:name="_n7oqz5oklltt" w:id="16"/>
      <w:bookmarkEnd w:id="16"/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46"/>
          <w:szCs w:val="46"/>
          <w:rtl w:val="0"/>
        </w:rPr>
        <w:t xml:space="preserve">Plan de pruebas (testing).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La suite (pytest + </w:t>
      </w:r>
      <w:r w:rsidDel="00000000" w:rsidR="00000000" w:rsidRPr="00000000">
        <w:rPr>
          <w:rtl w:val="0"/>
        </w:rPr>
        <w:t xml:space="preserve">nbclient</w:t>
      </w:r>
      <w:r w:rsidDel="00000000" w:rsidR="00000000" w:rsidRPr="00000000">
        <w:rPr>
          <w:rtl w:val="0"/>
        </w:rPr>
        <w:t xml:space="preserve">) ejecuta la lógica real de cada notebook —no una </w:t>
      </w:r>
      <w:r w:rsidDel="00000000" w:rsidR="00000000" w:rsidRPr="00000000">
        <w:rPr>
          <w:rtl w:val="0"/>
        </w:rPr>
        <w:t xml:space="preserve">reimplementación</w:t>
      </w:r>
      <w:r w:rsidDel="00000000" w:rsidR="00000000" w:rsidRPr="00000000">
        <w:rPr>
          <w:rtl w:val="0"/>
        </w:rPr>
        <w:t xml:space="preserve"> paralela— </w:t>
      </w:r>
      <w:r w:rsidDel="00000000" w:rsidR="00000000" w:rsidRPr="00000000">
        <w:rPr>
          <w:rtl w:val="0"/>
        </w:rPr>
        <w:t xml:space="preserve">añadiéndole</w:t>
      </w:r>
      <w:r w:rsidDel="00000000" w:rsidR="00000000" w:rsidRPr="00000000">
        <w:rPr>
          <w:rtl w:val="0"/>
        </w:rPr>
        <w:t xml:space="preserve"> celdas de código con las aserciones del test y dejando que </w:t>
      </w:r>
      <w:r w:rsidDel="00000000" w:rsidR="00000000" w:rsidRPr="00000000">
        <w:rPr>
          <w:rtl w:val="0"/>
        </w:rPr>
        <w:t xml:space="preserve">nbclient</w:t>
      </w:r>
      <w:r w:rsidDel="00000000" w:rsidR="00000000" w:rsidRPr="00000000">
        <w:rPr>
          <w:rtl w:val="0"/>
        </w:rPr>
        <w:t xml:space="preserve"> la ejecute de principio a fin con el kernel real del proyecto. 16 pruebas en 4 módulos: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960"/>
        <w:gridCol w:w="5145"/>
        <w:tblGridChange w:id="0">
          <w:tblGrid>
            <w:gridCol w:w="2790"/>
            <w:gridCol w:w="960"/>
            <w:gridCol w:w="514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Módulo</w:t>
            </w:r>
          </w:p>
        </w:tc>
        <w:tc>
          <w:tcPr>
            <w:tcBorders>
              <w:top w:color="c4c7c5" w:space="0" w:sz="5" w:val="single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Nº</w:t>
            </w:r>
          </w:p>
        </w:tc>
        <w:tc>
          <w:tcPr>
            <w:tcBorders>
              <w:top w:color="c4c7c5" w:space="0" w:sz="5" w:val="single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Qué verifica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test_catalogo.py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 catálogo de ubicaciones incluye las 5 ciudades obligatorias, sus coordenadas caen en la península, y la validación del catálogo falla de forma explícita si falta una ciudad.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test_extract_resiliencia.py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 FALLBACK usa el último lote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Bronze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 real (no datos inventados) cuando la API no responde; sin API y sin Bronze previo, no se inventa ningún dato.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test_schema_silver.py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Los registros válidos pasan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ESQUEMA_SILVER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; temperatura, humedad y precipitación fuera de rango, y ciudad fuera de catálogo, caen en cuarentena; los registros en cuarentena nunca se pierden ni se mezclan con los válidos.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test_metricas_gold.py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 resumen diario coincide con el cálculo manual, la media móvil 24h coincide con pandas rolling(), y el Z-Score tiene media ~0 y desviación ~1 sobre su propio histórico.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rFonts w:ascii="Instrument Sans" w:cs="Instrument Sans" w:eastAsia="Instrument Sans" w:hAnsi="Instrument Sans"/>
          <w:b w:val="1"/>
          <w:bCs w:val="1"/>
          <w:sz w:val="46"/>
          <w:szCs w:val="46"/>
        </w:rPr>
      </w:pPr>
      <w:bookmarkStart w:colFirst="0" w:colLast="0" w:name="_8r7iv6jpe5c8" w:id="17"/>
      <w:bookmarkEnd w:id="17"/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46"/>
          <w:szCs w:val="46"/>
          <w:rtl w:val="0"/>
        </w:rPr>
        <w:t xml:space="preserve">Verificación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Ejecución real del pipeline completo contra la API pública de Open-Meteo (v1.1), con las 5 ciudades obtenidas por API (0 por FALLBACK) y las 1.680 filas resultantes validadas al 100% en Silver:</w:t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i w:val="1"/>
          <w:iCs w:val="1"/>
          <w:color w:val="6b7280"/>
          <w:sz w:val="18"/>
          <w:szCs w:val="18"/>
        </w:rPr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logs/ejecucion_etl.log — ingesta Bronze y procesamiento Silver de una ejecución real.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El cuadro de mando (dashboard/app.py) lee la capa Gold en vivo y permite inspeccionar, por ciudad, la temperatura horaria frente a su media móvil de 24h y el Z-Score frente al histórico:</w:t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i w:val="1"/>
          <w:iCs w:val="1"/>
          <w:color w:val="6b7280"/>
          <w:sz w:val="18"/>
          <w:szCs w:val="18"/>
        </w:rPr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Dashboard Streamlit en ejecución real sobre datos de la capa Gold (Barcelona).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rFonts w:ascii="Instrument Sans" w:cs="Instrument Sans" w:eastAsia="Instrument Sans" w:hAnsi="Instrument Sans"/>
          <w:b w:val="1"/>
          <w:bCs w:val="1"/>
          <w:sz w:val="46"/>
          <w:szCs w:val="46"/>
        </w:rPr>
      </w:pPr>
      <w:bookmarkStart w:colFirst="0" w:colLast="0" w:name="_dhoauke333g7" w:id="18"/>
      <w:bookmarkEnd w:id="18"/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46"/>
          <w:szCs w:val="46"/>
          <w:rtl w:val="0"/>
        </w:rPr>
        <w:t xml:space="preserve">Plan de despliegue.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El entregable incluye un Dockerfile que empaqueta el entorno completo (Python, kernel </w:t>
      </w:r>
      <w:r w:rsidDel="00000000" w:rsidR="00000000" w:rsidRPr="00000000">
        <w:rPr>
          <w:rtl w:val="0"/>
        </w:rPr>
        <w:t xml:space="preserve">Jupyter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climate_engine</w:t>
      </w:r>
      <w:r w:rsidDel="00000000" w:rsidR="00000000" w:rsidRPr="00000000">
        <w:rPr>
          <w:rtl w:val="0"/>
        </w:rPr>
        <w:t xml:space="preserve">", dependencias fijadas en requirements.txt) para ejecutar el pipeline y el dashboard sin depender del entorno local del evaluador:</w:t>
      </w:r>
    </w:p>
    <w:p w:rsidR="00000000" w:rsidDel="00000000" w:rsidP="00000000" w:rsidRDefault="00000000" w:rsidRPr="00000000" w14:paraId="000000A6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Ejecución del pipeline: </w:t>
      </w:r>
      <w:r w:rsidDel="00000000" w:rsidR="00000000" w:rsidRPr="00000000">
        <w:rPr>
          <w:rtl w:val="0"/>
        </w:rPr>
        <w:t xml:space="preserve">docker run climate-engine python cli.py ejecutar, que encadena Bronze → Silver → Gold vía </w:t>
      </w:r>
      <w:r w:rsidDel="00000000" w:rsidR="00000000" w:rsidRPr="00000000">
        <w:rPr>
          <w:rtl w:val="0"/>
        </w:rPr>
        <w:t xml:space="preserve">nbclient</w:t>
      </w:r>
      <w:r w:rsidDel="00000000" w:rsidR="00000000" w:rsidRPr="00000000">
        <w:rPr>
          <w:rtl w:val="0"/>
        </w:rPr>
        <w:t xml:space="preserve"> sobre los notebooks reales.</w:t>
      </w:r>
    </w:p>
    <w:p w:rsidR="00000000" w:rsidDel="00000000" w:rsidP="00000000" w:rsidRDefault="00000000" w:rsidRPr="00000000" w14:paraId="000000A7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Dashboard: </w:t>
      </w:r>
      <w:r w:rsidDel="00000000" w:rsidR="00000000" w:rsidRPr="00000000">
        <w:rPr>
          <w:rtl w:val="0"/>
        </w:rPr>
        <w:t xml:space="preserve">docker run -p 8501:8501 climate-engine </w:t>
      </w:r>
      <w:r w:rsidDel="00000000" w:rsidR="00000000" w:rsidRPr="00000000">
        <w:rPr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run dashboard/app.py, exponiendo el cuadro de mando en el puerto 8501.</w:t>
      </w:r>
    </w:p>
    <w:p w:rsidR="00000000" w:rsidDel="00000000" w:rsidP="00000000" w:rsidRDefault="00000000" w:rsidRPr="00000000" w14:paraId="000000A8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Persistencia: </w:t>
      </w:r>
      <w:r w:rsidDel="00000000" w:rsidR="00000000" w:rsidRPr="00000000">
        <w:rPr>
          <w:rtl w:val="0"/>
        </w:rPr>
        <w:t xml:space="preserve">las carpetas data/ y logs/ se montan como volumen para conservar Bronze, Silver, Gold y el log de ejecución entre contenedores.</w:t>
      </w:r>
    </w:p>
    <w:p w:rsidR="00000000" w:rsidDel="00000000" w:rsidP="00000000" w:rsidRDefault="00000000" w:rsidRPr="00000000" w14:paraId="000000A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rFonts w:ascii="Instrument Sans" w:cs="Instrument Sans" w:eastAsia="Instrument Sans" w:hAnsi="Instrument Sans"/>
          <w:b w:val="1"/>
          <w:bCs w:val="1"/>
          <w:sz w:val="46"/>
          <w:szCs w:val="46"/>
        </w:rPr>
      </w:pPr>
      <w:bookmarkStart w:colFirst="0" w:colLast="0" w:name="_bcvrq9cfsiqm" w:id="19"/>
      <w:bookmarkEnd w:id="19"/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46"/>
          <w:szCs w:val="46"/>
          <w:rtl w:val="0"/>
        </w:rPr>
        <w:t xml:space="preserve">Trazabilidad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Además de la suite automatizada, la versión 1.1 documenta la validación manual del pipeline contra la API real de Open-Meteo (más allá del servidor mock usado en pytest), confirmando una ejecución con las 5 ciudades obtenidas por API, 0 por FALLBACK y 1.680 filas válidas en Silver sin ningún registro en cuarentena. Cada ejecución queda registrada en logs/ejecucion_etl.log con nivel, marca temporal y el </w:t>
      </w:r>
      <w:r w:rsidDel="00000000" w:rsidR="00000000" w:rsidRPr="00000000">
        <w:rPr>
          <w:rtl w:val="0"/>
        </w:rPr>
        <w:t xml:space="preserve">id_lote</w:t>
      </w:r>
      <w:r w:rsidDel="00000000" w:rsidR="00000000" w:rsidRPr="00000000">
        <w:rPr>
          <w:rtl w:val="0"/>
        </w:rPr>
        <w:t xml:space="preserve"> correspondiente, siguiendo las convenciones de logging de </w:t>
      </w:r>
      <w:r w:rsidDel="00000000" w:rsidR="00000000" w:rsidRPr="00000000">
        <w:rPr>
          <w:rtl w:val="0"/>
        </w:rPr>
        <w:t xml:space="preserve">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rFonts w:ascii="Instrument Sans" w:cs="Instrument Sans" w:eastAsia="Instrument Sans" w:hAnsi="Instrument Sans"/>
          <w:b w:val="1"/>
          <w:bCs w:val="1"/>
          <w:sz w:val="46"/>
          <w:szCs w:val="46"/>
        </w:rPr>
      </w:pPr>
      <w:bookmarkStart w:colFirst="0" w:colLast="0" w:name="_prnw8kcpeaqh" w:id="20"/>
      <w:bookmarkEnd w:id="20"/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46"/>
          <w:szCs w:val="46"/>
          <w:rtl w:val="0"/>
        </w:rPr>
        <w:t xml:space="preserve">Riesgos y preguntas abiertas</w:t>
      </w:r>
    </w:p>
    <w:p w:rsidR="00000000" w:rsidDel="00000000" w:rsidP="00000000" w:rsidRDefault="00000000" w:rsidRPr="00000000" w14:paraId="000000AE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Disponibilidad de la API de Open-Meteo: </w:t>
      </w:r>
      <w:r w:rsidDel="00000000" w:rsidR="00000000" w:rsidRPr="00000000">
        <w:rPr>
          <w:rtl w:val="0"/>
        </w:rPr>
        <w:t xml:space="preserve">aunque el patrón de reintentos y FALLBACK mitiga caídas puntuales, una indisponibilidad prolongada sin ningún Bronze previo para una ciudad hace que esa ciudad se omita de la ejecución (origen </w:t>
      </w:r>
      <w:r w:rsidDel="00000000" w:rsidR="00000000" w:rsidRPr="00000000">
        <w:rPr>
          <w:rtl w:val="0"/>
        </w:rPr>
        <w:t xml:space="preserve">SIN_DATOS</w:t>
      </w:r>
      <w:r w:rsidDel="00000000" w:rsidR="00000000" w:rsidRPr="00000000">
        <w:rPr>
          <w:rtl w:val="0"/>
        </w:rPr>
        <w:t xml:space="preserve">) en vez de bloquear el resto del pipeline.</w:t>
      </w:r>
    </w:p>
    <w:p w:rsidR="00000000" w:rsidDel="00000000" w:rsidP="00000000" w:rsidRDefault="00000000" w:rsidRPr="00000000" w14:paraId="000000AF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Crecimiento de la cuarentena y del histórico </w:t>
      </w:r>
      <w:r w:rsidDel="00000000" w:rsidR="00000000" w:rsidRPr="00000000">
        <w:rPr>
          <w:b w:val="1"/>
          <w:bCs w:val="1"/>
          <w:rtl w:val="0"/>
        </w:rPr>
        <w:t xml:space="preserve">Bronze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ambos se acumulan sin política de purga; a medio plazo convendría definir una retención (por ejemplo, purgar Bronze una vez confirmado en Silver).</w:t>
      </w:r>
    </w:p>
    <w:p w:rsidR="00000000" w:rsidDel="00000000" w:rsidP="00000000" w:rsidRDefault="00000000" w:rsidRPr="00000000" w14:paraId="000000B0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Zona horaria y ventana de predicción: </w:t>
      </w:r>
      <w:r w:rsidDel="00000000" w:rsidR="00000000" w:rsidRPr="00000000">
        <w:rPr>
          <w:rtl w:val="0"/>
        </w:rPr>
        <w:t xml:space="preserve">toda la serie se trabaja en UTC con una ventana fija de 14 días; una extensión natural sería parametrizar la ventana y añadir series históricas más allá de la predicción.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default"/>
      <w:footerReference r:id="rId21" w:type="first"/>
      <w:pgSz w:h="16845" w:w="11910" w:orient="portrait"/>
      <w:pgMar w:bottom="1440" w:top="1440" w:left="1440" w:right="1440" w:header="360" w:footer="36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ra SemiBold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Karla ExtraBold">
    <w:embedBold w:fontKey="{00000000-0000-0000-0000-000000000000}" r:id="rId7" w:subsetted="0"/>
    <w:embedBoldItalic w:fontKey="{00000000-0000-0000-0000-000000000000}" r:id="rId8" w:subsetted="0"/>
  </w:font>
  <w:font w:name="Instrument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Sora ExtraBold">
    <w:embedBold w:fontKey="{00000000-0000-0000-0000-000000000000}" r:id="rId13" w:subsetted="0"/>
  </w:font>
  <w:font w:name="Roboto Mono">
    <w:embedRegular w:fontKey="{00000000-0000-0000-0000-000000000000}" r:id="rId14" w:subsetted="0"/>
    <w:embedBold w:fontKey="{00000000-0000-0000-0000-000000000000}" r:id="rId15" w:subsetted="0"/>
    <w:embedItalic w:fontKey="{00000000-0000-0000-0000-000000000000}" r:id="rId16" w:subsetted="0"/>
    <w:embedBoldItalic w:fontKey="{00000000-0000-0000-0000-000000000000}" r:id="rId17" w:subsetted="0"/>
  </w:font>
  <w:font w:name="Barlow">
    <w:embedRegular w:fontKey="{00000000-0000-0000-0000-000000000000}" r:id="rId18" w:subsetted="0"/>
    <w:embedBold w:fontKey="{00000000-0000-0000-0000-000000000000}" r:id="rId19" w:subsetted="0"/>
    <w:embedItalic w:fontKey="{00000000-0000-0000-0000-000000000000}" r:id="rId20" w:subsetted="0"/>
    <w:embedBoldItalic w:fontKey="{00000000-0000-0000-0000-000000000000}" r:id="rId21" w:subsetted="0"/>
  </w:font>
  <w:font w:name="Nova Mono">
    <w:embedRegular w:fontKey="{00000000-0000-0000-0000-000000000000}" r:id="rId2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jc w:val="right"/>
      <w:rPr>
        <w:color w:val="999999"/>
      </w:rPr>
    </w:pPr>
    <w:r w:rsidDel="00000000" w:rsidR="00000000" w:rsidRPr="00000000">
      <w:rPr>
        <w:rtl w:val="0"/>
      </w:rPr>
    </w:r>
  </w:p>
  <w:tbl>
    <w:tblPr>
      <w:tblStyle w:val="Table6"/>
      <w:tblW w:w="9016.666666666666" w:type="dxa"/>
      <w:jc w:val="left"/>
      <w:tblInd w:w="1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500"/>
      <w:gridCol w:w="4516.666666666666"/>
      <w:tblGridChange w:id="0">
        <w:tblGrid>
          <w:gridCol w:w="4500"/>
          <w:gridCol w:w="4516.66666666666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7">
          <w:pPr>
            <w:spacing w:after="0" w:before="0" w:line="240" w:lineRule="auto"/>
            <w:jc w:val="left"/>
            <w:rPr>
              <w:color w:val="666666"/>
            </w:rPr>
          </w:pPr>
          <w:r w:rsidDel="00000000" w:rsidR="00000000" w:rsidRPr="00000000">
            <w:rPr>
              <w:color w:val="666666"/>
              <w:rtl w:val="0"/>
            </w:rPr>
            <w:t xml:space="preserve">Página </w:t>
          </w:r>
          <w:r w:rsidDel="00000000" w:rsidR="00000000" w:rsidRPr="00000000">
            <w:rPr>
              <w:color w:val="66666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8">
          <w:pPr>
            <w:spacing w:after="0" w:before="0" w:line="240" w:lineRule="auto"/>
            <w:jc w:val="right"/>
            <w:rPr>
              <w:color w:val="666666"/>
            </w:rPr>
          </w:pPr>
          <w:r w:rsidDel="00000000" w:rsidR="00000000" w:rsidRPr="00000000">
            <w:rPr>
              <w:color w:val="666666"/>
              <w:rtl w:val="0"/>
            </w:rPr>
            <w:t xml:space="preserve">Documento de diseño técnico V.1.</w:t>
          </w:r>
        </w:p>
      </w:tc>
    </w:tr>
  </w:tbl>
  <w:p w:rsidR="00000000" w:rsidDel="00000000" w:rsidP="00000000" w:rsidRDefault="00000000" w:rsidRPr="00000000" w14:paraId="000000B9">
    <w:pPr>
      <w:jc w:val="right"/>
      <w:rPr/>
    </w:pPr>
    <w:r w:rsidDel="00000000" w:rsidR="00000000" w:rsidRPr="00000000">
      <w:rPr>
        <w:rtl w:val="0"/>
      </w:rPr>
      <w:tab/>
      <w:tab/>
      <w:tab/>
      <w:t xml:space="preserve">                                </w:t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055362" cy="348270"/>
          <wp:effectExtent b="0" l="0" r="0" t="0"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5362" cy="3482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-19049</wp:posOffset>
              </wp:positionH>
              <wp:positionV relativeFrom="page">
                <wp:posOffset>-28799</wp:posOffset>
              </wp:positionV>
              <wp:extent cx="7610475" cy="1962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 rot="-5400000">
                        <a:off x="5954400" y="-5954300"/>
                        <a:ext cx="303600" cy="1221240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2178EE"/>
                          </a:gs>
                          <a:gs pos="100000">
                            <a:srgbClr val="FFFFFF"/>
                          </a:gs>
                        </a:gsLst>
                        <a:lin ang="5400012" scaled="0"/>
                      </a:gra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-19049</wp:posOffset>
              </wp:positionH>
              <wp:positionV relativeFrom="page">
                <wp:posOffset>-28799</wp:posOffset>
              </wp:positionV>
              <wp:extent cx="7610475" cy="196208"/>
              <wp:effectExtent b="0" l="0" r="0" t="0"/>
              <wp:wrapNone/>
              <wp:docPr id="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0475" cy="1962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-962024</wp:posOffset>
          </wp:positionH>
          <wp:positionV relativeFrom="paragraph">
            <wp:posOffset>-280799</wp:posOffset>
          </wp:positionV>
          <wp:extent cx="10801350" cy="767715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14940" l="-20756" r="-19397" t="14667"/>
                  <a:stretch>
                    <a:fillRect/>
                  </a:stretch>
                </pic:blipFill>
                <pic:spPr>
                  <a:xfrm rot="5400000">
                    <a:off x="0" y="0"/>
                    <a:ext cx="10801350" cy="7677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-476249</wp:posOffset>
          </wp:positionH>
          <wp:positionV relativeFrom="paragraph">
            <wp:posOffset>33402</wp:posOffset>
          </wp:positionV>
          <wp:extent cx="1587500" cy="613724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7500" cy="6137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strument Sans" w:cs="Instrument Sans" w:eastAsia="Instrument Sans" w:hAnsi="Instrument Sans"/>
        <w:sz w:val="22"/>
        <w:szCs w:val="22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="360" w:lineRule="auto"/>
    </w:pPr>
    <w:rPr>
      <w:rFonts w:ascii="Karla ExtraBold" w:cs="Karla ExtraBold" w:eastAsia="Karla ExtraBold" w:hAnsi="Karla ExtraBol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Rule="auto"/>
    </w:pPr>
    <w:rPr>
      <w:rFonts w:ascii="Karla ExtraBold" w:cs="Karla ExtraBold" w:eastAsia="Karla ExtraBold" w:hAnsi="Karla ExtraBold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e46b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ind w:left="566.9291338582676" w:firstLine="0"/>
    </w:pPr>
    <w:rPr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21" Type="http://schemas.openxmlformats.org/officeDocument/2006/relationships/footer" Target="footer1.xm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francisco.ortega@nter.es" TargetMode="External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hyperlink" Target="mailto:francisco.ortega@nter.es" TargetMode="External"/><Relationship Id="rId18" Type="http://schemas.openxmlformats.org/officeDocument/2006/relationships/header" Target="header1.xml"/><Relationship Id="rId7" Type="http://schemas.openxmlformats.org/officeDocument/2006/relationships/hyperlink" Target="mailto:francisco.ortega@nter.es" TargetMode="External"/><Relationship Id="rId8" Type="http://schemas.openxmlformats.org/officeDocument/2006/relationships/hyperlink" Target="mailto:francisco.ortega@nter.es" TargetMode="Externa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Barlow-italic.ttf"/><Relationship Id="rId11" Type="http://schemas.openxmlformats.org/officeDocument/2006/relationships/font" Target="fonts/InstrumentSans-italic.ttf"/><Relationship Id="rId22" Type="http://schemas.openxmlformats.org/officeDocument/2006/relationships/font" Target="fonts/NovaMono-regular.ttf"/><Relationship Id="rId10" Type="http://schemas.openxmlformats.org/officeDocument/2006/relationships/font" Target="fonts/InstrumentSans-bold.ttf"/><Relationship Id="rId21" Type="http://schemas.openxmlformats.org/officeDocument/2006/relationships/font" Target="fonts/Barlow-boldItalic.ttf"/><Relationship Id="rId13" Type="http://schemas.openxmlformats.org/officeDocument/2006/relationships/font" Target="fonts/SoraExtraBold-bold.ttf"/><Relationship Id="rId12" Type="http://schemas.openxmlformats.org/officeDocument/2006/relationships/font" Target="fonts/InstrumentSans-boldItalic.ttf"/><Relationship Id="rId1" Type="http://schemas.openxmlformats.org/officeDocument/2006/relationships/font" Target="fonts/SoraSemiBold-regular.ttf"/><Relationship Id="rId2" Type="http://schemas.openxmlformats.org/officeDocument/2006/relationships/font" Target="fonts/SoraSemiBold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9" Type="http://schemas.openxmlformats.org/officeDocument/2006/relationships/font" Target="fonts/InstrumentSans-regular.ttf"/><Relationship Id="rId15" Type="http://schemas.openxmlformats.org/officeDocument/2006/relationships/font" Target="fonts/RobotoMono-bold.ttf"/><Relationship Id="rId14" Type="http://schemas.openxmlformats.org/officeDocument/2006/relationships/font" Target="fonts/RobotoMono-regular.ttf"/><Relationship Id="rId17" Type="http://schemas.openxmlformats.org/officeDocument/2006/relationships/font" Target="fonts/RobotoMono-boldItalic.ttf"/><Relationship Id="rId16" Type="http://schemas.openxmlformats.org/officeDocument/2006/relationships/font" Target="fonts/RobotoMono-italic.ttf"/><Relationship Id="rId5" Type="http://schemas.openxmlformats.org/officeDocument/2006/relationships/font" Target="fonts/Roboto-italic.ttf"/><Relationship Id="rId19" Type="http://schemas.openxmlformats.org/officeDocument/2006/relationships/font" Target="fonts/Barlow-bold.ttf"/><Relationship Id="rId6" Type="http://schemas.openxmlformats.org/officeDocument/2006/relationships/font" Target="fonts/Roboto-boldItalic.ttf"/><Relationship Id="rId18" Type="http://schemas.openxmlformats.org/officeDocument/2006/relationships/font" Target="fonts/Barlow-regular.ttf"/><Relationship Id="rId7" Type="http://schemas.openxmlformats.org/officeDocument/2006/relationships/font" Target="fonts/KarlaExtraBold-bold.ttf"/><Relationship Id="rId8" Type="http://schemas.openxmlformats.org/officeDocument/2006/relationships/font" Target="fonts/KarlaExtra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