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雷达站-需求分析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雷达站机械机构--云台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搭建机械平台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高清摄像头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</w:t>
      </w:r>
      <w:r>
        <w:rPr>
          <w:rFonts w:hint="eastAsia"/>
          <w:sz w:val="28"/>
          <w:szCs w:val="28"/>
          <w:lang w:val="en-US" w:eastAsia="zh-CN"/>
        </w:rPr>
        <w:t>V-UBS31GM相机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高性能GPU电脑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可以20系列和30系列显卡，现存12G以上，硬盘两三百G，内存16G以上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人机交互UI界面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利用PyQt工具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雷达传感器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Livox Mid70激光雷达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6.通讯机制--裁判系统相关环境部署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947410" cy="3482975"/>
            <wp:effectExtent l="0" t="0" r="1143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XGyreTermesX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DB422"/>
    <w:multiLevelType w:val="singleLevel"/>
    <w:tmpl w:val="717DB4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85E41"/>
    <w:rsid w:val="0ECC0F00"/>
    <w:rsid w:val="48085E41"/>
    <w:rsid w:val="683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2021-10-29T11:38:00Z</dcterms:created>
  <dc:creator>言清欢</dc:creator>
  <cp:lastModifiedBy>Rrk</cp:lastModifiedBy>
  <dcterms:modified xsi:type="dcterms:W3CDTF">2021-11-09T13:00:19Z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C73A9730710141179AB80D4822D5AF27</vt:lpwstr>
  </property>
</Properties>
</file>