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Визуализация данных исследования.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Нередко в научной работе графическое представление данных исследования позволяет обой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тись в их анализе без трудоемкой и длительной статистической обработки. Выводы при этом представляются лаконичными и уни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версальными для понимания. К основным способам визуализации данных относятся таблицы, рисунки, фотографии, схемы, гра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фы, диаграммы, графики.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Таблица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—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это такой способ представления данных, когда циф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ровой или текстовый материал распределяется по столбцам (ко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лонкам, графам) и строкам. Таблицы используются для приведе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 данных в определенную систему, когда требуется их сопо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ставление. При этом, как правило, в каждой строке помещаются данные об одном испытуемом (или случае), а по столбцам — зна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чения переменных (параметров, факторов).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Аналитические таблицы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представляют собой результат обработки и анализа показателей. Обычно на их основе делают обобщающий вывод, в котором устанавливается и формулируется определен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ная закономерность. В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неаналитических таблицах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приводятся не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обработанные диагностические данные, на основании которых не делается никаких выводов. Это информативный и иллюстратив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ный материал.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В таблицах необходимо представить данные для последующей их обработки в табличном процессоре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Ехсе1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или других компью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терных программах обработки данных.</w:t>
      </w:r>
    </w:p>
    <w:p w:rsid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состав таблицы входят порядковый номер и тематический заголовок (название), боковик (перечень параметров, размещае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мых по горизонтали), заголовки столбцов (головки) и сами стро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ки и столбцы (горизонтальные и вертикальные графы).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 примеру таблица из магистерской диссертации.</w:t>
      </w:r>
    </w:p>
    <w:p w:rsidR="008406EA" w:rsidRPr="00F76FD7" w:rsidRDefault="008406EA" w:rsidP="008406EA">
      <w:pPr>
        <w:spacing w:after="0" w:line="360" w:lineRule="auto"/>
        <w:ind w:firstLine="709"/>
        <w:jc w:val="right"/>
        <w:rPr>
          <w:rFonts w:ascii="Times New Roman" w:hAnsi="Times New Roman"/>
          <w:iCs/>
          <w:sz w:val="28"/>
          <w:szCs w:val="28"/>
          <w:lang w:eastAsia="ru-RU"/>
        </w:rPr>
      </w:pPr>
      <w:r w:rsidRPr="00F76FD7">
        <w:rPr>
          <w:rFonts w:ascii="Times New Roman" w:hAnsi="Times New Roman"/>
          <w:iCs/>
          <w:sz w:val="28"/>
          <w:szCs w:val="28"/>
          <w:shd w:val="clear" w:color="auto" w:fill="FFFFFF"/>
          <w:lang w:eastAsia="ru-RU"/>
        </w:rPr>
        <w:t>Таблица 2</w:t>
      </w:r>
    </w:p>
    <w:p w:rsidR="008406EA" w:rsidRPr="00F76FD7" w:rsidRDefault="008406EA" w:rsidP="008406EA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F76FD7">
        <w:rPr>
          <w:rFonts w:ascii="Times New Roman" w:hAnsi="Times New Roman"/>
          <w:b/>
          <w:sz w:val="28"/>
          <w:szCs w:val="28"/>
          <w:shd w:val="clear" w:color="auto" w:fill="FFFFFF"/>
          <w:lang w:eastAsia="ru-RU"/>
        </w:rPr>
        <w:t>Исходный уровень теоретических знаний учителей, (%)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2774"/>
        <w:gridCol w:w="2615"/>
      </w:tblGrid>
      <w:tr w:rsidR="008406EA" w:rsidRPr="00F76FD7" w:rsidTr="00FE04B5">
        <w:trPr>
          <w:trHeight w:val="648"/>
          <w:tblHeader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Вариант ответа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Знания о сущности</w:t>
            </w:r>
            <w:r w:rsidRPr="00F76FD7">
              <w:rPr>
                <w:rFonts w:ascii="Times New Roman" w:eastAsia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 xml:space="preserve"> дистанционного обучения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Знания о деятельности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учителя </w:t>
            </w:r>
            <w:r w:rsidRPr="00F76FD7">
              <w:rPr>
                <w:rFonts w:ascii="Times New Roman" w:eastAsia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в системе дистанционного обучения</w:t>
            </w:r>
          </w:p>
        </w:tc>
      </w:tr>
      <w:tr w:rsidR="008406EA" w:rsidRPr="00F76FD7" w:rsidTr="00FE04B5">
        <w:trPr>
          <w:trHeight w:val="250"/>
          <w:tblHeader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3</w:t>
            </w:r>
          </w:p>
        </w:tc>
      </w:tr>
      <w:tr w:rsidR="008406EA" w:rsidRPr="00F76FD7" w:rsidTr="00FE04B5">
        <w:trPr>
          <w:trHeight w:val="317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имею представления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0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17</w:t>
            </w:r>
          </w:p>
        </w:tc>
      </w:tr>
      <w:tr w:rsidR="008406EA" w:rsidRPr="00F76FD7" w:rsidTr="00FE04B5">
        <w:trPr>
          <w:trHeight w:val="312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Приблизительно знаю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87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78</w:t>
            </w:r>
          </w:p>
        </w:tc>
      </w:tr>
      <w:tr w:rsidR="008406EA" w:rsidRPr="00F76FD7" w:rsidTr="00FE04B5">
        <w:trPr>
          <w:trHeight w:val="307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Хорошо знаю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4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3</w:t>
            </w:r>
          </w:p>
        </w:tc>
      </w:tr>
      <w:tr w:rsidR="008406EA" w:rsidRPr="00F76FD7" w:rsidTr="00FE04B5">
        <w:trPr>
          <w:trHeight w:val="629"/>
          <w:jc w:val="center"/>
        </w:trPr>
        <w:tc>
          <w:tcPr>
            <w:tcW w:w="4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F76FD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работать в системе дистанционного обучения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9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06EA" w:rsidRPr="00F76FD7" w:rsidRDefault="008406EA" w:rsidP="00FE04B5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F76FD7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eastAsia="ru-RU"/>
              </w:rPr>
              <w:t>2</w:t>
            </w:r>
          </w:p>
        </w:tc>
      </w:tr>
    </w:tbl>
    <w:p w:rsidR="008406EA" w:rsidRP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6EA" w:rsidRPr="000369E2" w:rsidRDefault="008406EA" w:rsidP="008406EA">
      <w:pPr>
        <w:pStyle w:val="a3"/>
        <w:spacing w:before="0" w:beforeAutospacing="0" w:after="0" w:afterAutospacing="0"/>
        <w:rPr>
          <w:sz w:val="28"/>
          <w:szCs w:val="28"/>
        </w:rPr>
      </w:pPr>
      <w:r w:rsidRPr="000369E2">
        <w:rPr>
          <w:sz w:val="28"/>
          <w:szCs w:val="28"/>
        </w:rPr>
        <w:t>1. Название таблицы, заголовки столбцов в ней должны быть максимально краткими и точно отражать ее содержание. В заго</w:t>
      </w:r>
      <w:r w:rsidRPr="000369E2">
        <w:rPr>
          <w:sz w:val="28"/>
          <w:szCs w:val="28"/>
        </w:rPr>
        <w:softHyphen/>
        <w:t xml:space="preserve">ловках столбцов не повторяются общее название таблицы или названия ее отдельных частей. </w:t>
      </w:r>
      <w:r w:rsidRPr="000369E2">
        <w:rPr>
          <w:sz w:val="28"/>
          <w:szCs w:val="28"/>
        </w:rPr>
        <w:lastRenderedPageBreak/>
        <w:t>Единицы измерения параметров вносят в название таблицы или столбцы. Боковик таблицы также должен быть предельно лаконичным, повторяющиеся слова нужно выносить в объединяющие рубрики, общие для всех заголовков слова помещают в заголовок над боко</w:t>
      </w:r>
      <w:r w:rsidRPr="000369E2">
        <w:rPr>
          <w:sz w:val="28"/>
          <w:szCs w:val="28"/>
        </w:rPr>
        <w:softHyphen/>
        <w:t>виком. В конце заголовков знаки препинания не ставятся.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3. Основные заголовки внутри таблицы пишутся с прописной буквы, подчиненные — со строчной, если образуют единое целое предложение с основным заголовком, или с прописной, если имеют самостоятельное значение. Параметры по столбцам назы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ваются в единственном числе («Фамилия, имя учащегося» или «Оценка»).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4. Все таблицы должны иметь сквозную нумерацию арабскими цифрами. Над правым верхним углом таблицы помещается над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пись «Таблица» с указанием порядкового номера (например, «Таб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лица 7». Знак номера и точка после цифры не ставятся. Если в тексте имеется только одна таблица, то она не нумеруется и слово «таблица» не пишется. •'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5. При переносе таблицы на следующую страницу головка таб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лицы воспроизводится, а над ней помещается надпись: «Продол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жение таблицы 7». Если головка громоздкая, то столбцы нумеру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ются и на следующих страницах повторяется их нумерация. Заго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ловок таблицы не воспроизводится.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6. Шрифт текста таблицы, как правило, меньше шрифта ос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новного текста на 2 пункта (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), а шрифт головки — на 2 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меньше шрифта текста таблицы. При оформлении головки исполь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зуется только прямое светлое начертание шрифта, текст распола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гается по центру столбца. Для названия таблицы используют фор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мулировки, имеющиеся в основном тексте или в заголовках его частей, но полужирного начертания.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Использование таблиц целесообразно в случае большого мас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сива текстовых и цифровых данных, которые нуждаются в клас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сификации и наглядном сопоставлении.</w:t>
      </w:r>
    </w:p>
    <w:p w:rsid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Рисунки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используются для иллюстрации идей, положений, выводов, воссоздания образов. Они (в отличие от таблиц) подпи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сываются внизу: </w:t>
      </w: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«Рис.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. Название рисунка или фотографии». В подпись часто входит экспликация: детали иллюстрации нуме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руются, а в подписи они поясняются текстом. При этом применя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ется шрифт на 2 </w:t>
      </w:r>
      <w:proofErr w:type="spellStart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пт</w:t>
      </w:r>
      <w:proofErr w:type="spellEnd"/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меньше шрифта основного текста, подпись располагается по центру иллюстрации, нумерация сквозная для всех иллюстраций. В тексте делаются ссылки на иллюстративный материал с указанием его порядк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ового номера, например, «(рис. 1)» или «как видно на рис. 1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». Эти же правила распространяются и на другие иллюстративные средства.</w:t>
      </w:r>
    </w:p>
    <w:p w:rsid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Пример из магистерской диссертации:</w:t>
      </w:r>
    </w:p>
    <w:p w:rsidR="008406EA" w:rsidRPr="00C62BAA" w:rsidRDefault="008406EA" w:rsidP="008406EA">
      <w:pPr>
        <w:keepNext/>
        <w:spacing w:after="0" w:line="360" w:lineRule="auto"/>
        <w:jc w:val="both"/>
        <w:rPr>
          <w:rFonts w:ascii="Times New Roman" w:hAnsi="Times New Roman"/>
          <w:sz w:val="28"/>
        </w:rPr>
      </w:pPr>
      <w:r w:rsidRPr="00C62BAA">
        <w:rPr>
          <w:rFonts w:ascii="Times New Roman" w:hAnsi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0</wp:posOffset>
            </wp:positionV>
            <wp:extent cx="4848225" cy="4810125"/>
            <wp:effectExtent l="0" t="0" r="9525" b="9525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9R2D2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06EA" w:rsidRPr="00C62BAA" w:rsidRDefault="008406EA" w:rsidP="008406EA">
      <w:pPr>
        <w:spacing w:line="240" w:lineRule="auto"/>
        <w:jc w:val="center"/>
        <w:rPr>
          <w:rFonts w:ascii="Times New Roman" w:hAnsi="Times New Roman"/>
          <w:iCs/>
          <w:sz w:val="28"/>
          <w:szCs w:val="28"/>
        </w:rPr>
      </w:pPr>
      <w:r w:rsidRPr="00C62BAA">
        <w:rPr>
          <w:rFonts w:ascii="Times New Roman" w:hAnsi="Times New Roman"/>
          <w:iCs/>
          <w:sz w:val="28"/>
          <w:szCs w:val="28"/>
        </w:rPr>
        <w:t xml:space="preserve">Рисунок </w:t>
      </w:r>
      <w:r w:rsidRPr="00C62BAA">
        <w:rPr>
          <w:rFonts w:ascii="Times New Roman" w:hAnsi="Times New Roman"/>
          <w:iCs/>
          <w:sz w:val="28"/>
          <w:szCs w:val="28"/>
        </w:rPr>
        <w:fldChar w:fldCharType="begin"/>
      </w:r>
      <w:r w:rsidRPr="00C62BAA">
        <w:rPr>
          <w:rFonts w:ascii="Times New Roman" w:hAnsi="Times New Roman"/>
          <w:iCs/>
          <w:sz w:val="28"/>
          <w:szCs w:val="28"/>
        </w:rPr>
        <w:instrText xml:space="preserve"> SEQ Рисунок \* ARABIC </w:instrText>
      </w:r>
      <w:r w:rsidRPr="00C62BAA">
        <w:rPr>
          <w:rFonts w:ascii="Times New Roman" w:hAnsi="Times New Roman"/>
          <w:iCs/>
          <w:sz w:val="28"/>
          <w:szCs w:val="28"/>
        </w:rPr>
        <w:fldChar w:fldCharType="separate"/>
      </w:r>
      <w:r w:rsidRPr="00C62BAA">
        <w:rPr>
          <w:rFonts w:ascii="Times New Roman" w:hAnsi="Times New Roman"/>
          <w:iCs/>
          <w:noProof/>
          <w:sz w:val="28"/>
          <w:szCs w:val="28"/>
        </w:rPr>
        <w:t>1</w:t>
      </w:r>
      <w:r w:rsidRPr="00C62BAA">
        <w:rPr>
          <w:rFonts w:ascii="Times New Roman" w:hAnsi="Times New Roman"/>
          <w:iCs/>
          <w:sz w:val="28"/>
          <w:szCs w:val="28"/>
        </w:rPr>
        <w:fldChar w:fldCharType="end"/>
      </w:r>
      <w:r>
        <w:rPr>
          <w:rFonts w:ascii="Times New Roman" w:hAnsi="Times New Roman"/>
          <w:iCs/>
          <w:sz w:val="28"/>
          <w:szCs w:val="28"/>
        </w:rPr>
        <w:t>.</w:t>
      </w:r>
      <w:r w:rsidRPr="00C62BAA">
        <w:rPr>
          <w:rFonts w:ascii="Times New Roman" w:hAnsi="Times New Roman"/>
          <w:iCs/>
          <w:sz w:val="28"/>
          <w:szCs w:val="28"/>
        </w:rPr>
        <w:t xml:space="preserve"> Формы непрерывного образования педагога</w:t>
      </w:r>
      <w:r w:rsidRPr="00C62BAA">
        <w:rPr>
          <w:rFonts w:ascii="Times New Roman" w:hAnsi="Times New Roman"/>
          <w:iCs/>
          <w:sz w:val="28"/>
          <w:szCs w:val="28"/>
        </w:rPr>
        <w:br/>
        <w:t>и точки профессионального роста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Фотографии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применяются тогда, когда требуется отобразить объект с документальной точностью или его индивидуальными особенностями. При этом они должны быть технически воспроиз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водимы средствами копирования, поясняться в подписях и тек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сте.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Схема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—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это изображение, выполненное с помощью условных обозначений и без соблюдения масштаба. Она предназначена для наиболее емкого и наглядного выражения идеи, соподчиненности понятий. Фактически схема представляет модель изучаемого объекта, его структуры, взаимосвязей и взаимозависимостей.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 блок-схемах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для простоты элементы изображают прямоугольниками и другими геометрическими фигурами, а их связи — простыми ли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ниями. По функциям схемы подразделяются на логические, по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следовательные, локальные, сущностные и технические.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оформлении схемы используемые геометрические знаки подбираются в зависимости от их количества и поля чертежа; они могут быть разными по форме, но близкими по размерам; для изображения основных и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вспомогательных элементов, их связей используются линии одинаковой толщины; звенья располагаются по возможности симметрично.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Графы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являются разновидностью блок-схем и представляют собой расположенные на плоскости геомет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рические конструкции, которые состоят из вершин, соединен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ных определенным образом ориентированными линиями, и вос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производят изучаемый процесс или явление. С помощью графов можно изобразить связи между свойствами и качествами, описать связи между отдельными составляющими процесса, выделить ряд особо важных в логическом плане компонентов системы, имею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щих наибольшее число связей с другими компонентами.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Диаграмма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— графическое изображение, наглядно показывающее соот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ношение каких-либо величин. Диаграмма используется для облег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чения сравнений (сопоставлений), выявления закономерностей и тенденций данных. Она помогает увидеть динамику процесса.</w:t>
      </w:r>
    </w:p>
    <w:p w:rsid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 форме построения диаграммы бывают линейные, плоско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стные и объемные; столбчатые (ленточные) и круговые (сектор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ные); простые и составные.</w:t>
      </w:r>
    </w:p>
    <w:p w:rsidR="008406EA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Пример из магистерской диссертации: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 w:rsidRPr="00F76FD7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C09C247" wp14:editId="3D6EDB62">
            <wp:extent cx="5888334" cy="2829560"/>
            <wp:effectExtent l="0" t="0" r="0" b="0"/>
            <wp:docPr id="2" name="Объект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406EA" w:rsidRPr="008406EA" w:rsidRDefault="008406EA" w:rsidP="008406EA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06EA">
        <w:rPr>
          <w:rFonts w:ascii="Times New Roman" w:eastAsia="Times New Roman" w:hAnsi="Times New Roman"/>
          <w:sz w:val="28"/>
          <w:szCs w:val="28"/>
          <w:lang w:eastAsia="ru-RU"/>
        </w:rPr>
        <w:t>Диаграмма 1 – Результаты опроса учителей о сущности электронного обучения и деятельности учителя в ней, (%)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многочисленных компьютерных программах имеется возмож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ность выбора из нескольких типов диаграмм и графиков, причем каждый тип имеет несколько разновидностей (видов). К примеру, </w:t>
      </w: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Ехсе1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позволяет выбрать один из 14 основных (стандарт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ных) типов диаграмм (графиков) и 20 дополнительных (нестандартных) типов диаграмм. Внутри каждого из основных типов диаграмм можно выбрать конкретный подтип. Правильный выбор типа диаграммы (графика) дает возможность представить данные наглядным образом.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Круговая (секторная) диаграмма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представляет собой круг, раз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деленный на секторы, величина которых пропорциональна вели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чине частей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отображаемого объекта или явления. По такой диа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грамме можно выявить соотношение компонентов внутри одного целого, но она не дает возможности проследить динамику изме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нения величин и их соотношений. К тому же наглядность круго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вой диаграммы снижается при возрастании количества сравнива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емых величин и небольшом их различии.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Столбчатая (ленточная) диаграмма (гистограмма)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представля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ет собой ряд расположенных на одинаковом расстоянии друг за другом прямоугольников одинаковой ширины. Такие прямоуголь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ники располагаются вертикально (столбики) или горизонтально (ленточки). Высота (или длина) прямоугольников пропорциональ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на изображаемым ими величинам. Ширина прямоугольников за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висит от их количества и рабочего поля чертежа.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Ярусная (или составная) гистограмма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позволяет проследить ди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намику распределения составляющих. При этом есть возможность сравнивать только изменения соотношения, когда соседние стол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бики остаются одинаковой высоты, принимаемой за 100%, а со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ставляющие их прямоугольники пропорциональны относительной величине компонента в составе целого.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Изобразительные диаграммы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являются иллюстративно-инфор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мационным изображением, в них простые геометрические фигу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ры заменяются символами, воспроизводящими образ предмета. Они могут быть следующих видов:</w:t>
      </w:r>
    </w:p>
    <w:p w:rsidR="008406EA" w:rsidRPr="000369E2" w:rsidRDefault="008406EA" w:rsidP="008406E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в качестве графических знаков служат символы сравнивае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мых параметров, различающиеся по величине;</w:t>
      </w:r>
    </w:p>
    <w:p w:rsidR="008406EA" w:rsidRPr="000369E2" w:rsidRDefault="008406EA" w:rsidP="008406E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символы-знаки помещены внутри столбиков, полос или сек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торов, причем прямоугольники или секторы вписываются точно по масштабу, а символы не меняют своей величины;</w:t>
      </w:r>
    </w:p>
    <w:p w:rsidR="008406EA" w:rsidRPr="000369E2" w:rsidRDefault="008406EA" w:rsidP="008406E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соблюдается и масштабность, и изобразительность, а в зоне рисунка вычерчивается ломаная линия, соединяющая показатели;</w:t>
      </w:r>
    </w:p>
    <w:p w:rsidR="008406EA" w:rsidRPr="000369E2" w:rsidRDefault="008406EA" w:rsidP="008406E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показатели оформляются не точками, а кружочками со впи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санными числовыми значениями и соединяются не линиями, а широкими полосами;</w:t>
      </w:r>
    </w:p>
    <w:p w:rsidR="008406EA" w:rsidRPr="000369E2" w:rsidRDefault="008406EA" w:rsidP="008406EA">
      <w:pPr>
        <w:pStyle w:val="a4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диаграммы могут содержать цветовые выделения.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Графики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 xml:space="preserve"> — условное изобра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жение характера зависимости одной величины от другой или дина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мики изменения величины. Кривая на графике может быть лома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ной или сглаженной в зависимости от требований наглядности.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График включает в себя заголовок, словесное пояснение ус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ловных знаков и значения отдельных элементов графического об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раза, оси координат, шкалу с масштабом, числовые сетки и чис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ловые данные, дополняющие или уточняющие величину нане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сенных на график показателей.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Координатные оси вычерчиваются сплошными линиями без стрелок на концах. Если это необходимо для повышения нагляд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ности, оси дополняются координатной сеткой, соответствующей выбранному масштабу. Числовые значения штрихов, как прави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ло, пишут за пределами графика (левее вертикальной оси и ниже горизонтальной), избегая дробных величин. При этом значения можно откладывать не с нуля, а в пределах рассматриваемой 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за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висимости. Независимую переменную откладывают по горизон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тальной оси. Масштаб каждой оси может быть разным.</w:t>
      </w:r>
    </w:p>
    <w:p w:rsidR="008406EA" w:rsidRPr="000369E2" w:rsidRDefault="008406EA" w:rsidP="008406E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t>По координатным осям указывают условные обозначения и раз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мерности отложенных величин в принятых сокращениях. На гра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фике используются только принятые в тексте условные обозначе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ния, аббревиатуры и сокращения. Надписи, относящиеся к кри</w:t>
      </w:r>
      <w:r w:rsidRPr="000369E2">
        <w:rPr>
          <w:rFonts w:ascii="Times New Roman" w:eastAsia="Times New Roman" w:hAnsi="Times New Roman"/>
          <w:sz w:val="28"/>
          <w:szCs w:val="28"/>
          <w:lang w:eastAsia="ru-RU"/>
        </w:rPr>
        <w:softHyphen/>
        <w:t>вым и точкам, должны быть краткими и немногочисленными. Все обозначения на графике обязательно комментируются в тексте.</w:t>
      </w:r>
    </w:p>
    <w:p w:rsidR="008406EA" w:rsidRPr="000369E2" w:rsidRDefault="008406EA" w:rsidP="008406EA">
      <w:pPr>
        <w:spacing w:after="0"/>
        <w:rPr>
          <w:rFonts w:ascii="Times New Roman" w:hAnsi="Times New Roman"/>
          <w:sz w:val="28"/>
          <w:szCs w:val="28"/>
        </w:rPr>
      </w:pPr>
    </w:p>
    <w:p w:rsidR="00A574A2" w:rsidRPr="004A63C1" w:rsidRDefault="008406EA" w:rsidP="004A63C1">
      <w:pPr>
        <w:spacing w:after="0"/>
        <w:rPr>
          <w:rFonts w:ascii="Times New Roman" w:hAnsi="Times New Roman"/>
          <w:sz w:val="28"/>
        </w:rPr>
      </w:pPr>
    </w:p>
    <w:sectPr w:rsidR="00A574A2" w:rsidRPr="004A6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1F"/>
    <w:multiLevelType w:val="hybridMultilevel"/>
    <w:tmpl w:val="E9389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E166E"/>
    <w:multiLevelType w:val="multilevel"/>
    <w:tmpl w:val="6416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66"/>
    <w:rsid w:val="000A3928"/>
    <w:rsid w:val="0021705C"/>
    <w:rsid w:val="00275BF8"/>
    <w:rsid w:val="004A63C1"/>
    <w:rsid w:val="004C3966"/>
    <w:rsid w:val="008406EA"/>
    <w:rsid w:val="009B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541E"/>
  <w15:chartTrackingRefBased/>
  <w15:docId w15:val="{2A886374-8073-4581-87AD-B4083706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6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6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4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7.9288025889967639E-2"/>
          <c:y val="8.7108013937282236E-2"/>
          <c:w val="0.90614886731391586"/>
          <c:h val="0.5749128919860627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Знания о сущности ДО</c:v>
                </c:pt>
              </c:strCache>
            </c:strRef>
          </c:tx>
          <c:spPr>
            <a:pattFill prst="pct60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1661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332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Не имею представления</c:v>
                </c:pt>
                <c:pt idx="1">
                  <c:v>Знаю приблизительно</c:v>
                </c:pt>
                <c:pt idx="2">
                  <c:v>Знаю хорошо</c:v>
                </c:pt>
                <c:pt idx="3">
                  <c:v>Могу работать в СДО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0</c:v>
                </c:pt>
                <c:pt idx="1">
                  <c:v>87</c:v>
                </c:pt>
                <c:pt idx="2">
                  <c:v>4</c:v>
                </c:pt>
                <c:pt idx="3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7-4DC7-B61B-122AFBC113D6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Знания о деятельности преподавателя в ДО</c:v>
                </c:pt>
              </c:strCache>
            </c:strRef>
          </c:tx>
          <c:spPr>
            <a:pattFill prst="pct5">
              <a:fgClr>
                <a:srgbClr xmlns:mc="http://schemas.openxmlformats.org/markup-compatibility/2006" xmlns:a14="http://schemas.microsoft.com/office/drawing/2010/main" val="000000" mc:Ignorable="a14" a14:legacySpreadsheetColorIndex="8"/>
              </a:fgClr>
              <a:bgClr>
                <a:srgbClr xmlns:mc="http://schemas.openxmlformats.org/markup-compatibility/2006" xmlns:a14="http://schemas.microsoft.com/office/drawing/2010/main" val="FFFFFF" mc:Ignorable="a14" a14:legacySpreadsheetColorIndex="9"/>
              </a:bgClr>
            </a:pattFill>
            <a:ln w="11661">
              <a:solidFill>
                <a:srgbClr val="000000"/>
              </a:solidFill>
              <a:prstDash val="solid"/>
            </a:ln>
          </c:spPr>
          <c:invertIfNegative val="0"/>
          <c:dLbls>
            <c:spPr>
              <a:noFill/>
              <a:ln w="23324">
                <a:noFill/>
              </a:ln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1102" b="0" i="0" u="none" strike="noStrike" baseline="0">
                    <a:solidFill>
                      <a:srgbClr val="000000"/>
                    </a:solidFill>
                    <a:latin typeface="Times New Roman"/>
                    <a:ea typeface="Times New Roman"/>
                    <a:cs typeface="Times New Roman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Sheet1!$B$1:$E$1</c:f>
              <c:strCache>
                <c:ptCount val="4"/>
                <c:pt idx="0">
                  <c:v>Не имею представления</c:v>
                </c:pt>
                <c:pt idx="1">
                  <c:v>Знаю приблизительно</c:v>
                </c:pt>
                <c:pt idx="2">
                  <c:v>Знаю хорошо</c:v>
                </c:pt>
                <c:pt idx="3">
                  <c:v>Могу работать в СДО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17</c:v>
                </c:pt>
                <c:pt idx="1">
                  <c:v>78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7-4DC7-B61B-122AFBC113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7427648"/>
        <c:axId val="1"/>
      </c:barChart>
      <c:catAx>
        <c:axId val="217427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291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2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l"/>
        <c:majorGridlines>
          <c:spPr>
            <a:ln w="2916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2916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102" b="0" i="0" u="none" strike="noStrike" baseline="0">
                <a:solidFill>
                  <a:srgbClr val="000000"/>
                </a:solidFill>
                <a:latin typeface="Times New Roman"/>
                <a:ea typeface="Times New Roman"/>
                <a:cs typeface="Times New Roman"/>
              </a:defRPr>
            </a:pPr>
            <a:endParaRPr lang="ru-RU"/>
          </a:p>
        </c:txPr>
        <c:crossAx val="217427648"/>
        <c:crosses val="autoZero"/>
        <c:crossBetween val="between"/>
      </c:valAx>
      <c:spPr>
        <a:solidFill>
          <a:srgbClr val="FFFFFF"/>
        </a:solidFill>
        <a:ln w="11661">
          <a:solidFill>
            <a:srgbClr val="FFFFFF"/>
          </a:solidFill>
          <a:prstDash val="solid"/>
        </a:ln>
      </c:spPr>
    </c:plotArea>
    <c:legend>
      <c:legendPos val="b"/>
      <c:layout>
        <c:manualLayout>
          <c:xMode val="edge"/>
          <c:yMode val="edge"/>
          <c:x val="0.12459545980432904"/>
          <c:y val="0.90592342623838684"/>
          <c:w val="0.81067960656130544"/>
          <c:h val="8.7108111486064232E-2"/>
        </c:manualLayout>
      </c:layout>
      <c:overlay val="0"/>
      <c:spPr>
        <a:noFill/>
        <a:ln w="23324">
          <a:noFill/>
        </a:ln>
      </c:spPr>
      <c:txPr>
        <a:bodyPr/>
        <a:lstStyle/>
        <a:p>
          <a:pPr>
            <a:defRPr sz="1010" b="0" i="0" u="none" strike="noStrike" baseline="0">
              <a:solidFill>
                <a:srgbClr val="000000"/>
              </a:solidFill>
              <a:latin typeface="Times New Roman"/>
              <a:ea typeface="Times New Roman"/>
              <a:cs typeface="Times New Roman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102" b="1" i="0" u="none" strike="noStrike" baseline="0">
          <a:solidFill>
            <a:srgbClr val="000000"/>
          </a:solidFill>
          <a:latin typeface="Calibri"/>
          <a:ea typeface="Calibri"/>
          <a:cs typeface="Calibri"/>
        </a:defRPr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1578</Words>
  <Characters>8997</Characters>
  <Application>Microsoft Office Word</Application>
  <DocSecurity>0</DocSecurity>
  <Lines>74</Lines>
  <Paragraphs>21</Paragraphs>
  <ScaleCrop>false</ScaleCrop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</dc:creator>
  <cp:keywords/>
  <dc:description/>
  <cp:lastModifiedBy>Franta</cp:lastModifiedBy>
  <cp:revision>3</cp:revision>
  <dcterms:created xsi:type="dcterms:W3CDTF">2020-05-25T16:06:00Z</dcterms:created>
  <dcterms:modified xsi:type="dcterms:W3CDTF">2020-05-25T16:34:00Z</dcterms:modified>
</cp:coreProperties>
</file>