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7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25" w:leader="none"/>
              </w:tabs>
              <w:spacing w:lineRule="auto" w:line="240" w:before="0" w:after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accent1" w:val="4F81BD"/>
                <w:sz w:val="24"/>
                <w:szCs w:val="24"/>
                <w:lang w:val="en-IN"/>
              </w:rPr>
              <w:t xml:space="preserve">                      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Data Partitioning and Repartitioning in Apache Spark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https://www.youtube.com/watch?v=opXIUfkh7HY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Date of Exercise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3.11.25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understand and demonstrate how data partitioning and repartitioning affect performance and data distribution in Apache Spark using RDD operations.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Initialize SparkContext.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an RDD from a list or a file.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Check the default number of partitions.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repartition() to increase or change partitions.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Use coalesce() to reduce partitions.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 the number of partitions and elements in each.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Observe how repartitioning affects data distribution.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import findspark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findspark.init()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 import SparkConf, 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Initialize 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conf = SparkConf().setAppName("PartitioningExample").setMaster("local[*]")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 = SparkContext(conf=conf)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Sample data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data = list(range(1, 21))  # Numbers from 1 to 20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Create RDD with 4 partitions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rdd = sc.parallelize(data, 4)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print("Initial number of partitions:", rdd.getNumPartitions())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Print elements in each partition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def inspect_partitions(index, iterator):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yield f"Partition {index}: {list(iterator)}"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print("\nOriginal Partition Layout:")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part in rdd.mapPartitionsWithIndex(inspect_partitions).collect():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print(part)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Repartition to 6 partitions (involves full shuffle)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rdd_repartitioned = rdd.repartition(6)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print("\nAfter repartition(6):")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print("Partitions:", rdd_repartitioned.getNumPartitions())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part in rdd_repartitioned.mapPartitionsWithIndex(inspect_partitions).collect():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print(part)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Coalesce to 2 partitions (no full shuffle)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rdd_coalesced = rdd.coalesce(2)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print("\nAfter coalesce(2):")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print("Partitions:", rdd_coalesced.getNumPartitions())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part in rdd_coalesced.mapPartitionsWithIndex(inspect_partitions).collect():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print(part)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Stop 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sc.stop()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Initial number of partitions: 4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Original Partition Layout: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0: [1, 2, 3, 4, 5]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1: [6, 7, 8, 9]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2: [10, 11, 12, 13]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3: [14, 15, 16, 17, 18, 19, 20]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After repartition(6):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Partitions: 6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0: [..]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1: [..]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... (elements redistributed across 6 partitions)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After coalesce(2):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Partitions: 2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Partition 0: [..]</w:t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Partition 1: [..]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 xml:space="preserve">The experiment successfully demonstrated the working of </w:t>
      </w:r>
      <w:r>
        <w:rPr>
          <w:rFonts w:cs="Times New Roman" w:ascii="Times New Roman" w:hAnsi="Times New Roman"/>
          <w:b/>
          <w:bCs/>
        </w:rPr>
        <w:t>repartition()</w:t>
      </w:r>
      <w:r>
        <w:rPr>
          <w:rFonts w:cs="Times New Roman" w:ascii="Times New Roman" w:hAnsi="Times New Roman"/>
        </w:rPr>
        <w:t xml:space="preserve"> and </w:t>
      </w:r>
      <w:r>
        <w:rPr>
          <w:rFonts w:cs="Times New Roman" w:ascii="Times New Roman" w:hAnsi="Times New Roman"/>
          <w:b/>
          <w:bCs/>
        </w:rPr>
        <w:t>coalesce()</w:t>
      </w:r>
      <w:r>
        <w:rPr>
          <w:rFonts w:cs="Times New Roman" w:ascii="Times New Roman" w:hAnsi="Times New Roman"/>
        </w:rPr>
        <w:t xml:space="preserve"> are used in Apache Spark to control the number of data partitions.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3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6"/>
      <w:gridCol w:w="3867"/>
    </w:tblGrid>
    <w:tr>
      <w:trPr>
        <w:trHeight w:val="396" w:hRule="atLeast"/>
      </w:trPr>
      <w:tc>
        <w:tcPr>
          <w:tcW w:w="549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7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3" w:type="dxa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6"/>
      <w:gridCol w:w="3867"/>
    </w:tblGrid>
    <w:tr>
      <w:trPr>
        <w:trHeight w:val="396" w:hRule="atLeast"/>
      </w:trPr>
      <w:tc>
        <w:tcPr>
          <w:tcW w:w="5496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7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4</Pages>
  <Words>304</Words>
  <Characters>2222</Characters>
  <CharactersWithSpaces>2505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2025-08-09T17:02:00Z</cp:lastPrinted>
  <dcterms:modified xsi:type="dcterms:W3CDTF">2025-11-07T23:43:23Z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