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C472" w14:textId="77777777" w:rsidR="00C345C7" w:rsidRDefault="00000000" w:rsidP="00967AD9">
      <w:pPr>
        <w:spacing w:before="120" w:after="120" w:line="384" w:lineRule="auto"/>
        <w:jc w:val="center"/>
      </w:pPr>
      <w:r>
        <w:rPr>
          <w:rFonts w:ascii="Verdana Bold" w:eastAsia="Verdana Bold" w:hAnsi="Verdana Bold" w:cs="Verdana Bold"/>
          <w:b/>
          <w:bCs/>
          <w:color w:val="3B75C2"/>
          <w:sz w:val="56"/>
          <w:szCs w:val="56"/>
        </w:rPr>
        <w:t xml:space="preserve">Mission Statement zur Bachelorarbeit </w:t>
      </w:r>
    </w:p>
    <w:p w14:paraId="336A519D" w14:textId="41014CB6" w:rsidR="00C345C7" w:rsidRDefault="00000000" w:rsidP="00967AD9">
      <w:pPr>
        <w:spacing w:before="120" w:after="120" w:line="384" w:lineRule="auto"/>
        <w:jc w:val="center"/>
        <w:rPr>
          <w:sz w:val="22"/>
          <w:szCs w:val="22"/>
        </w:rPr>
      </w:pPr>
      <w:r w:rsidRPr="00967AD9">
        <w:rPr>
          <w:rFonts w:ascii="Verdana" w:eastAsia="Verdana" w:hAnsi="Verdana" w:cs="Verdana"/>
          <w:color w:val="000000"/>
          <w:sz w:val="22"/>
          <w:szCs w:val="22"/>
        </w:rPr>
        <w:t xml:space="preserve">“Deep Space Debugger - Prototypische Entwicklung eines 2D Serious Games zur spielerischen Vermittlung des objektorientierten Paradigmas” </w:t>
      </w:r>
    </w:p>
    <w:p w14:paraId="220F05B4" w14:textId="77777777" w:rsidR="00967AD9" w:rsidRPr="00967AD9" w:rsidRDefault="00967AD9" w:rsidP="00967AD9">
      <w:pPr>
        <w:spacing w:before="120" w:after="120" w:line="384" w:lineRule="auto"/>
        <w:jc w:val="center"/>
        <w:rPr>
          <w:sz w:val="22"/>
          <w:szCs w:val="22"/>
        </w:rPr>
      </w:pPr>
    </w:p>
    <w:tbl>
      <w:tblPr>
        <w:tblW w:w="11057" w:type="dxa"/>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11057"/>
      </w:tblGrid>
      <w:tr w:rsidR="00C345C7" w14:paraId="26B59587" w14:textId="77777777" w:rsidTr="00967AD9">
        <w:tblPrEx>
          <w:tblCellMar>
            <w:top w:w="0" w:type="dxa"/>
            <w:bottom w:w="0" w:type="dxa"/>
          </w:tblCellMar>
        </w:tblPrEx>
        <w:tc>
          <w:tcPr>
            <w:tcW w:w="11057" w:type="dxa"/>
            <w:shd w:val="clear" w:color="auto" w:fill="E0EEFF"/>
            <w:tcMar>
              <w:top w:w="0" w:type="dxa"/>
              <w:left w:w="0" w:type="dxa"/>
              <w:bottom w:w="0" w:type="dxa"/>
              <w:right w:w="0" w:type="dxa"/>
            </w:tcMar>
          </w:tcPr>
          <w:p w14:paraId="10C9BF1E"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t xml:space="preserve">1. Einleitung und Problemstellung </w:t>
            </w:r>
          </w:p>
        </w:tc>
      </w:tr>
    </w:tbl>
    <w:p w14:paraId="1F36154A"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Das objektorientierte Paradigma (OOP) stellt einen zentralen Bestandteil der Softwareentwicklung dar und ist ein fester Bestandteil der Informatikstudiengänge an der Hochschule für Technik, Wirtschaft und Kultur Leipzig. Dennoch haben Studierende häufig Schwierigkeiten, abstrakte Konzepte wie Klassen, Vererbung und Polymorphie nachhaltig zu verstehen und praktisch anzuwenden. </w:t>
      </w:r>
    </w:p>
    <w:p w14:paraId="78DB8907"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Traditionelle Lehrmethoden, insbesondere der Frontalunterricht, fokussieren häufig die theoretische Vermittlung und textbasierte Programmierung, wodurch der Bezug zur praktischen Anwendung für Lernende deutlich erschwert wird. </w:t>
      </w:r>
    </w:p>
    <w:p w14:paraId="1924C6E2" w14:textId="77777777" w:rsidR="00C345C7" w:rsidRDefault="00000000" w:rsidP="00967AD9">
      <w:pPr>
        <w:spacing w:before="120" w:after="120" w:line="384" w:lineRule="auto"/>
      </w:pPr>
      <w:r>
        <w:rPr>
          <w:rFonts w:ascii="Verdana" w:eastAsia="Verdana" w:hAnsi="Verdana" w:cs="Verdana"/>
          <w:color w:val="000000"/>
          <w:sz w:val="22"/>
          <w:szCs w:val="22"/>
        </w:rPr>
        <w:t xml:space="preserve"> </w:t>
      </w:r>
    </w:p>
    <w:tbl>
      <w:tblPr>
        <w:tblW w:w="11057" w:type="dxa"/>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11057"/>
      </w:tblGrid>
      <w:tr w:rsidR="00C345C7" w14:paraId="053644B2" w14:textId="77777777" w:rsidTr="00967AD9">
        <w:tblPrEx>
          <w:tblCellMar>
            <w:top w:w="0" w:type="dxa"/>
            <w:bottom w:w="0" w:type="dxa"/>
          </w:tblCellMar>
        </w:tblPrEx>
        <w:trPr>
          <w:trHeight w:val="808"/>
        </w:trPr>
        <w:tc>
          <w:tcPr>
            <w:tcW w:w="11057" w:type="dxa"/>
            <w:shd w:val="clear" w:color="auto" w:fill="E0EEFF"/>
            <w:tcMar>
              <w:top w:w="0" w:type="dxa"/>
              <w:left w:w="0" w:type="dxa"/>
              <w:bottom w:w="0" w:type="dxa"/>
              <w:right w:w="0" w:type="dxa"/>
            </w:tcMar>
          </w:tcPr>
          <w:p w14:paraId="32EE90D0"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t xml:space="preserve">2. Zielsetzung </w:t>
            </w:r>
          </w:p>
        </w:tc>
      </w:tr>
    </w:tbl>
    <w:p w14:paraId="0DF61EEF"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Ziel dieser Bachelorarbeit ist die Konzeption und Entwicklung eines 2D Serious Games, das grundlegende Konzepte des objektorientierten Paradigmas spielerisch vermittelt. </w:t>
      </w:r>
    </w:p>
    <w:p w14:paraId="360D6821" w14:textId="77777777" w:rsidR="00C345C7" w:rsidRPr="00967AD9" w:rsidRDefault="00000000" w:rsidP="00967AD9">
      <w:pPr>
        <w:spacing w:before="120" w:after="120" w:line="384" w:lineRule="auto"/>
        <w:jc w:val="both"/>
        <w:rPr>
          <w:sz w:val="22"/>
          <w:szCs w:val="22"/>
        </w:rPr>
      </w:pPr>
      <w:r w:rsidRPr="00967AD9">
        <w:rPr>
          <w:rFonts w:ascii="Verdana" w:eastAsia="Verdana" w:hAnsi="Verdana" w:cs="Verdana"/>
          <w:color w:val="000000"/>
          <w:sz w:val="22"/>
          <w:szCs w:val="22"/>
        </w:rPr>
        <w:t xml:space="preserve">Das Serious Game „Deep Space Debugger“ soll es ermöglichen, OOP-Prinzipien durch interaktive Problemlösung in einer spielerischen Umgebung erfahrbar zu machen, ohne dass klassische Programmierkenntnisse erforderlich sind. </w:t>
      </w:r>
    </w:p>
    <w:p w14:paraId="3B608165" w14:textId="77777777" w:rsidR="00C345C7" w:rsidRDefault="00000000" w:rsidP="00967AD9">
      <w:pPr>
        <w:spacing w:before="120" w:after="120" w:line="384" w:lineRule="auto"/>
      </w:pPr>
      <w:r>
        <w:rPr>
          <w:rFonts w:ascii="Verdana" w:eastAsia="Verdana" w:hAnsi="Verdana" w:cs="Verdana"/>
          <w:color w:val="000000"/>
          <w:sz w:val="22"/>
          <w:szCs w:val="22"/>
        </w:rPr>
        <w:t xml:space="preserve"> </w:t>
      </w:r>
    </w:p>
    <w:tbl>
      <w:tblPr>
        <w:tblW w:w="11057" w:type="dxa"/>
        <w:tblInd w:w="-27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11057"/>
      </w:tblGrid>
      <w:tr w:rsidR="00C345C7" w14:paraId="394E6139" w14:textId="77777777" w:rsidTr="00967AD9">
        <w:tblPrEx>
          <w:tblCellMar>
            <w:top w:w="0" w:type="dxa"/>
            <w:bottom w:w="0" w:type="dxa"/>
          </w:tblCellMar>
        </w:tblPrEx>
        <w:tc>
          <w:tcPr>
            <w:tcW w:w="11057" w:type="dxa"/>
            <w:shd w:val="clear" w:color="auto" w:fill="E0EEFF"/>
            <w:tcMar>
              <w:top w:w="0" w:type="dxa"/>
              <w:left w:w="0" w:type="dxa"/>
              <w:bottom w:w="0" w:type="dxa"/>
              <w:right w:w="0" w:type="dxa"/>
            </w:tcMar>
          </w:tcPr>
          <w:p w14:paraId="0050DD81"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t xml:space="preserve">3. Forschungsfrage </w:t>
            </w:r>
          </w:p>
        </w:tc>
      </w:tr>
    </w:tbl>
    <w:p w14:paraId="00501C76" w14:textId="0626B29E" w:rsidR="00C345C7" w:rsidRDefault="00000000" w:rsidP="00967AD9">
      <w:pPr>
        <w:spacing w:before="120" w:after="120" w:line="384" w:lineRule="auto"/>
        <w:jc w:val="both"/>
      </w:pPr>
      <w:r>
        <w:rPr>
          <w:rFonts w:ascii="Verdana" w:eastAsia="Verdana" w:hAnsi="Verdana" w:cs="Verdana"/>
          <w:color w:val="000000"/>
        </w:rPr>
        <w:t xml:space="preserve">Inwiefern können grundlegende Konzepte des objektorientierten Paradigmas durch ein 2D Serious Game effektiv vermittelt und verständlich gemacht werden? </w:t>
      </w:r>
    </w:p>
    <w:tbl>
      <w:tblPr>
        <w:tblW w:w="10915" w:type="dxa"/>
        <w:tblInd w:w="-13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10" w:type="dxa"/>
          <w:right w:w="10" w:type="dxa"/>
        </w:tblCellMar>
        <w:tblLook w:val="04A0" w:firstRow="1" w:lastRow="0" w:firstColumn="1" w:lastColumn="0" w:noHBand="0" w:noVBand="1"/>
      </w:tblPr>
      <w:tblGrid>
        <w:gridCol w:w="2236"/>
        <w:gridCol w:w="8679"/>
      </w:tblGrid>
      <w:tr w:rsidR="00C345C7" w14:paraId="3CA6B5A5" w14:textId="77777777" w:rsidTr="00967AD9">
        <w:tblPrEx>
          <w:tblCellMar>
            <w:top w:w="0" w:type="dxa"/>
            <w:bottom w:w="0" w:type="dxa"/>
          </w:tblCellMar>
        </w:tblPrEx>
        <w:tc>
          <w:tcPr>
            <w:tcW w:w="10915" w:type="dxa"/>
            <w:gridSpan w:val="2"/>
            <w:shd w:val="clear" w:color="auto" w:fill="E0EEFF"/>
            <w:tcMar>
              <w:top w:w="0" w:type="dxa"/>
              <w:left w:w="0" w:type="dxa"/>
              <w:bottom w:w="0" w:type="dxa"/>
              <w:right w:w="0" w:type="dxa"/>
            </w:tcMar>
          </w:tcPr>
          <w:p w14:paraId="1C607CF6" w14:textId="77777777" w:rsidR="00C345C7" w:rsidRDefault="00000000" w:rsidP="00967AD9">
            <w:pPr>
              <w:spacing w:before="120" w:after="0" w:line="384" w:lineRule="auto"/>
              <w:jc w:val="center"/>
            </w:pPr>
            <w:r>
              <w:rPr>
                <w:rFonts w:ascii="Verdana Bold" w:eastAsia="Verdana Bold" w:hAnsi="Verdana Bold" w:cs="Verdana Bold"/>
                <w:b/>
                <w:bCs/>
                <w:color w:val="3B75C2"/>
                <w:spacing w:val="30"/>
                <w:sz w:val="40"/>
                <w:szCs w:val="40"/>
              </w:rPr>
              <w:lastRenderedPageBreak/>
              <w:t xml:space="preserve">4. Konzeption des Serious Games </w:t>
            </w:r>
          </w:p>
        </w:tc>
      </w:tr>
      <w:tr w:rsidR="00C345C7" w14:paraId="0E7A29F2"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CellMar>
            <w:top w:w="0" w:type="dxa"/>
            <w:bottom w:w="0" w:type="dxa"/>
          </w:tblCellMar>
        </w:tblPrEx>
        <w:tc>
          <w:tcPr>
            <w:tcW w:w="2236" w:type="dxa"/>
            <w:tcBorders>
              <w:left w:val="single" w:sz="6" w:space="0" w:color="FFFFFF"/>
            </w:tcBorders>
            <w:shd w:val="clear" w:color="auto" w:fill="E0EEFF"/>
            <w:tcMar>
              <w:top w:w="150" w:type="dxa"/>
              <w:left w:w="150" w:type="dxa"/>
              <w:bottom w:w="150" w:type="dxa"/>
              <w:right w:w="150" w:type="dxa"/>
            </w:tcMar>
          </w:tcPr>
          <w:p w14:paraId="62935FB8" w14:textId="77777777" w:rsidR="00C345C7" w:rsidRDefault="00000000" w:rsidP="00967AD9">
            <w:pPr>
              <w:spacing w:before="120" w:after="120" w:line="384" w:lineRule="auto"/>
              <w:jc w:val="center"/>
            </w:pPr>
            <w:r>
              <w:rPr>
                <w:rFonts w:ascii="Verdana Bold" w:eastAsia="Verdana Bold" w:hAnsi="Verdana Bold" w:cs="Verdana Bold"/>
                <w:b/>
                <w:bCs/>
                <w:color w:val="000000"/>
                <w:sz w:val="26"/>
                <w:szCs w:val="26"/>
              </w:rPr>
              <w:t xml:space="preserve">Grundidee </w:t>
            </w:r>
          </w:p>
        </w:tc>
        <w:tc>
          <w:tcPr>
            <w:tcW w:w="8679" w:type="dxa"/>
            <w:tcBorders>
              <w:right w:val="single" w:sz="6" w:space="0" w:color="FFFFFF"/>
            </w:tcBorders>
            <w:tcMar>
              <w:top w:w="150" w:type="dxa"/>
              <w:left w:w="150" w:type="dxa"/>
              <w:bottom w:w="150" w:type="dxa"/>
              <w:right w:w="150" w:type="dxa"/>
            </w:tcMar>
          </w:tcPr>
          <w:p w14:paraId="4ACBFB72" w14:textId="77777777" w:rsidR="00C345C7" w:rsidRDefault="00000000" w:rsidP="00967AD9">
            <w:pPr>
              <w:spacing w:before="120" w:after="120" w:line="384" w:lineRule="auto"/>
              <w:jc w:val="both"/>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übernimmt die Rolle eines Systemtechnikers in einer beschädigten Raumstation. Die Station besteht aus modularen Systemen (z.B. Türen, Terminals, Lebenserhaltungssysteme), deren Logik fehlerhaft ist. </w:t>
            </w:r>
          </w:p>
        </w:tc>
      </w:tr>
      <w:tr w:rsidR="00C345C7" w14:paraId="1066E27B"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CellMar>
            <w:top w:w="0" w:type="dxa"/>
            <w:bottom w:w="0" w:type="dxa"/>
          </w:tblCellMar>
        </w:tblPrEx>
        <w:tc>
          <w:tcPr>
            <w:tcW w:w="2236" w:type="dxa"/>
            <w:tcBorders>
              <w:left w:val="single" w:sz="6" w:space="0" w:color="FFFFFF"/>
            </w:tcBorders>
            <w:shd w:val="clear" w:color="auto" w:fill="E0EEFF"/>
            <w:tcMar>
              <w:top w:w="150" w:type="dxa"/>
              <w:left w:w="150" w:type="dxa"/>
              <w:bottom w:w="150" w:type="dxa"/>
              <w:right w:w="150" w:type="dxa"/>
            </w:tcMar>
          </w:tcPr>
          <w:p w14:paraId="7FA7E11B" w14:textId="7DE40FD5" w:rsidR="00C345C7" w:rsidRDefault="00000000" w:rsidP="00967AD9">
            <w:pPr>
              <w:spacing w:before="120" w:after="120" w:line="384" w:lineRule="auto"/>
              <w:jc w:val="center"/>
            </w:pPr>
            <w:r>
              <w:rPr>
                <w:rFonts w:ascii="Verdana Bold" w:eastAsia="Verdana Bold" w:hAnsi="Verdana Bold" w:cs="Verdana Bold"/>
                <w:b/>
                <w:bCs/>
                <w:color w:val="000000"/>
                <w:sz w:val="26"/>
                <w:szCs w:val="26"/>
              </w:rPr>
              <w:t>Genre</w:t>
            </w:r>
          </w:p>
        </w:tc>
        <w:tc>
          <w:tcPr>
            <w:tcW w:w="8679" w:type="dxa"/>
            <w:tcBorders>
              <w:right w:val="single" w:sz="6" w:space="0" w:color="FFFFFF"/>
            </w:tcBorders>
            <w:tcMar>
              <w:top w:w="150" w:type="dxa"/>
              <w:left w:w="150" w:type="dxa"/>
              <w:bottom w:w="150" w:type="dxa"/>
              <w:right w:w="150" w:type="dxa"/>
            </w:tcMar>
          </w:tcPr>
          <w:p w14:paraId="6673D1DA" w14:textId="77777777" w:rsidR="00C345C7" w:rsidRDefault="00000000" w:rsidP="00967AD9">
            <w:pPr>
              <w:numPr>
                <w:ilvl w:val="1"/>
                <w:numId w:val="1"/>
              </w:numPr>
              <w:spacing w:after="0" w:line="384" w:lineRule="auto"/>
              <w:jc w:val="both"/>
            </w:pPr>
            <w:r>
              <w:rPr>
                <w:rFonts w:ascii="Verdana" w:eastAsia="Verdana" w:hAnsi="Verdana" w:cs="Verdana"/>
                <w:color w:val="000000"/>
                <w:sz w:val="21"/>
                <w:szCs w:val="21"/>
              </w:rPr>
              <w:t xml:space="preserve">Serious Game (didaktische Fokussierung) </w:t>
            </w:r>
          </w:p>
          <w:p w14:paraId="04467A95" w14:textId="77777777" w:rsidR="00C345C7" w:rsidRDefault="00000000" w:rsidP="00967AD9">
            <w:pPr>
              <w:numPr>
                <w:ilvl w:val="1"/>
                <w:numId w:val="1"/>
              </w:numPr>
              <w:spacing w:after="0" w:line="384" w:lineRule="auto"/>
              <w:jc w:val="both"/>
            </w:pPr>
            <w:r>
              <w:rPr>
                <w:rFonts w:ascii="Verdana" w:eastAsia="Verdana" w:hAnsi="Verdana" w:cs="Verdana"/>
                <w:color w:val="000000"/>
                <w:sz w:val="21"/>
                <w:szCs w:val="21"/>
              </w:rPr>
              <w:t xml:space="preserve">2D-Puzzle-Game </w:t>
            </w:r>
          </w:p>
          <w:p w14:paraId="1ED94633" w14:textId="77777777" w:rsidR="00C345C7" w:rsidRDefault="00000000" w:rsidP="00967AD9">
            <w:pPr>
              <w:numPr>
                <w:ilvl w:val="1"/>
                <w:numId w:val="1"/>
              </w:numPr>
              <w:spacing w:after="0" w:line="384" w:lineRule="auto"/>
              <w:jc w:val="both"/>
            </w:pPr>
            <w:r>
              <w:rPr>
                <w:rFonts w:ascii="Verdana" w:eastAsia="Verdana" w:hAnsi="Verdana" w:cs="Verdana"/>
                <w:color w:val="000000"/>
                <w:sz w:val="21"/>
                <w:szCs w:val="21"/>
              </w:rPr>
              <w:t xml:space="preserve">Systemsimulation </w:t>
            </w:r>
          </w:p>
        </w:tc>
      </w:tr>
      <w:tr w:rsidR="00C345C7" w14:paraId="7E3D6943"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CellMar>
            <w:top w:w="0" w:type="dxa"/>
            <w:bottom w:w="0" w:type="dxa"/>
          </w:tblCellMar>
        </w:tblPrEx>
        <w:tc>
          <w:tcPr>
            <w:tcW w:w="2236" w:type="dxa"/>
            <w:tcBorders>
              <w:left w:val="single" w:sz="6" w:space="0" w:color="FFFFFF"/>
            </w:tcBorders>
            <w:shd w:val="clear" w:color="auto" w:fill="E0EEFF"/>
            <w:tcMar>
              <w:top w:w="150" w:type="dxa"/>
              <w:left w:w="150" w:type="dxa"/>
              <w:bottom w:w="150" w:type="dxa"/>
              <w:right w:w="150" w:type="dxa"/>
            </w:tcMar>
          </w:tcPr>
          <w:p w14:paraId="560B34E4" w14:textId="77777777" w:rsidR="00C345C7" w:rsidRDefault="00000000" w:rsidP="00967AD9">
            <w:pPr>
              <w:spacing w:before="120" w:after="120" w:line="384" w:lineRule="auto"/>
              <w:jc w:val="center"/>
            </w:pPr>
            <w:r>
              <w:rPr>
                <w:rFonts w:ascii="Verdana Bold" w:eastAsia="Verdana Bold" w:hAnsi="Verdana Bold" w:cs="Verdana Bold"/>
                <w:b/>
                <w:bCs/>
                <w:color w:val="000000"/>
                <w:sz w:val="28"/>
                <w:szCs w:val="28"/>
              </w:rPr>
              <w:t xml:space="preserve">Lerninhalte </w:t>
            </w:r>
          </w:p>
        </w:tc>
        <w:tc>
          <w:tcPr>
            <w:tcW w:w="8679" w:type="dxa"/>
            <w:tcBorders>
              <w:right w:val="single" w:sz="6" w:space="0" w:color="FFFFFF"/>
            </w:tcBorders>
            <w:tcMar>
              <w:top w:w="150" w:type="dxa"/>
              <w:left w:w="150" w:type="dxa"/>
              <w:bottom w:w="150" w:type="dxa"/>
              <w:right w:w="150" w:type="dxa"/>
            </w:tcMar>
          </w:tcPr>
          <w:p w14:paraId="06F8EF1D" w14:textId="77777777" w:rsidR="00C345C7" w:rsidRDefault="00000000" w:rsidP="00967AD9">
            <w:pPr>
              <w:spacing w:before="120" w:after="120" w:line="384" w:lineRule="auto"/>
            </w:pPr>
            <w:r>
              <w:rPr>
                <w:rFonts w:ascii="Verdana" w:eastAsia="Verdana" w:hAnsi="Verdana" w:cs="Verdana"/>
                <w:color w:val="000000"/>
                <w:sz w:val="21"/>
                <w:szCs w:val="21"/>
              </w:rPr>
              <w:t xml:space="preserve">Das Serious Game vermittelt folgende OOP-Konzepte: </w:t>
            </w:r>
          </w:p>
          <w:p w14:paraId="16F9EEAC" w14:textId="77777777" w:rsidR="00C345C7" w:rsidRDefault="00000000" w:rsidP="00967AD9">
            <w:pPr>
              <w:numPr>
                <w:ilvl w:val="1"/>
                <w:numId w:val="2"/>
              </w:numPr>
              <w:spacing w:after="0" w:line="384" w:lineRule="auto"/>
            </w:pPr>
            <w:r>
              <w:rPr>
                <w:rFonts w:ascii="Verdana" w:eastAsia="Verdana" w:hAnsi="Verdana" w:cs="Verdana"/>
                <w:color w:val="000000"/>
                <w:sz w:val="21"/>
                <w:szCs w:val="21"/>
              </w:rPr>
              <w:t xml:space="preserve">Klassen und Objekte </w:t>
            </w:r>
          </w:p>
          <w:p w14:paraId="0D460CBC" w14:textId="77777777" w:rsidR="00C345C7" w:rsidRDefault="00000000" w:rsidP="00967AD9">
            <w:pPr>
              <w:numPr>
                <w:ilvl w:val="1"/>
                <w:numId w:val="2"/>
              </w:numPr>
              <w:spacing w:after="0" w:line="384" w:lineRule="auto"/>
            </w:pPr>
            <w:r>
              <w:rPr>
                <w:rFonts w:ascii="Verdana" w:eastAsia="Verdana" w:hAnsi="Verdana" w:cs="Verdana"/>
                <w:color w:val="000000"/>
                <w:sz w:val="21"/>
                <w:szCs w:val="21"/>
              </w:rPr>
              <w:t xml:space="preserve">Vererbung </w:t>
            </w:r>
          </w:p>
          <w:p w14:paraId="53635061" w14:textId="77777777" w:rsidR="00C345C7" w:rsidRDefault="00000000" w:rsidP="00967AD9">
            <w:pPr>
              <w:numPr>
                <w:ilvl w:val="1"/>
                <w:numId w:val="2"/>
              </w:numPr>
              <w:spacing w:after="0" w:line="384" w:lineRule="auto"/>
            </w:pPr>
            <w:r>
              <w:rPr>
                <w:rFonts w:ascii="Verdana" w:eastAsia="Verdana" w:hAnsi="Verdana" w:cs="Verdana"/>
                <w:color w:val="000000"/>
                <w:sz w:val="21"/>
                <w:szCs w:val="21"/>
              </w:rPr>
              <w:t xml:space="preserve">Polymorphie </w:t>
            </w:r>
          </w:p>
          <w:p w14:paraId="240F690A" w14:textId="77777777" w:rsidR="00C345C7" w:rsidRDefault="00000000" w:rsidP="00967AD9">
            <w:pPr>
              <w:numPr>
                <w:ilvl w:val="1"/>
                <w:numId w:val="2"/>
              </w:numPr>
              <w:spacing w:after="0" w:line="384" w:lineRule="auto"/>
            </w:pPr>
            <w:r>
              <w:rPr>
                <w:rFonts w:ascii="Verdana" w:eastAsia="Verdana" w:hAnsi="Verdana" w:cs="Verdana"/>
                <w:color w:val="000000"/>
                <w:sz w:val="21"/>
                <w:szCs w:val="21"/>
              </w:rPr>
              <w:t xml:space="preserve">Objektbeziehungen und Komposition </w:t>
            </w:r>
          </w:p>
        </w:tc>
      </w:tr>
      <w:tr w:rsidR="00C345C7" w14:paraId="2DF8EEA2"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CellMar>
            <w:top w:w="0" w:type="dxa"/>
            <w:bottom w:w="0" w:type="dxa"/>
          </w:tblCellMar>
        </w:tblPrEx>
        <w:tc>
          <w:tcPr>
            <w:tcW w:w="2236" w:type="dxa"/>
            <w:tcBorders>
              <w:left w:val="single" w:sz="6" w:space="0" w:color="FFFFFF"/>
            </w:tcBorders>
            <w:shd w:val="clear" w:color="auto" w:fill="E0EEFF"/>
            <w:tcMar>
              <w:top w:w="150" w:type="dxa"/>
              <w:left w:w="150" w:type="dxa"/>
              <w:bottom w:w="150" w:type="dxa"/>
              <w:right w:w="150" w:type="dxa"/>
            </w:tcMar>
          </w:tcPr>
          <w:p w14:paraId="14FC3E3B" w14:textId="31405AB0" w:rsidR="00C345C7" w:rsidRDefault="00000000" w:rsidP="00967AD9">
            <w:pPr>
              <w:spacing w:before="120" w:after="120" w:line="384" w:lineRule="auto"/>
              <w:jc w:val="center"/>
            </w:pPr>
            <w:r>
              <w:rPr>
                <w:rFonts w:ascii="Verdana Bold" w:eastAsia="Verdana Bold" w:hAnsi="Verdana Bold" w:cs="Verdana Bold"/>
                <w:b/>
                <w:bCs/>
                <w:color w:val="000000"/>
                <w:sz w:val="26"/>
                <w:szCs w:val="26"/>
              </w:rPr>
              <w:t>Mechaniken</w:t>
            </w:r>
          </w:p>
        </w:tc>
        <w:tc>
          <w:tcPr>
            <w:tcW w:w="8679" w:type="dxa"/>
            <w:tcBorders>
              <w:right w:val="single" w:sz="6" w:space="0" w:color="FFFFFF"/>
            </w:tcBorders>
            <w:tcMar>
              <w:top w:w="150" w:type="dxa"/>
              <w:left w:w="150" w:type="dxa"/>
              <w:bottom w:w="150" w:type="dxa"/>
              <w:right w:w="150" w:type="dxa"/>
            </w:tcMar>
          </w:tcPr>
          <w:p w14:paraId="2BEC1FE6"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1. Probleme erkennen: </w:t>
            </w:r>
          </w:p>
          <w:p w14:paraId="1C907274" w14:textId="3EE655BC" w:rsidR="00C345C7" w:rsidRDefault="00000000" w:rsidP="00967AD9">
            <w:pPr>
              <w:spacing w:before="120" w:after="120" w:line="384" w:lineRule="auto"/>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betritt Räume der Raumstation und erkennt fehlerhaftes Verhalten der Systeme. </w:t>
            </w:r>
            <w:r w:rsidR="00967AD9" w:rsidRPr="00967AD9">
              <w:rPr>
                <w:rFonts w:ascii="Verdana" w:eastAsia="Verdana" w:hAnsi="Verdana" w:cs="Verdana"/>
                <w:color w:val="000000"/>
                <w:sz w:val="21"/>
                <w:szCs w:val="21"/>
              </w:rPr>
              <w:t>(z. B. Türen, Strom oder KI funktionieren nicht korrekt).</w:t>
            </w:r>
          </w:p>
          <w:p w14:paraId="6C8392F2"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2. Systeme verbinden oder trennen: </w:t>
            </w:r>
          </w:p>
          <w:p w14:paraId="0EA940B5" w14:textId="77777777" w:rsidR="00C345C7" w:rsidRDefault="00000000" w:rsidP="00967AD9">
            <w:pPr>
              <w:spacing w:before="120" w:after="120" w:line="384" w:lineRule="auto"/>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stellt Beziehungen zwischen Systemen her oder löst falsche Verbindungen, z. B. zwischen Energieversorgung und Türen. </w:t>
            </w:r>
          </w:p>
          <w:p w14:paraId="0E241DB9"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3. System-Typ ändern: </w:t>
            </w:r>
          </w:p>
          <w:p w14:paraId="1A94FE01" w14:textId="638BF344" w:rsidR="00C345C7" w:rsidRDefault="00000000" w:rsidP="00967AD9">
            <w:pPr>
              <w:spacing w:before="120" w:after="120" w:line="384" w:lineRule="auto"/>
            </w:pPr>
            <w:r>
              <w:rPr>
                <w:rFonts w:ascii="Verdana" w:eastAsia="Verdana" w:hAnsi="Verdana" w:cs="Verdana"/>
                <w:color w:val="000000"/>
                <w:sz w:val="21"/>
                <w:szCs w:val="21"/>
              </w:rPr>
              <w:t xml:space="preserve">Objekte können in verschiedene Varianten umgewandelt werden (z. B. normale Tür, Sicherheitstür, Notfalltür), wodurch sich ihr Verhalten ändert. </w:t>
            </w:r>
          </w:p>
          <w:p w14:paraId="60E11DE4"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4. Aktionen auslösen: </w:t>
            </w:r>
          </w:p>
          <w:p w14:paraId="37449024" w14:textId="77777777" w:rsidR="00C345C7" w:rsidRDefault="00000000" w:rsidP="00967AD9">
            <w:pPr>
              <w:spacing w:before="120" w:after="120" w:line="384" w:lineRule="auto"/>
            </w:pPr>
            <w:proofErr w:type="spellStart"/>
            <w:r>
              <w:rPr>
                <w:rFonts w:ascii="Verdana" w:eastAsia="Verdana" w:hAnsi="Verdana" w:cs="Verdana"/>
                <w:color w:val="000000"/>
                <w:sz w:val="21"/>
                <w:szCs w:val="21"/>
              </w:rPr>
              <w:t>Spieler:in</w:t>
            </w:r>
            <w:proofErr w:type="spellEnd"/>
            <w:r>
              <w:rPr>
                <w:rFonts w:ascii="Verdana" w:eastAsia="Verdana" w:hAnsi="Verdana" w:cs="Verdana"/>
                <w:color w:val="000000"/>
                <w:sz w:val="21"/>
                <w:szCs w:val="21"/>
              </w:rPr>
              <w:t xml:space="preserve"> aktiviert Systeme. Je nach Objekttyp führt dieselbe Aktion zu unterschiedlichen Ergebnissen (z. B. Tür öffnet sich, Alarm wird ausgelöst, KI reagiert). </w:t>
            </w:r>
          </w:p>
          <w:p w14:paraId="5C5A8686"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5. </w:t>
            </w:r>
            <w:proofErr w:type="spellStart"/>
            <w:r>
              <w:rPr>
                <w:rFonts w:ascii="Verdana Bold" w:eastAsia="Verdana Bold" w:hAnsi="Verdana Bold" w:cs="Verdana Bold"/>
                <w:b/>
                <w:bCs/>
                <w:color w:val="000000"/>
                <w:sz w:val="21"/>
                <w:szCs w:val="21"/>
              </w:rPr>
              <w:t>Debug</w:t>
            </w:r>
            <w:proofErr w:type="spellEnd"/>
            <w:r>
              <w:rPr>
                <w:rFonts w:ascii="Verdana Bold" w:eastAsia="Verdana Bold" w:hAnsi="Verdana Bold" w:cs="Verdana Bold"/>
                <w:b/>
                <w:bCs/>
                <w:color w:val="000000"/>
                <w:sz w:val="21"/>
                <w:szCs w:val="21"/>
              </w:rPr>
              <w:t xml:space="preserve">-Menü (Interface): </w:t>
            </w:r>
          </w:p>
          <w:p w14:paraId="17E7AD88" w14:textId="77777777" w:rsidR="00C345C7" w:rsidRDefault="00000000" w:rsidP="00967AD9">
            <w:pPr>
              <w:spacing w:before="120" w:after="120" w:line="384" w:lineRule="auto"/>
            </w:pPr>
            <w:r>
              <w:rPr>
                <w:rFonts w:ascii="Verdana" w:eastAsia="Verdana" w:hAnsi="Verdana" w:cs="Verdana"/>
                <w:color w:val="000000"/>
                <w:sz w:val="21"/>
                <w:szCs w:val="21"/>
              </w:rPr>
              <w:t xml:space="preserve">Ein vereinfachtes Interface ermöglicht das Anpassen von Systemzuständen und das Reparieren von Logikfehlern ohne klassischen Code. </w:t>
            </w:r>
          </w:p>
        </w:tc>
      </w:tr>
      <w:tr w:rsidR="00C345C7" w14:paraId="4E5D6371" w14:textId="77777777" w:rsidTr="00967AD9">
        <w:tblPrEx>
          <w:tblBorders>
            <w:top w:val="single" w:sz="6" w:space="0" w:color="3B75C2"/>
            <w:left w:val="single" w:sz="6" w:space="0" w:color="3B75C2"/>
            <w:bottom w:val="single" w:sz="6" w:space="0" w:color="3B75C2"/>
            <w:right w:val="single" w:sz="6" w:space="0" w:color="3B75C2"/>
            <w:insideH w:val="single" w:sz="6" w:space="0" w:color="3B75C2"/>
            <w:insideV w:val="single" w:sz="6" w:space="0" w:color="3B75C2"/>
          </w:tblBorders>
          <w:tblCellMar>
            <w:top w:w="0" w:type="dxa"/>
            <w:bottom w:w="0" w:type="dxa"/>
          </w:tblCellMar>
        </w:tblPrEx>
        <w:tc>
          <w:tcPr>
            <w:tcW w:w="2236" w:type="dxa"/>
            <w:tcBorders>
              <w:left w:val="single" w:sz="6" w:space="0" w:color="FFFFFF"/>
            </w:tcBorders>
            <w:shd w:val="clear" w:color="auto" w:fill="E0EEFF"/>
            <w:tcMar>
              <w:top w:w="150" w:type="dxa"/>
              <w:left w:w="150" w:type="dxa"/>
              <w:bottom w:w="150" w:type="dxa"/>
              <w:right w:w="150" w:type="dxa"/>
            </w:tcMar>
          </w:tcPr>
          <w:p w14:paraId="41E7877B" w14:textId="7FAC562E" w:rsidR="00C345C7" w:rsidRDefault="00000000" w:rsidP="00967AD9">
            <w:pPr>
              <w:spacing w:before="120" w:after="120" w:line="384" w:lineRule="auto"/>
              <w:jc w:val="center"/>
            </w:pPr>
            <w:r>
              <w:rPr>
                <w:rFonts w:ascii="Verdana Bold" w:eastAsia="Verdana Bold" w:hAnsi="Verdana Bold" w:cs="Verdana Bold"/>
                <w:b/>
                <w:bCs/>
                <w:color w:val="000000"/>
                <w:sz w:val="26"/>
                <w:szCs w:val="26"/>
              </w:rPr>
              <w:lastRenderedPageBreak/>
              <w:t>Technische Umsetzung</w:t>
            </w:r>
          </w:p>
        </w:tc>
        <w:tc>
          <w:tcPr>
            <w:tcW w:w="8679" w:type="dxa"/>
            <w:tcBorders>
              <w:right w:val="single" w:sz="6" w:space="0" w:color="FFFFFF"/>
            </w:tcBorders>
            <w:tcMar>
              <w:top w:w="150" w:type="dxa"/>
              <w:left w:w="150" w:type="dxa"/>
              <w:bottom w:w="150" w:type="dxa"/>
              <w:right w:w="150" w:type="dxa"/>
            </w:tcMar>
          </w:tcPr>
          <w:p w14:paraId="6A455039" w14:textId="329ED55B"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Konzeptuelles Modell: </w:t>
            </w:r>
          </w:p>
          <w:p w14:paraId="0023930C" w14:textId="77777777" w:rsidR="00C345C7" w:rsidRDefault="00000000" w:rsidP="00967AD9">
            <w:pPr>
              <w:spacing w:before="120" w:after="120" w:line="384" w:lineRule="auto"/>
            </w:pPr>
            <w:r>
              <w:rPr>
                <w:rFonts w:ascii="Verdana" w:eastAsia="Verdana" w:hAnsi="Verdana" w:cs="Verdana"/>
                <w:color w:val="000000"/>
                <w:sz w:val="21"/>
                <w:szCs w:val="21"/>
              </w:rPr>
              <w:t xml:space="preserve">Die Konzeption orientiert sich am MDA-Framework, welches zur </w:t>
            </w:r>
            <w:proofErr w:type="spellStart"/>
            <w:r>
              <w:rPr>
                <w:rFonts w:ascii="Verdana" w:eastAsia="Verdana" w:hAnsi="Verdana" w:cs="Verdana"/>
                <w:color w:val="000000"/>
                <w:sz w:val="21"/>
                <w:szCs w:val="21"/>
              </w:rPr>
              <w:t>strukurierten</w:t>
            </w:r>
            <w:proofErr w:type="spellEnd"/>
            <w:r>
              <w:rPr>
                <w:rFonts w:ascii="Verdana" w:eastAsia="Verdana" w:hAnsi="Verdana" w:cs="Verdana"/>
                <w:color w:val="000000"/>
                <w:sz w:val="21"/>
                <w:szCs w:val="21"/>
              </w:rPr>
              <w:t xml:space="preserve"> Entwicklung und Analyse von Spielen verwendet wird. </w:t>
            </w:r>
          </w:p>
          <w:p w14:paraId="6FCCDBE5"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Technologien: </w:t>
            </w:r>
          </w:p>
          <w:p w14:paraId="211CC44D" w14:textId="77777777" w:rsidR="00C345C7" w:rsidRDefault="00000000" w:rsidP="00967AD9">
            <w:pPr>
              <w:numPr>
                <w:ilvl w:val="1"/>
                <w:numId w:val="3"/>
              </w:numPr>
              <w:spacing w:after="0" w:line="384" w:lineRule="auto"/>
            </w:pPr>
            <w:r>
              <w:rPr>
                <w:rFonts w:ascii="Verdana" w:eastAsia="Verdana" w:hAnsi="Verdana" w:cs="Verdana"/>
                <w:color w:val="000000"/>
                <w:sz w:val="21"/>
                <w:szCs w:val="21"/>
              </w:rPr>
              <w:t xml:space="preserve">Godot Engine </w:t>
            </w:r>
          </w:p>
          <w:p w14:paraId="67A3733F" w14:textId="77777777" w:rsidR="00C345C7" w:rsidRDefault="00000000" w:rsidP="00967AD9">
            <w:pPr>
              <w:numPr>
                <w:ilvl w:val="1"/>
                <w:numId w:val="3"/>
              </w:numPr>
              <w:spacing w:after="0" w:line="384" w:lineRule="auto"/>
            </w:pPr>
            <w:proofErr w:type="spellStart"/>
            <w:r>
              <w:rPr>
                <w:rFonts w:ascii="Verdana" w:eastAsia="Verdana" w:hAnsi="Verdana" w:cs="Verdana"/>
                <w:color w:val="000000"/>
                <w:sz w:val="21"/>
                <w:szCs w:val="21"/>
              </w:rPr>
              <w:t>GDScript</w:t>
            </w:r>
            <w:proofErr w:type="spellEnd"/>
            <w:r>
              <w:rPr>
                <w:rFonts w:ascii="Verdana" w:eastAsia="Verdana" w:hAnsi="Verdana" w:cs="Verdana"/>
                <w:color w:val="000000"/>
                <w:sz w:val="21"/>
                <w:szCs w:val="21"/>
              </w:rPr>
              <w:t xml:space="preserve"> </w:t>
            </w:r>
          </w:p>
          <w:p w14:paraId="04891759" w14:textId="77777777" w:rsidR="00C345C7" w:rsidRDefault="00000000" w:rsidP="00967AD9">
            <w:pPr>
              <w:numPr>
                <w:ilvl w:val="1"/>
                <w:numId w:val="3"/>
              </w:numPr>
              <w:spacing w:after="0" w:line="384" w:lineRule="auto"/>
            </w:pPr>
            <w:r>
              <w:rPr>
                <w:rFonts w:ascii="Verdana" w:eastAsia="Verdana" w:hAnsi="Verdana" w:cs="Verdana"/>
                <w:color w:val="000000"/>
                <w:sz w:val="21"/>
                <w:szCs w:val="21"/>
              </w:rPr>
              <w:t xml:space="preserve">UI-System für Debugging-Interface </w:t>
            </w:r>
          </w:p>
          <w:p w14:paraId="1A51748C" w14:textId="77777777" w:rsidR="00C345C7" w:rsidRDefault="00000000" w:rsidP="00967AD9">
            <w:pPr>
              <w:spacing w:before="120" w:after="120" w:line="384" w:lineRule="auto"/>
            </w:pPr>
            <w:r>
              <w:rPr>
                <w:rFonts w:ascii="Verdana Bold" w:eastAsia="Verdana Bold" w:hAnsi="Verdana Bold" w:cs="Verdana Bold"/>
                <w:b/>
                <w:bCs/>
                <w:color w:val="000000"/>
                <w:sz w:val="21"/>
                <w:szCs w:val="21"/>
              </w:rPr>
              <w:t xml:space="preserve">Architektur:  </w:t>
            </w:r>
          </w:p>
          <w:p w14:paraId="41F0CFB6" w14:textId="77777777" w:rsidR="00C345C7" w:rsidRDefault="00000000" w:rsidP="00967AD9">
            <w:pPr>
              <w:spacing w:before="120" w:after="120" w:line="384" w:lineRule="auto"/>
            </w:pPr>
            <w:r>
              <w:rPr>
                <w:rFonts w:ascii="Verdana" w:eastAsia="Verdana" w:hAnsi="Verdana" w:cs="Verdana"/>
                <w:color w:val="000000"/>
                <w:sz w:val="21"/>
                <w:szCs w:val="21"/>
              </w:rPr>
              <w:t xml:space="preserve">Das Spiel basiert auf einem modularen Objektmodell, das die Prinzipien der objektorientierten Programmierung direkt im Game Design widerspiegelt. </w:t>
            </w:r>
          </w:p>
        </w:tc>
      </w:tr>
    </w:tbl>
    <w:p w14:paraId="6FBCB639" w14:textId="117328FC" w:rsidR="00C345C7" w:rsidRDefault="00C345C7" w:rsidP="00967AD9">
      <w:pPr>
        <w:spacing w:before="120" w:after="120" w:line="384" w:lineRule="auto"/>
      </w:pPr>
    </w:p>
    <w:sectPr w:rsidR="00C345C7" w:rsidSect="00967AD9">
      <w:pgSz w:w="11910" w:h="16845"/>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E21C009-1EE1-C64A-9983-3DE665A98279}"/>
  </w:font>
  <w:font w:name="Times New Roman">
    <w:panose1 w:val="02020603050405020304"/>
    <w:charset w:val="00"/>
    <w:family w:val="roman"/>
    <w:pitch w:val="variable"/>
    <w:sig w:usb0="E0002EFF" w:usb1="C000785B" w:usb2="00000009" w:usb3="00000000" w:csb0="000001FF" w:csb1="00000000"/>
    <w:embedRegular r:id="rId2" w:fontKey="{A604B40E-B5C5-2C4C-83B6-5AE8A368D1B0}"/>
  </w:font>
  <w:font w:name="Courier New">
    <w:panose1 w:val="02070309020205020404"/>
    <w:charset w:val="00"/>
    <w:family w:val="modern"/>
    <w:pitch w:val="fixed"/>
    <w:sig w:usb0="E0002AFF" w:usb1="C0007843" w:usb2="00000009" w:usb3="00000000" w:csb0="000001FF" w:csb1="00000000"/>
    <w:embedRegular r:id="rId3" w:fontKey="{6A49067A-3610-8246-9F02-547D591F351F}"/>
  </w:font>
  <w:font w:name="Wingdings">
    <w:panose1 w:val="05000000000000000000"/>
    <w:charset w:val="4D"/>
    <w:family w:val="decorative"/>
    <w:pitch w:val="variable"/>
    <w:sig w:usb0="00000003" w:usb1="00000000" w:usb2="00000000" w:usb3="00000000" w:csb0="80000001" w:csb1="00000000"/>
    <w:embedRegular r:id="rId4" w:fontKey="{B44564FF-7D92-BB47-AC94-F071F1895544}"/>
  </w:font>
  <w:font w:name="Aptos">
    <w:panose1 w:val="020B0004020202020204"/>
    <w:charset w:val="00"/>
    <w:family w:val="swiss"/>
    <w:pitch w:val="variable"/>
    <w:sig w:usb0="20000287" w:usb1="00000003" w:usb2="00000000" w:usb3="00000000" w:csb0="0000019F" w:csb1="00000000"/>
    <w:embedRegular r:id="rId5" w:fontKey="{DFE87A0C-72BB-854F-9973-66757CB3C091}"/>
  </w:font>
  <w:font w:name="Verdana Bold">
    <w:altName w:val="Verdana"/>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embedRegular r:id="rId7" w:fontKey="{D8C71773-ACF3-D741-9A23-C1697F36DC51}"/>
  </w:font>
  <w:font w:name="Aptos Display">
    <w:panose1 w:val="020B0004020202020204"/>
    <w:charset w:val="00"/>
    <w:family w:val="swiss"/>
    <w:pitch w:val="variable"/>
    <w:sig w:usb0="20000287" w:usb1="00000003" w:usb2="00000000" w:usb3="00000000" w:csb0="0000019F" w:csb1="00000000"/>
    <w:embedRegular r:id="rId8" w:fontKey="{2DCAB778-3100-9A4F-AC14-9BA54F75BD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7BCD"/>
    <w:multiLevelType w:val="hybridMultilevel"/>
    <w:tmpl w:val="76DC69A2"/>
    <w:lvl w:ilvl="0" w:tplc="FE964F0E">
      <w:start w:val="1"/>
      <w:numFmt w:val="bullet"/>
      <w:lvlText w:val=""/>
      <w:lvlJc w:val="left"/>
      <w:pPr>
        <w:ind w:left="400" w:hanging="360"/>
      </w:pPr>
      <w:rPr>
        <w:rFonts w:ascii="Symbol" w:hAnsi="Symbol"/>
      </w:rPr>
    </w:lvl>
    <w:lvl w:ilvl="1" w:tplc="31DC158C">
      <w:start w:val="1"/>
      <w:numFmt w:val="bullet"/>
      <w:lvlText w:val="o"/>
      <w:lvlJc w:val="left"/>
      <w:pPr>
        <w:ind w:left="800" w:hanging="360"/>
      </w:pPr>
      <w:rPr>
        <w:rFonts w:ascii="Courier New" w:hAnsi="Courier New"/>
      </w:rPr>
    </w:lvl>
    <w:lvl w:ilvl="2" w:tplc="0AF01852">
      <w:start w:val="1"/>
      <w:numFmt w:val="bullet"/>
      <w:lvlText w:val=""/>
      <w:lvlJc w:val="left"/>
      <w:pPr>
        <w:ind w:left="1200" w:hanging="360"/>
      </w:pPr>
      <w:rPr>
        <w:rFonts w:ascii="Wingdings" w:hAnsi="Wingdings"/>
      </w:rPr>
    </w:lvl>
    <w:lvl w:ilvl="3" w:tplc="743213E0">
      <w:start w:val="1"/>
      <w:numFmt w:val="bullet"/>
      <w:lvlText w:val=""/>
      <w:lvlJc w:val="left"/>
      <w:pPr>
        <w:ind w:left="1600" w:hanging="360"/>
      </w:pPr>
      <w:rPr>
        <w:rFonts w:ascii="Symbol" w:hAnsi="Symbol"/>
      </w:rPr>
    </w:lvl>
    <w:lvl w:ilvl="4" w:tplc="D9BEDDE6">
      <w:start w:val="1"/>
      <w:numFmt w:val="bullet"/>
      <w:lvlText w:val="o"/>
      <w:lvlJc w:val="left"/>
      <w:pPr>
        <w:ind w:left="2000" w:hanging="360"/>
      </w:pPr>
      <w:rPr>
        <w:rFonts w:ascii="Courier New" w:hAnsi="Courier New"/>
      </w:rPr>
    </w:lvl>
    <w:lvl w:ilvl="5" w:tplc="45C4F68C">
      <w:start w:val="1"/>
      <w:numFmt w:val="bullet"/>
      <w:lvlText w:val=""/>
      <w:lvlJc w:val="left"/>
      <w:pPr>
        <w:ind w:left="2400" w:hanging="360"/>
      </w:pPr>
      <w:rPr>
        <w:rFonts w:ascii="Wingdings" w:hAnsi="Wingdings"/>
      </w:rPr>
    </w:lvl>
    <w:lvl w:ilvl="6" w:tplc="E59AD852">
      <w:start w:val="1"/>
      <w:numFmt w:val="bullet"/>
      <w:lvlText w:val=""/>
      <w:lvlJc w:val="left"/>
      <w:pPr>
        <w:ind w:left="2800" w:hanging="360"/>
      </w:pPr>
      <w:rPr>
        <w:rFonts w:ascii="Symbol" w:hAnsi="Symbol"/>
      </w:rPr>
    </w:lvl>
    <w:lvl w:ilvl="7" w:tplc="4C641F4C">
      <w:start w:val="1"/>
      <w:numFmt w:val="bullet"/>
      <w:lvlText w:val="o"/>
      <w:lvlJc w:val="left"/>
      <w:pPr>
        <w:ind w:left="3200" w:hanging="360"/>
      </w:pPr>
      <w:rPr>
        <w:rFonts w:ascii="Courier New" w:hAnsi="Courier New"/>
      </w:rPr>
    </w:lvl>
    <w:lvl w:ilvl="8" w:tplc="23F48F96">
      <w:numFmt w:val="decimal"/>
      <w:lvlText w:val=""/>
      <w:lvlJc w:val="left"/>
    </w:lvl>
  </w:abstractNum>
  <w:abstractNum w:abstractNumId="1" w15:restartNumberingAfterBreak="0">
    <w:nsid w:val="73A31557"/>
    <w:multiLevelType w:val="hybridMultilevel"/>
    <w:tmpl w:val="C5500B62"/>
    <w:lvl w:ilvl="0" w:tplc="2F3A517A">
      <w:start w:val="1"/>
      <w:numFmt w:val="bullet"/>
      <w:lvlText w:val=""/>
      <w:lvlJc w:val="left"/>
      <w:pPr>
        <w:ind w:left="400" w:hanging="360"/>
      </w:pPr>
      <w:rPr>
        <w:rFonts w:ascii="Symbol" w:hAnsi="Symbol"/>
      </w:rPr>
    </w:lvl>
    <w:lvl w:ilvl="1" w:tplc="2EE674B4">
      <w:start w:val="1"/>
      <w:numFmt w:val="bullet"/>
      <w:lvlText w:val="o"/>
      <w:lvlJc w:val="left"/>
      <w:pPr>
        <w:ind w:left="800" w:hanging="360"/>
      </w:pPr>
      <w:rPr>
        <w:rFonts w:ascii="Courier New" w:hAnsi="Courier New"/>
      </w:rPr>
    </w:lvl>
    <w:lvl w:ilvl="2" w:tplc="A4A28726">
      <w:start w:val="1"/>
      <w:numFmt w:val="bullet"/>
      <w:lvlText w:val=""/>
      <w:lvlJc w:val="left"/>
      <w:pPr>
        <w:ind w:left="1200" w:hanging="360"/>
      </w:pPr>
      <w:rPr>
        <w:rFonts w:ascii="Wingdings" w:hAnsi="Wingdings"/>
      </w:rPr>
    </w:lvl>
    <w:lvl w:ilvl="3" w:tplc="2DB83B64">
      <w:start w:val="1"/>
      <w:numFmt w:val="bullet"/>
      <w:lvlText w:val=""/>
      <w:lvlJc w:val="left"/>
      <w:pPr>
        <w:ind w:left="1600" w:hanging="360"/>
      </w:pPr>
      <w:rPr>
        <w:rFonts w:ascii="Symbol" w:hAnsi="Symbol"/>
      </w:rPr>
    </w:lvl>
    <w:lvl w:ilvl="4" w:tplc="C79A0CE8">
      <w:start w:val="1"/>
      <w:numFmt w:val="bullet"/>
      <w:lvlText w:val="o"/>
      <w:lvlJc w:val="left"/>
      <w:pPr>
        <w:ind w:left="2000" w:hanging="360"/>
      </w:pPr>
      <w:rPr>
        <w:rFonts w:ascii="Courier New" w:hAnsi="Courier New"/>
      </w:rPr>
    </w:lvl>
    <w:lvl w:ilvl="5" w:tplc="65FC0428">
      <w:start w:val="1"/>
      <w:numFmt w:val="bullet"/>
      <w:lvlText w:val=""/>
      <w:lvlJc w:val="left"/>
      <w:pPr>
        <w:ind w:left="2400" w:hanging="360"/>
      </w:pPr>
      <w:rPr>
        <w:rFonts w:ascii="Wingdings" w:hAnsi="Wingdings"/>
      </w:rPr>
    </w:lvl>
    <w:lvl w:ilvl="6" w:tplc="AB729FEC">
      <w:start w:val="1"/>
      <w:numFmt w:val="bullet"/>
      <w:lvlText w:val=""/>
      <w:lvlJc w:val="left"/>
      <w:pPr>
        <w:ind w:left="2800" w:hanging="360"/>
      </w:pPr>
      <w:rPr>
        <w:rFonts w:ascii="Symbol" w:hAnsi="Symbol"/>
      </w:rPr>
    </w:lvl>
    <w:lvl w:ilvl="7" w:tplc="A79E09BE">
      <w:start w:val="1"/>
      <w:numFmt w:val="bullet"/>
      <w:lvlText w:val="o"/>
      <w:lvlJc w:val="left"/>
      <w:pPr>
        <w:ind w:left="3200" w:hanging="360"/>
      </w:pPr>
      <w:rPr>
        <w:rFonts w:ascii="Courier New" w:hAnsi="Courier New"/>
      </w:rPr>
    </w:lvl>
    <w:lvl w:ilvl="8" w:tplc="14A44B74">
      <w:numFmt w:val="decimal"/>
      <w:lvlText w:val=""/>
      <w:lvlJc w:val="left"/>
    </w:lvl>
  </w:abstractNum>
  <w:abstractNum w:abstractNumId="2" w15:restartNumberingAfterBreak="0">
    <w:nsid w:val="74C62911"/>
    <w:multiLevelType w:val="hybridMultilevel"/>
    <w:tmpl w:val="C6A096E6"/>
    <w:lvl w:ilvl="0" w:tplc="6EFE75DE">
      <w:start w:val="1"/>
      <w:numFmt w:val="bullet"/>
      <w:lvlText w:val=""/>
      <w:lvlJc w:val="left"/>
      <w:pPr>
        <w:ind w:left="400" w:hanging="360"/>
      </w:pPr>
      <w:rPr>
        <w:rFonts w:ascii="Symbol" w:hAnsi="Symbol"/>
      </w:rPr>
    </w:lvl>
    <w:lvl w:ilvl="1" w:tplc="1F7E7484">
      <w:start w:val="1"/>
      <w:numFmt w:val="bullet"/>
      <w:lvlText w:val="o"/>
      <w:lvlJc w:val="left"/>
      <w:pPr>
        <w:ind w:left="800" w:hanging="360"/>
      </w:pPr>
      <w:rPr>
        <w:rFonts w:ascii="Courier New" w:hAnsi="Courier New"/>
      </w:rPr>
    </w:lvl>
    <w:lvl w:ilvl="2" w:tplc="63D45532">
      <w:start w:val="1"/>
      <w:numFmt w:val="bullet"/>
      <w:lvlText w:val=""/>
      <w:lvlJc w:val="left"/>
      <w:pPr>
        <w:ind w:left="1200" w:hanging="360"/>
      </w:pPr>
      <w:rPr>
        <w:rFonts w:ascii="Wingdings" w:hAnsi="Wingdings"/>
      </w:rPr>
    </w:lvl>
    <w:lvl w:ilvl="3" w:tplc="F394FAEC">
      <w:start w:val="1"/>
      <w:numFmt w:val="bullet"/>
      <w:lvlText w:val=""/>
      <w:lvlJc w:val="left"/>
      <w:pPr>
        <w:ind w:left="1600" w:hanging="360"/>
      </w:pPr>
      <w:rPr>
        <w:rFonts w:ascii="Symbol" w:hAnsi="Symbol"/>
      </w:rPr>
    </w:lvl>
    <w:lvl w:ilvl="4" w:tplc="CD20E560">
      <w:start w:val="1"/>
      <w:numFmt w:val="bullet"/>
      <w:lvlText w:val="o"/>
      <w:lvlJc w:val="left"/>
      <w:pPr>
        <w:ind w:left="2000" w:hanging="360"/>
      </w:pPr>
      <w:rPr>
        <w:rFonts w:ascii="Courier New" w:hAnsi="Courier New"/>
      </w:rPr>
    </w:lvl>
    <w:lvl w:ilvl="5" w:tplc="3000E012">
      <w:start w:val="1"/>
      <w:numFmt w:val="bullet"/>
      <w:lvlText w:val=""/>
      <w:lvlJc w:val="left"/>
      <w:pPr>
        <w:ind w:left="2400" w:hanging="360"/>
      </w:pPr>
      <w:rPr>
        <w:rFonts w:ascii="Wingdings" w:hAnsi="Wingdings"/>
      </w:rPr>
    </w:lvl>
    <w:lvl w:ilvl="6" w:tplc="A1B2D0DC">
      <w:start w:val="1"/>
      <w:numFmt w:val="bullet"/>
      <w:lvlText w:val=""/>
      <w:lvlJc w:val="left"/>
      <w:pPr>
        <w:ind w:left="2800" w:hanging="360"/>
      </w:pPr>
      <w:rPr>
        <w:rFonts w:ascii="Symbol" w:hAnsi="Symbol"/>
      </w:rPr>
    </w:lvl>
    <w:lvl w:ilvl="7" w:tplc="FD2AC534">
      <w:start w:val="1"/>
      <w:numFmt w:val="bullet"/>
      <w:lvlText w:val="o"/>
      <w:lvlJc w:val="left"/>
      <w:pPr>
        <w:ind w:left="3200" w:hanging="360"/>
      </w:pPr>
      <w:rPr>
        <w:rFonts w:ascii="Courier New" w:hAnsi="Courier New"/>
      </w:rPr>
    </w:lvl>
    <w:lvl w:ilvl="8" w:tplc="EE0C0BA8">
      <w:numFmt w:val="decimal"/>
      <w:lvlText w:val=""/>
      <w:lvlJc w:val="left"/>
    </w:lvl>
  </w:abstractNum>
  <w:num w:numId="1" w16cid:durableId="583497328">
    <w:abstractNumId w:val="2"/>
  </w:num>
  <w:num w:numId="2" w16cid:durableId="604387531">
    <w:abstractNumId w:val="0"/>
  </w:num>
  <w:num w:numId="3" w16cid:durableId="905845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08"/>
  <w:hyphenationZone w:val="425"/>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C345C7"/>
    <w:rsid w:val="00236837"/>
    <w:rsid w:val="00967AD9"/>
    <w:rsid w:val="00C345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9721"/>
  <w15:docId w15:val="{F02355C2-83CB-4048-8701-D1039759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70DA3-7B77-9D44-AB80-A5D60727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382</Words>
  <Characters>2785</Characters>
  <Application>Microsoft Office Word</Application>
  <DocSecurity>0</DocSecurity>
  <Lines>87</Lines>
  <Paragraphs>50</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Mission_Statement</dc:title>
  <dc:creator>Apache POI</dc:creator>
  <cp:lastModifiedBy>Franz Hielscher</cp:lastModifiedBy>
  <cp:revision>2</cp:revision>
  <dcterms:created xsi:type="dcterms:W3CDTF">2026-05-04T10:23:00Z</dcterms:created>
  <dcterms:modified xsi:type="dcterms:W3CDTF">2026-05-04T10:30:00Z</dcterms:modified>
</cp:coreProperties>
</file>