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pPr>
      <w:r>
        <w:rPr>
          <w:sz w:val="22"/>
          <w:szCs w:val="22"/>
        </w:rPr>
        <w:t xml:space="preserve"/>
      </w:r>
    </w:p>
    <w:p>
      <w:pPr>
        <w:spacing w:after="120"/>
        <w:jc w:val="center"/>
      </w:pPr>
      <w:r>
        <w:rPr>
          <w:rFonts w:ascii="Arial" w:cs="Arial" w:eastAsia="Arial" w:hAnsi="Arial"/>
          <w:b/>
          <w:bCs/>
          <w:color w:val="F97316"/>
          <w:sz w:val="56"/>
          <w:szCs w:val="56"/>
        </w:rPr>
        <w:t xml:space="preserve">RepuestoPOS</w:t>
      </w:r>
    </w:p>
    <w:p>
      <w:pPr>
        <w:spacing w:after="80"/>
        <w:jc w:val="center"/>
      </w:pPr>
      <w:r>
        <w:rPr>
          <w:rFonts w:ascii="Arial" w:cs="Arial" w:eastAsia="Arial" w:hAnsi="Arial"/>
          <w:color w:val="555555"/>
          <w:sz w:val="28"/>
          <w:szCs w:val="28"/>
        </w:rPr>
        <w:t xml:space="preserve">Sistema de Punto de Venta — Ruta 38 Repuestos</w:t>
      </w:r>
    </w:p>
    <w:p>
      <w:pPr>
        <w:spacing w:after="480"/>
        <w:jc w:val="center"/>
      </w:pPr>
      <w:r>
        <w:rPr>
          <w:rFonts w:ascii="Arial" w:cs="Arial" w:eastAsia="Arial" w:hAnsi="Arial"/>
          <w:color w:val="888888"/>
          <w:sz w:val="24"/>
          <w:szCs w:val="24"/>
        </w:rPr>
        <w:t xml:space="preserve">Documentación Técnica y Manual de Usuario</w:t>
      </w:r>
    </w:p>
    <w:p>
      <w:pPr>
        <w:pBdr>
          <w:bottom w:val="single" w:color="F97316" w:sz="8" w:space="1"/>
        </w:pBdr>
        <w:spacing w:after="480" w:before="0"/>
      </w:pPr>
    </w:p>
    <w:p>
      <w:pPr>
        <w:spacing w:after="720"/>
        <w:jc w:val="center"/>
      </w:pPr>
      <w:r>
        <w:rPr>
          <w:rFonts w:ascii="Arial" w:cs="Arial" w:eastAsia="Arial" w:hAnsi="Arial"/>
          <w:color w:val="999999"/>
          <w:sz w:val="22"/>
          <w:szCs w:val="22"/>
        </w:rPr>
        <w:t xml:space="preserve">Versión 6  |  Abril 2026</w:t>
      </w:r>
    </w:p>
    <w:p>
      <w:r>
        <w:br w:type="page"/>
      </w:r>
    </w:p>
    <w:p>
      <w:pPr>
        <w:pStyle w:val="Heading1"/>
        <w:spacing w:after="180" w:before="360"/>
      </w:pPr>
      <w:r>
        <w:rPr>
          <w:rFonts w:ascii="Arial" w:cs="Arial" w:eastAsia="Arial" w:hAnsi="Arial"/>
          <w:b/>
          <w:bCs/>
          <w:sz w:val="32"/>
          <w:szCs w:val="32"/>
        </w:rPr>
        <w:t xml:space="preserve">Índice de Contenidos</w:t>
      </w:r>
    </w:p>
    <w:p>
      <w:pPr>
        <w:spacing w:after="60" w:before="60"/>
      </w:pPr>
      <w:r>
        <w:rPr>
          <w:rFonts w:ascii="Arial" w:cs="Arial" w:eastAsia="Arial" w:hAnsi="Arial"/>
          <w:sz w:val="22"/>
          <w:szCs w:val="22"/>
        </w:rPr>
        <w:t xml:space="preserve">1. Descripción General del Sistema</w:t>
      </w:r>
    </w:p>
    <w:p>
      <w:pPr>
        <w:spacing w:after="60" w:before="60"/>
      </w:pPr>
      <w:r>
        <w:rPr>
          <w:rFonts w:ascii="Arial" w:cs="Arial" w:eastAsia="Arial" w:hAnsi="Arial"/>
          <w:sz w:val="22"/>
          <w:szCs w:val="22"/>
        </w:rPr>
        <w:t xml:space="preserve">2. Estructura y Organización del Código</w:t>
      </w:r>
    </w:p>
    <w:p>
      <w:pPr>
        <w:spacing w:after="60" w:before="60"/>
      </w:pPr>
      <w:r>
        <w:rPr>
          <w:rFonts w:ascii="Arial" w:cs="Arial" w:eastAsia="Arial" w:hAnsi="Arial"/>
          <w:sz w:val="22"/>
          <w:szCs w:val="22"/>
        </w:rPr>
        <w:t xml:space="preserve">3. Módulos y Funcionalidades</w:t>
      </w:r>
    </w:p>
    <w:p>
      <w:pPr>
        <w:spacing w:after="60" w:before="60"/>
      </w:pPr>
      <w:r>
        <w:rPr>
          <w:rFonts w:ascii="Arial" w:cs="Arial" w:eastAsia="Arial" w:hAnsi="Arial"/>
          <w:sz w:val="22"/>
          <w:szCs w:val="22"/>
        </w:rPr>
        <w:t xml:space="preserve">   3.1 Módulo Caja (Punto de Venta)</w:t>
      </w:r>
    </w:p>
    <w:p>
      <w:pPr>
        <w:spacing w:after="60" w:before="60"/>
      </w:pPr>
      <w:r>
        <w:rPr>
          <w:rFonts w:ascii="Arial" w:cs="Arial" w:eastAsia="Arial" w:hAnsi="Arial"/>
          <w:sz w:val="22"/>
          <w:szCs w:val="22"/>
        </w:rPr>
        <w:t xml:space="preserve">   3.2 Módulo Tickets — Descripción y Diagnóstico de Errores</w:t>
      </w:r>
    </w:p>
    <w:p>
      <w:pPr>
        <w:spacing w:after="60" w:before="60"/>
      </w:pPr>
      <w:r>
        <w:rPr>
          <w:rFonts w:ascii="Arial" w:cs="Arial" w:eastAsia="Arial" w:hAnsi="Arial"/>
          <w:sz w:val="22"/>
          <w:szCs w:val="22"/>
        </w:rPr>
        <w:t xml:space="preserve">   3.3 Módulo Inventario</w:t>
      </w:r>
    </w:p>
    <w:p>
      <w:pPr>
        <w:spacing w:after="60" w:before="60"/>
      </w:pPr>
      <w:r>
        <w:rPr>
          <w:rFonts w:ascii="Arial" w:cs="Arial" w:eastAsia="Arial" w:hAnsi="Arial"/>
          <w:sz w:val="22"/>
          <w:szCs w:val="22"/>
        </w:rPr>
        <w:t xml:space="preserve">   3.4 Módulo Historial</w:t>
      </w:r>
    </w:p>
    <w:p>
      <w:pPr>
        <w:spacing w:after="60" w:before="60"/>
      </w:pPr>
      <w:r>
        <w:rPr>
          <w:rFonts w:ascii="Arial" w:cs="Arial" w:eastAsia="Arial" w:hAnsi="Arial"/>
          <w:sz w:val="22"/>
          <w:szCs w:val="22"/>
        </w:rPr>
        <w:t xml:space="preserve">   3.5 Módulo Reportes</w:t>
      </w:r>
    </w:p>
    <w:p>
      <w:pPr>
        <w:spacing w:after="60" w:before="60"/>
      </w:pPr>
      <w:r>
        <w:rPr>
          <w:rFonts w:ascii="Arial" w:cs="Arial" w:eastAsia="Arial" w:hAnsi="Arial"/>
          <w:sz w:val="22"/>
          <w:szCs w:val="22"/>
        </w:rPr>
        <w:t xml:space="preserve">   3.6 Módulo Presupuesto</w:t>
      </w:r>
    </w:p>
    <w:p>
      <w:pPr>
        <w:spacing w:after="60" w:before="60"/>
      </w:pPr>
      <w:r>
        <w:rPr>
          <w:rFonts w:ascii="Arial" w:cs="Arial" w:eastAsia="Arial" w:hAnsi="Arial"/>
          <w:sz w:val="22"/>
          <w:szCs w:val="22"/>
        </w:rPr>
        <w:t xml:space="preserve">4. Integración con Google Sheets</w:t>
      </w:r>
    </w:p>
    <w:p>
      <w:pPr>
        <w:spacing w:after="60" w:before="60"/>
      </w:pPr>
      <w:r>
        <w:rPr>
          <w:rFonts w:ascii="Arial" w:cs="Arial" w:eastAsia="Arial" w:hAnsi="Arial"/>
          <w:sz w:val="22"/>
          <w:szCs w:val="22"/>
        </w:rPr>
        <w:t xml:space="preserve">5. Almacenamiento Local (LocalStorage)</w:t>
      </w:r>
    </w:p>
    <w:p>
      <w:pPr>
        <w:spacing w:after="60" w:before="60"/>
      </w:pPr>
      <w:r>
        <w:rPr>
          <w:rFonts w:ascii="Arial" w:cs="Arial" w:eastAsia="Arial" w:hAnsi="Arial"/>
          <w:sz w:val="22"/>
          <w:szCs w:val="22"/>
        </w:rPr>
        <w:t xml:space="preserve">6. Guía de Diagnóstico y Solución de Problemas</w:t>
      </w:r>
    </w:p>
    <w:p>
      <w:pPr>
        <w:spacing w:after="60" w:before="60"/>
      </w:pPr>
      <w:r>
        <w:rPr>
          <w:rFonts w:ascii="Arial" w:cs="Arial" w:eastAsia="Arial" w:hAnsi="Arial"/>
          <w:sz w:val="22"/>
          <w:szCs w:val="22"/>
        </w:rPr>
        <w:t xml:space="preserve">7. Variables Globales y Estado de la Aplicación</w:t>
      </w:r>
    </w:p>
    <w:p>
      <w:r>
        <w:br w:type="page"/>
      </w:r>
    </w:p>
    <w:p>
      <w:pPr>
        <w:pStyle w:val="Heading1"/>
        <w:spacing w:after="180" w:before="360"/>
      </w:pPr>
      <w:r>
        <w:rPr>
          <w:rFonts w:ascii="Arial" w:cs="Arial" w:eastAsia="Arial" w:hAnsi="Arial"/>
          <w:b/>
          <w:bCs/>
          <w:sz w:val="32"/>
          <w:szCs w:val="32"/>
        </w:rPr>
        <w:t xml:space="preserve">1. Descripción General del Sistema</w:t>
      </w:r>
    </w:p>
    <w:p>
      <w:pPr>
        <w:spacing w:after="60" w:before="60"/>
      </w:pPr>
      <w:r>
        <w:rPr>
          <w:rFonts w:ascii="Arial" w:cs="Arial" w:eastAsia="Arial" w:hAnsi="Arial"/>
          <w:sz w:val="22"/>
          <w:szCs w:val="22"/>
        </w:rPr>
        <w:t xml:space="preserve">RepuestoPOS es una aplicación web de página única (SPA) desarrollada en HTML, CSS y JavaScript vanilla. Está diseñada para gestionar el punto de venta, inventario y ventas de Ruta 38 Repuestos, un comercio de repuestos automotrices.</w:t>
      </w:r>
    </w:p>
    <w:p>
      <w:pPr>
        <w:spacing w:after="120"/>
      </w:pPr>
    </w:p>
    <w:p>
      <w:pPr>
        <w:pStyle w:val="Heading2"/>
        <w:spacing w:after="120" w:before="280"/>
      </w:pPr>
      <w:r>
        <w:rPr>
          <w:rFonts w:ascii="Arial" w:cs="Arial" w:eastAsia="Arial" w:hAnsi="Arial"/>
          <w:b/>
          <w:bCs/>
          <w:color w:val="1E5AA8"/>
          <w:sz w:val="26"/>
          <w:szCs w:val="26"/>
        </w:rPr>
        <w:t xml:space="preserve">Tecnologías Utilizadas</w:t>
      </w:r>
    </w:p>
    <w:p>
      <w:pPr>
        <w:pStyle w:val="ListParagraph"/>
        <w:numPr>
          <w:ilvl w:val="0"/>
          <w:numId w:val="2"/>
        </w:numPr>
        <w:spacing w:after="40" w:before="40"/>
      </w:pPr>
      <w:r>
        <w:rPr>
          <w:rFonts w:ascii="Arial" w:cs="Arial" w:eastAsia="Arial" w:hAnsi="Arial"/>
          <w:sz w:val="22"/>
          <w:szCs w:val="22"/>
        </w:rPr>
        <w:t xml:space="preserve">HTML5 / CSS3 con variables CSS (custom properties) para theming</w:t>
      </w:r>
    </w:p>
    <w:p>
      <w:pPr>
        <w:pStyle w:val="ListParagraph"/>
        <w:numPr>
          <w:ilvl w:val="0"/>
          <w:numId w:val="2"/>
        </w:numPr>
        <w:spacing w:after="40" w:before="40"/>
      </w:pPr>
      <w:r>
        <w:rPr>
          <w:rFonts w:ascii="Arial" w:cs="Arial" w:eastAsia="Arial" w:hAnsi="Arial"/>
          <w:sz w:val="22"/>
          <w:szCs w:val="22"/>
        </w:rPr>
        <w:t xml:space="preserve">JavaScript vanilla (ES5/ES6 compatible) sin dependencias externas</w:t>
      </w:r>
    </w:p>
    <w:p>
      <w:pPr>
        <w:pStyle w:val="ListParagraph"/>
        <w:numPr>
          <w:ilvl w:val="0"/>
          <w:numId w:val="2"/>
        </w:numPr>
        <w:spacing w:after="40" w:before="40"/>
      </w:pPr>
      <w:r>
        <w:rPr>
          <w:rFonts w:ascii="Arial" w:cs="Arial" w:eastAsia="Arial" w:hAnsi="Arial"/>
          <w:sz w:val="22"/>
          <w:szCs w:val="22"/>
        </w:rPr>
        <w:t xml:space="preserve">Google Apps Script como backend para sincronización en la nube</w:t>
      </w:r>
    </w:p>
    <w:p>
      <w:pPr>
        <w:pStyle w:val="ListParagraph"/>
        <w:numPr>
          <w:ilvl w:val="0"/>
          <w:numId w:val="2"/>
        </w:numPr>
        <w:spacing w:after="40" w:before="40"/>
      </w:pPr>
      <w:r>
        <w:rPr>
          <w:rFonts w:ascii="Arial" w:cs="Arial" w:eastAsia="Arial" w:hAnsi="Arial"/>
          <w:sz w:val="22"/>
          <w:szCs w:val="22"/>
        </w:rPr>
        <w:t xml:space="preserve">LocalStorage del navegador como caché local</w:t>
      </w:r>
    </w:p>
    <w:p>
      <w:pPr>
        <w:pStyle w:val="ListParagraph"/>
        <w:numPr>
          <w:ilvl w:val="0"/>
          <w:numId w:val="2"/>
        </w:numPr>
        <w:spacing w:after="40" w:before="40"/>
      </w:pPr>
      <w:r>
        <w:rPr>
          <w:rFonts w:ascii="Arial" w:cs="Arial" w:eastAsia="Arial" w:hAnsi="Arial"/>
          <w:sz w:val="22"/>
          <w:szCs w:val="22"/>
        </w:rPr>
        <w:t xml:space="preserve">Fuentes Google: IBM Plex Mono e IBM Plex Sans</w:t>
      </w:r>
    </w:p>
    <w:p>
      <w:pPr>
        <w:spacing w:after="120"/>
      </w:pPr>
    </w:p>
    <w:p>
      <w:pPr>
        <w:pStyle w:val="Heading2"/>
        <w:spacing w:after="120" w:before="280"/>
      </w:pPr>
      <w:r>
        <w:rPr>
          <w:rFonts w:ascii="Arial" w:cs="Arial" w:eastAsia="Arial" w:hAnsi="Arial"/>
          <w:b/>
          <w:bCs/>
          <w:color w:val="1E5AA8"/>
          <w:sz w:val="26"/>
          <w:szCs w:val="26"/>
        </w:rPr>
        <w:t xml:space="preserve">Estructura de la Aplicación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E8F4FD"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Estructura HTML principal</w:t>
            </w:r>
          </w:p>
          <w:p>
            <w:pPr>
              <w:spacing w:after="0"/>
            </w:pPr>
            <w:r>
              <w:rPr>
                <w:rFonts w:ascii="Arial" w:cs="Arial" w:eastAsia="Arial" w:hAnsi="Arial"/>
                <w:sz w:val="20"/>
                <w:szCs w:val="20"/>
              </w:rPr>
              <w:t xml:space="preserve">El archivo es monolítico: contiene todos los estilos CSS en el &lt;head&gt;, todo el HTML de la interfaz en el &lt;body&gt;, y todo el JavaScript al final del &lt;body&gt; dentro de etiquetas &lt;script&gt;. No hay archivos externos ni módulos separados.</w:t>
            </w:r>
          </w:p>
        </w:tc>
      </w:tr>
    </w:tbl>
    <w:p>
      <w:pPr>
        <w:spacing w:after="120"/>
      </w:pPr>
    </w:p>
    <w:p>
      <w:r>
        <w:br w:type="page"/>
      </w:r>
    </w:p>
    <w:p>
      <w:pPr>
        <w:pStyle w:val="Heading1"/>
        <w:spacing w:after="180" w:before="360"/>
      </w:pPr>
      <w:r>
        <w:rPr>
          <w:rFonts w:ascii="Arial" w:cs="Arial" w:eastAsia="Arial" w:hAnsi="Arial"/>
          <w:b/>
          <w:bCs/>
          <w:sz w:val="32"/>
          <w:szCs w:val="32"/>
        </w:rPr>
        <w:t xml:space="preserve">2. Estructura y Organización del Código</w:t>
      </w:r>
    </w:p>
    <w:p>
      <w:pPr>
        <w:pStyle w:val="Heading2"/>
        <w:spacing w:after="120" w:before="280"/>
      </w:pPr>
      <w:r>
        <w:rPr>
          <w:rFonts w:ascii="Arial" w:cs="Arial" w:eastAsia="Arial" w:hAnsi="Arial"/>
          <w:b/>
          <w:bCs/>
          <w:color w:val="1E5AA8"/>
          <w:sz w:val="26"/>
          <w:szCs w:val="26"/>
        </w:rPr>
        <w:t xml:space="preserve">Secciones del Archivo 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SECCIÓN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1–10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Declaración DOCTYPE, metaetiquetas, título, carga de fuentes Google</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11–480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Estilos CSS (variables, layout, componentes, responsive, print)</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481–700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HTML: TopBar (logo, tabs, reloj, estado sync)</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701–900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HTML: Tab Caja (scanner, carrito, panel de cobro)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901–1100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HTML: Tab Inventario (grilla de productos, filtros)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1101–1250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HTML: Tab Historial</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1251–1350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HTML: Tab Reportes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1351–1500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HTML: Tab Presupuesto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1501–1560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HTML: Modales (nuevo producto, aumento masivo, mover stock, detalle venta, cierre caja)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1561–1580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HTML: Overlay de Ticket y Toast</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Líneas 1581–2420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JavaScript: toda la lógica de la aplicación</w:t>
            </w:r>
          </w:p>
        </w:tc>
      </w:tr>
    </w:tbl>
    <w:p>
      <w:pPr>
        <w:spacing w:after="120"/>
      </w:pPr>
    </w:p>
    <w:p>
      <w:pPr>
        <w:pStyle w:val="Heading2"/>
        <w:spacing w:after="120" w:before="280"/>
      </w:pPr>
      <w:r>
        <w:rPr>
          <w:rFonts w:ascii="Arial" w:cs="Arial" w:eastAsia="Arial" w:hAnsi="Arial"/>
          <w:b/>
          <w:bCs/>
          <w:color w:val="1E5AA8"/>
          <w:sz w:val="26"/>
          <w:szCs w:val="26"/>
        </w:rPr>
        <w:t xml:space="preserve">Variables Globales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240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456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4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productos</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555555"/>
                <w:sz w:val="20"/>
                <w:szCs w:val="20"/>
              </w:rPr>
              <w:t xml:space="preserve">Array</w:t>
            </w:r>
          </w:p>
        </w:tc>
        <w:tc>
          <w:tcPr>
            <w:tcW w:type="dxa" w:w="4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Lista de todos los productos del inventario</w:t>
            </w:r>
          </w:p>
        </w:tc>
      </w:tr>
      <w:tr>
        <w:tc>
          <w:tcPr>
            <w:tcW w:type="dxa" w:w="24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historial</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555555"/>
                <w:sz w:val="20"/>
                <w:szCs w:val="20"/>
              </w:rPr>
              <w:t xml:space="preserve">Array</w:t>
            </w:r>
          </w:p>
        </w:tc>
        <w:tc>
          <w:tcPr>
            <w:tcW w:type="dxa" w:w="4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Registro de ventas realizadas (cargadas desde Sheets)</w:t>
            </w:r>
          </w:p>
        </w:tc>
      </w:tr>
      <w:tr>
        <w:tc>
          <w:tcPr>
            <w:tcW w:type="dxa" w:w="24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carro</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555555"/>
                <w:sz w:val="20"/>
                <w:szCs w:val="20"/>
              </w:rPr>
              <w:t xml:space="preserve">Array</w:t>
            </w:r>
          </w:p>
        </w:tc>
        <w:tc>
          <w:tcPr>
            <w:tcW w:type="dxa" w:w="4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Items actualmente en el carrito de la venta activa</w:t>
            </w:r>
          </w:p>
        </w:tc>
      </w:tr>
      <w:tr>
        <w:tc>
          <w:tcPr>
            <w:tcW w:type="dxa" w:w="24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editandoId</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555555"/>
                <w:sz w:val="20"/>
                <w:szCs w:val="20"/>
              </w:rPr>
              <w:t xml:space="preserve">String/null</w:t>
            </w:r>
          </w:p>
        </w:tc>
        <w:tc>
          <w:tcPr>
            <w:tcW w:type="dxa" w:w="4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ID del producto que se está editando en el modal</w:t>
            </w:r>
          </w:p>
        </w:tc>
      </w:tr>
      <w:tr>
        <w:tc>
          <w:tcPr>
            <w:tcW w:type="dxa" w:w="24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ventaNum</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555555"/>
                <w:sz w:val="20"/>
                <w:szCs w:val="20"/>
              </w:rPr>
              <w:t xml:space="preserve">Number</w:t>
            </w:r>
          </w:p>
        </w:tc>
        <w:tc>
          <w:tcPr>
            <w:tcW w:type="dxa" w:w="4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Contador incremental de número de venta (persiste en localStorage)</w:t>
            </w:r>
          </w:p>
        </w:tc>
      </w:tr>
      <w:tr>
        <w:tc>
          <w:tcPr>
            <w:tcW w:type="dxa" w:w="24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SHEET_URL</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555555"/>
                <w:sz w:val="20"/>
                <w:szCs w:val="20"/>
              </w:rPr>
              <w:t xml:space="preserve">String</w:t>
            </w:r>
          </w:p>
        </w:tc>
        <w:tc>
          <w:tcPr>
            <w:tcW w:type="dxa" w:w="4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URL del Google Apps Script para sincronización</w:t>
            </w:r>
          </w:p>
        </w:tc>
      </w:tr>
      <w:tr>
        <w:tc>
          <w:tcPr>
            <w:tcW w:type="dxa" w:w="24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presupuesto</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555555"/>
                <w:sz w:val="20"/>
                <w:szCs w:val="20"/>
              </w:rPr>
              <w:t xml:space="preserve">Array</w:t>
            </w:r>
          </w:p>
        </w:tc>
        <w:tc>
          <w:tcPr>
            <w:tcW w:type="dxa" w:w="4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Items del presupuesto activo</w:t>
            </w:r>
          </w:p>
        </w:tc>
      </w:tr>
      <w:tr>
        <w:tc>
          <w:tcPr>
            <w:tcW w:type="dxa" w:w="24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histVistaActual</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555555"/>
                <w:sz w:val="20"/>
                <w:szCs w:val="20"/>
              </w:rPr>
              <w:t xml:space="preserve">String</w:t>
            </w:r>
          </w:p>
        </w:tc>
        <w:tc>
          <w:tcPr>
            <w:tcW w:type="dxa" w:w="4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Vista del historial: 'lista' o 'dias'</w:t>
            </w:r>
          </w:p>
        </w:tc>
      </w:tr>
      <w:tr>
        <w:tc>
          <w:tcPr>
            <w:tcW w:type="dxa" w:w="24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periodoActual</w:t>
            </w:r>
          </w:p>
        </w:tc>
        <w:tc>
          <w:tcPr>
            <w:tcW w:type="dxa" w:w="24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color w:val="555555"/>
                <w:sz w:val="20"/>
                <w:szCs w:val="20"/>
              </w:rPr>
              <w:t xml:space="preserve">String</w:t>
            </w:r>
          </w:p>
        </w:tc>
        <w:tc>
          <w:tcPr>
            <w:tcW w:type="dxa" w:w="45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Período del reporte: 'hoy', 'semana', 'mes'</w:t>
            </w:r>
          </w:p>
        </w:tc>
      </w:tr>
    </w:tbl>
    <w:p>
      <w:r>
        <w:br w:type="page"/>
      </w:r>
    </w:p>
    <w:p>
      <w:pPr>
        <w:pStyle w:val="Heading1"/>
        <w:spacing w:after="180" w:before="360"/>
      </w:pPr>
      <w:r>
        <w:rPr>
          <w:rFonts w:ascii="Arial" w:cs="Arial" w:eastAsia="Arial" w:hAnsi="Arial"/>
          <w:b/>
          <w:bCs/>
          <w:sz w:val="32"/>
          <w:szCs w:val="32"/>
        </w:rPr>
        <w:t xml:space="preserve">3. Módulos y Funcionalidades</w:t>
      </w:r>
    </w:p>
    <w:p>
      <w:pPr>
        <w:pStyle w:val="Heading2"/>
        <w:spacing w:after="120" w:before="280"/>
      </w:pPr>
      <w:r>
        <w:rPr>
          <w:rFonts w:ascii="Arial" w:cs="Arial" w:eastAsia="Arial" w:hAnsi="Arial"/>
          <w:b/>
          <w:bCs/>
          <w:color w:val="1E5AA8"/>
          <w:sz w:val="26"/>
          <w:szCs w:val="26"/>
        </w:rPr>
        <w:t xml:space="preserve">3.1 Módulo Caja (Punto de Venta)</w:t>
      </w:r>
    </w:p>
    <w:p>
      <w:pPr>
        <w:spacing w:after="60" w:before="60"/>
      </w:pPr>
      <w:r>
        <w:rPr>
          <w:rFonts w:ascii="Arial" w:cs="Arial" w:eastAsia="Arial" w:hAnsi="Arial"/>
          <w:sz w:val="22"/>
          <w:szCs w:val="22"/>
        </w:rPr>
        <w:t xml:space="preserve">Es la pantalla principal de la aplicación. Permite agregar productos al carrito mediante scanner de código de barras o búsqueda por nombre, gestionar cantidades, calcular el total, recibir el pago y emitir un ticket.</w:t>
      </w:r>
    </w:p>
    <w:p>
      <w:pPr>
        <w:spacing w:after="100"/>
      </w:pPr>
    </w:p>
    <w:p>
      <w:pPr>
        <w:spacing w:after="80" w:before="200"/>
      </w:pPr>
      <w:r>
        <w:rPr>
          <w:rFonts w:ascii="Arial" w:cs="Arial" w:eastAsia="Arial" w:hAnsi="Arial"/>
          <w:b/>
          <w:bCs/>
          <w:color w:val="333333"/>
          <w:sz w:val="24"/>
          <w:szCs w:val="24"/>
        </w:rPr>
        <w:t xml:space="preserve">Flujo completo de una venta:</w:t>
      </w:r>
    </w:p>
    <w:p>
      <w:pPr>
        <w:pStyle w:val="ListParagraph"/>
        <w:numPr>
          <w:ilvl w:val="0"/>
          <w:numId w:val="2"/>
        </w:numPr>
        <w:spacing w:after="40" w:before="40"/>
      </w:pPr>
      <w:r>
        <w:rPr>
          <w:rFonts w:ascii="Arial" w:cs="Arial" w:eastAsia="Arial" w:hAnsi="Arial"/>
          <w:sz w:val="22"/>
          <w:szCs w:val="22"/>
        </w:rPr>
        <w:t xml:space="preserve">El operador escanea el código de barras en el input de scanner, o busca por nombre en el campo de búsqueda.</w:t>
      </w:r>
    </w:p>
    <w:p>
      <w:pPr>
        <w:pStyle w:val="ListParagraph"/>
        <w:numPr>
          <w:ilvl w:val="0"/>
          <w:numId w:val="2"/>
        </w:numPr>
        <w:spacing w:after="40" w:before="40"/>
      </w:pPr>
      <w:r>
        <w:rPr>
          <w:rFonts w:ascii="Arial" w:cs="Arial" w:eastAsia="Arial" w:hAnsi="Arial"/>
          <w:sz w:val="22"/>
          <w:szCs w:val="22"/>
        </w:rPr>
        <w:t xml:space="preserve">Al encontrar el producto, se agrega al array carro[] y se re-renderiza la lista.</w:t>
      </w:r>
    </w:p>
    <w:p>
      <w:pPr>
        <w:pStyle w:val="ListParagraph"/>
        <w:numPr>
          <w:ilvl w:val="0"/>
          <w:numId w:val="2"/>
        </w:numPr>
        <w:spacing w:after="40" w:before="40"/>
      </w:pPr>
      <w:r>
        <w:rPr>
          <w:rFonts w:ascii="Arial" w:cs="Arial" w:eastAsia="Arial" w:hAnsi="Arial"/>
          <w:sz w:val="22"/>
          <w:szCs w:val="22"/>
        </w:rPr>
        <w:t xml:space="preserve">El sistema verifica que haya stock disponible antes de agregar. Si el producto no tiene stock en negocio pero tiene en depósito, muestra una advertencia.</w:t>
      </w:r>
    </w:p>
    <w:p>
      <w:pPr>
        <w:pStyle w:val="ListParagraph"/>
        <w:numPr>
          <w:ilvl w:val="0"/>
          <w:numId w:val="2"/>
        </w:numPr>
        <w:spacing w:after="40" w:before="40"/>
      </w:pPr>
      <w:r>
        <w:rPr>
          <w:rFonts w:ascii="Arial" w:cs="Arial" w:eastAsia="Arial" w:hAnsi="Arial"/>
          <w:sz w:val="22"/>
          <w:szCs w:val="22"/>
        </w:rPr>
        <w:t xml:space="preserve">El operador ingresa el monto recibido en el campo de efectivo. Se calcula el vuelto en tiempo real.</w:t>
      </w:r>
    </w:p>
    <w:p>
      <w:pPr>
        <w:pStyle w:val="ListParagraph"/>
        <w:numPr>
          <w:ilvl w:val="0"/>
          <w:numId w:val="2"/>
        </w:numPr>
        <w:spacing w:after="40" w:before="40"/>
      </w:pPr>
      <w:r>
        <w:rPr>
          <w:rFonts w:ascii="Arial" w:cs="Arial" w:eastAsia="Arial" w:hAnsi="Arial"/>
          <w:sz w:val="22"/>
          <w:szCs w:val="22"/>
        </w:rPr>
        <w:t xml:space="preserve">Al presionar COBRAR, se ejecuta la función cobrar() que descuenta stock, guarda la venta, muestra el ticket y sincroniza con Sheets.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FUNCIÓN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escanear()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Lee el valor del input scanner y busca el producto por código o ID</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buscarEnCaja()</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Filtra productos por nombre/categoría/marca y muestra sugerencias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elegirSug(id)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Agrega un producto desde la lista de sugerencias al carrito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agregarAlCarro(prod)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Valida stock y agrega/incrementa el producto en carro[]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renderCarro()</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Re-dibuja la lista de items del carrito en el DOM</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cambiarCant(i, 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Incrementa (+1) o decrementa (-1) la cantidad de un item</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quitarItem(i)</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Elimina un item del carrito por su índice</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vaciarCarro()</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Vacía completamente el carrito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actualizarTotales()</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Recalcula subtotal y total del carrito y actualiza el DOM</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calcVuelto()</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Calcula y muestra el vuelto según el monto ingresado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cobrar()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Ejecuta la venta: descuenta stock, guarda historial, muestra ticket</w:t>
            </w:r>
          </w:p>
        </w:tc>
      </w:tr>
    </w:tbl>
    <w:p>
      <w:pPr>
        <w:spacing w:after="200"/>
      </w:pPr>
    </w:p>
    <w:p>
      <w:pPr>
        <w:pStyle w:val="Heading2"/>
        <w:spacing w:after="120" w:before="280"/>
      </w:pPr>
      <w:r>
        <w:rPr>
          <w:rFonts w:ascii="Arial" w:cs="Arial" w:eastAsia="Arial" w:hAnsi="Arial"/>
          <w:b/>
          <w:bCs/>
          <w:color w:val="1E5AA8"/>
          <w:sz w:val="26"/>
          <w:szCs w:val="26"/>
        </w:rPr>
        <w:t xml:space="preserve">3.2 Módulo Tickets — Descripción Detallada y Diagnóstico de Errores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F3CD"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  SECCIÓN DE INTERÉS — BUG REPORTADO</w:t>
            </w:r>
          </w:p>
          <w:p>
            <w:pPr>
              <w:spacing w:after="0"/>
            </w:pPr>
            <w:r>
              <w:rPr>
                <w:rFonts w:ascii="Arial" w:cs="Arial" w:eastAsia="Arial" w:hAnsi="Arial"/>
                <w:sz w:val="20"/>
                <w:szCs w:val="20"/>
              </w:rPr>
              <w:t xml:space="preserve">El usuario reportó que la parte de tickets está fallando. Esta sección describe en detalle cómo funciona el sistema de tickets, las causas más probables de fallas y las soluciones recomendadas.</w:t>
            </w:r>
          </w:p>
        </w:tc>
      </w:tr>
    </w:tbl>
    <w:p>
      <w:pPr>
        <w:spacing w:after="120"/>
      </w:pPr>
    </w:p>
    <w:p>
      <w:pPr>
        <w:spacing w:after="80" w:before="200"/>
      </w:pPr>
      <w:r>
        <w:rPr>
          <w:rFonts w:ascii="Arial" w:cs="Arial" w:eastAsia="Arial" w:hAnsi="Arial"/>
          <w:b/>
          <w:bCs/>
          <w:color w:val="333333"/>
          <w:sz w:val="24"/>
          <w:szCs w:val="24"/>
        </w:rPr>
        <w:t xml:space="preserve">¿Qué es un ticket?</w:t>
      </w:r>
    </w:p>
    <w:p>
      <w:pPr>
        <w:spacing w:after="60" w:before="60"/>
      </w:pPr>
      <w:r>
        <w:rPr>
          <w:rFonts w:ascii="Arial" w:cs="Arial" w:eastAsia="Arial" w:hAnsi="Arial"/>
          <w:sz w:val="22"/>
          <w:szCs w:val="22"/>
        </w:rPr>
        <w:t xml:space="preserve">El ticket es un comprobante visual que se muestra después de cada venta. Es un div HTML con clase .ticket que simula el formato de una boleta de impresora térmica (72mm). Se muestra en una capa overlay con fondo oscuro sobre toda la pantalla.</w:t>
      </w:r>
    </w:p>
    <w:p>
      <w:pPr>
        <w:spacing w:after="100"/>
      </w:pPr>
    </w:p>
    <w:p>
      <w:pPr>
        <w:spacing w:after="80" w:before="200"/>
      </w:pPr>
      <w:r>
        <w:rPr>
          <w:rFonts w:ascii="Arial" w:cs="Arial" w:eastAsia="Arial" w:hAnsi="Arial"/>
          <w:b/>
          <w:bCs/>
          <w:color w:val="333333"/>
          <w:sz w:val="24"/>
          <w:szCs w:val="24"/>
        </w:rPr>
        <w:t xml:space="preserve">Cómo se genera el ticket (función mostrarTicket):</w:t>
      </w:r>
    </w:p>
    <w:p>
      <w:pPr>
        <w:spacing w:after="60" w:before="60"/>
      </w:pPr>
      <w:r>
        <w:rPr>
          <w:rFonts w:ascii="Arial" w:cs="Arial" w:eastAsia="Arial" w:hAnsi="Arial"/>
          <w:sz w:val="22"/>
          <w:szCs w:val="22"/>
        </w:rPr>
        <w:t xml:space="preserve">La función mostrarTicket(v) recibe el objeto de venta v y construye el HTML interno del div#ticket-html. El objeto de venta tiene esta 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220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496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id</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sz w:val="20"/>
                <w:szCs w:val="20"/>
              </w:rPr>
              <w:t xml:space="preserve">Number</w:t>
            </w:r>
          </w:p>
        </w:tc>
        <w:tc>
          <w:tcPr>
            <w:tcW w:type="dxa" w:w="4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Número de venta (se incrementa con cada cobro)</w:t>
            </w:r>
          </w:p>
        </w:tc>
      </w:tr>
      <w:tr>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date</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sz w:val="20"/>
                <w:szCs w:val="20"/>
              </w:rPr>
              <w:t xml:space="preserve">String</w:t>
            </w:r>
          </w:p>
        </w:tc>
        <w:tc>
          <w:tcPr>
            <w:tcW w:type="dxa" w:w="4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Fecha y hora en formato local argentino</w:t>
            </w:r>
          </w:p>
        </w:tc>
      </w:tr>
      <w:tr>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items</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sz w:val="20"/>
                <w:szCs w:val="20"/>
              </w:rPr>
              <w:t xml:space="preserve">Array</w:t>
            </w:r>
          </w:p>
        </w:tc>
        <w:tc>
          <w:tcPr>
            <w:tcW w:type="dxa" w:w="4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Lista de items: { name, qty, price } por cada producto</w:t>
            </w:r>
          </w:p>
        </w:tc>
      </w:tr>
      <w:tr>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total</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sz w:val="20"/>
                <w:szCs w:val="20"/>
              </w:rPr>
              <w:t xml:space="preserve">Number</w:t>
            </w:r>
          </w:p>
        </w:tc>
        <w:tc>
          <w:tcPr>
            <w:tcW w:type="dxa" w:w="4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Monto total de la venta</w:t>
            </w:r>
          </w:p>
        </w:tc>
      </w:tr>
      <w:tr>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pago</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sz w:val="20"/>
                <w:szCs w:val="20"/>
              </w:rPr>
              <w:t xml:space="preserve">Number</w:t>
            </w:r>
          </w:p>
        </w:tc>
        <w:tc>
          <w:tcPr>
            <w:tcW w:type="dxa" w:w="4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Efectivo recibido del cliente</w:t>
            </w:r>
          </w:p>
        </w:tc>
      </w:tr>
      <w:tr>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color w:val="AA2222"/>
                <w:sz w:val="18"/>
                <w:szCs w:val="18"/>
              </w:rPr>
              <w:t xml:space="preserve">vuelto</w:t>
            </w:r>
          </w:p>
        </w:tc>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sz w:val="20"/>
                <w:szCs w:val="20"/>
              </w:rPr>
              <w:t xml:space="preserve">Number</w:t>
            </w:r>
          </w:p>
        </w:tc>
        <w:tc>
          <w:tcPr>
            <w:tcW w:type="dxa" w:w="49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Diferencia entre pago y total</w:t>
            </w:r>
          </w:p>
        </w:tc>
      </w:tr>
    </w:tbl>
    <w:p>
      <w:pPr>
        <w:spacing w:after="120"/>
      </w:pPr>
    </w:p>
    <w:p>
      <w:pPr>
        <w:spacing w:after="80" w:before="200"/>
      </w:pPr>
      <w:r>
        <w:rPr>
          <w:rFonts w:ascii="Arial" w:cs="Arial" w:eastAsia="Arial" w:hAnsi="Arial"/>
          <w:b/>
          <w:bCs/>
          <w:color w:val="333333"/>
          <w:sz w:val="24"/>
          <w:szCs w:val="24"/>
        </w:rPr>
        <w:t xml:space="preserve">Causas probables del fallo en tickets: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E8E8"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CAUSA 1 — Imagen del logo en base64 demasiado grande</w:t>
            </w:r>
          </w:p>
          <w:p>
            <w:pPr>
              <w:spacing w:after="0"/>
            </w:pPr>
            <w:r>
              <w:rPr>
                <w:rFonts w:ascii="Arial" w:cs="Arial" w:eastAsia="Arial" w:hAnsi="Arial"/>
                <w:sz w:val="20"/>
                <w:szCs w:val="20"/>
              </w:rPr>
              <w:t xml:space="preserve">El ticket incluye el logo del negocio codificado en base64 directamente en el HTML (más de 200KB de texto). Si el navegador tiene restricciones de memoria o la cadena se corrompe al editarse el archivo, el innerHTML falla silenciosamente. SOLUCIÓN: Verificar que la cadena base64 esté intacta, o reemplazarla por una URL relativa a un archivo de imagen separado.</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E8E8"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CAUSA 2 — El overlay ticket-overlay no existe en el DOM</w:t>
            </w:r>
          </w:p>
          <w:p>
            <w:pPr>
              <w:spacing w:after="0"/>
            </w:pPr>
            <w:r>
              <w:rPr>
                <w:rFonts w:ascii="Arial" w:cs="Arial" w:eastAsia="Arial" w:hAnsi="Arial"/>
                <w:sz w:val="20"/>
                <w:szCs w:val="20"/>
              </w:rPr>
              <w:t xml:space="preserve">La función mostrarTicket() llama a document.getElementById('ticket-overlay'). Si por algún error de HTML el elemento con ese ID no existe o fue renombrado, se produce un error 'Cannot read properties of null'. SOLUCIÓN: Verificar en la consola del navegador (F12) si aparece este error.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E8E8"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CAUSA 3 — La propiedad v.items está vacía o con formato incorrecto</w:t>
            </w:r>
          </w:p>
          <w:p>
            <w:pPr>
              <w:spacing w:after="0"/>
            </w:pPr>
            <w:r>
              <w:rPr>
                <w:rFonts w:ascii="Arial" w:cs="Arial" w:eastAsia="Arial" w:hAnsi="Arial"/>
                <w:sz w:val="20"/>
                <w:szCs w:val="20"/>
              </w:rPr>
              <w:t xml:space="preserve">El objeto venta tiene items con { name, qty, price }. Si la venta viene del historial (cargado desde Sheets), el formato puede variar: a veces es { nombre, qty, precio } en lugar de { name, qty, price }. SOLUCIÓN: En mostrarTicket usar i.name||i.nombre y i.price||i.precio.</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E8E8"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CAUSA 4 — Regla @media print bloquea la visualización</w:t>
            </w:r>
          </w:p>
          <w:p>
            <w:pPr>
              <w:spacing w:after="0"/>
            </w:pPr>
            <w:r>
              <w:rPr>
                <w:rFonts w:ascii="Arial" w:cs="Arial" w:eastAsia="Arial" w:hAnsi="Arial"/>
                <w:sz w:val="20"/>
                <w:szCs w:val="20"/>
              </w:rPr>
              <w:t xml:space="preserve">Los estilos de impresión ocultan todos los elementos excepto .ticket con visibility:hidden. Si hay un conflicto de CSS, el overlay puede quedar invisible en pantalla. SOLUCIÓN: Revisar si los estilos del .ticket-overlay se aplican correctamente fuera del contexto de impresión.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FE8E8"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CAUSA 5 — La función cobrar() vacía el carro antes de mostrar el ticket</w:t>
            </w:r>
          </w:p>
          <w:p>
            <w:pPr>
              <w:spacing w:after="0"/>
            </w:pPr>
            <w:r>
              <w:rPr>
                <w:rFonts w:ascii="Arial" w:cs="Arial" w:eastAsia="Arial" w:hAnsi="Arial"/>
                <w:sz w:val="20"/>
                <w:szCs w:val="20"/>
              </w:rPr>
              <w:t xml:space="preserve">La función ejecuta: mostrarTicket(venta) y luego carro=[]. El objeto venta se construye ANTES de vaciar el carro, por lo que el orden correcto ya está implementado. Sin embargo, si hay una excepción en alguna línea intermedia, el ticket puede no mostrarse. SOLUCIÓN: Envolver la llamada en try/catch.</w:t>
            </w:r>
          </w:p>
        </w:tc>
      </w:tr>
    </w:tbl>
    <w:p>
      <w:pPr>
        <w:spacing w:after="120"/>
      </w:pPr>
    </w:p>
    <w:p>
      <w:pPr>
        <w:spacing w:after="80" w:before="200"/>
      </w:pPr>
      <w:r>
        <w:rPr>
          <w:rFonts w:ascii="Arial" w:cs="Arial" w:eastAsia="Arial" w:hAnsi="Arial"/>
          <w:b/>
          <w:bCs/>
          <w:color w:val="333333"/>
          <w:sz w:val="24"/>
          <w:szCs w:val="24"/>
        </w:rPr>
        <w:t xml:space="preserve">Secuencia correcta del flujo cobrar() → mostrarTicket():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PASO</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1</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Validar que pago &gt;= total. Si no, mostrar error y retornar.</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2</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Descontar stock de productos[] en memoria.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3</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Crear objeto venta con id, date, items (copia del carro), total, pago, vuelto.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4</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Guardar ventaNum en localStorage.</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5</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Agregar venta al inicio del array historial[].</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6</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Guardar historial actualizado en localStorage.</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7</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Guardar copia de itemsVendidos (para alerta de stock).</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8</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Llamar mostrarTicket(venta) — AQUÍ SE MUESTRA EL TICKET.</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9</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Llamar guardarVenta(venta) — sincroniza con Sheets.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10</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Llamar programarSync() — sincroniza inventario con Sheets.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11</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Vaciar carro[], limpiar input de pago.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12</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Llamar mostrarAlertaStock(itemsVendidos) — alerta si stock bajo.</w:t>
            </w:r>
          </w:p>
        </w:tc>
      </w:tr>
    </w:tbl>
    <w:p>
      <w:pPr>
        <w:spacing w:after="120"/>
      </w:pPr>
    </w:p>
    <w:p>
      <w:pPr>
        <w:spacing w:after="80" w:before="200"/>
      </w:pPr>
      <w:r>
        <w:rPr>
          <w:rFonts w:ascii="Arial" w:cs="Arial" w:eastAsia="Arial" w:hAnsi="Arial"/>
          <w:b/>
          <w:bCs/>
          <w:color w:val="333333"/>
          <w:sz w:val="24"/>
          <w:szCs w:val="24"/>
        </w:rPr>
        <w:t xml:space="preserve">Corrección recomendada de mostrarTicket():</w:t>
      </w:r>
    </w:p>
    <w:p>
      <w:pPr>
        <w:spacing w:after="60" w:before="60"/>
      </w:pPr>
      <w:r>
        <w:rPr>
          <w:rFonts w:ascii="Arial" w:cs="Arial" w:eastAsia="Arial" w:hAnsi="Arial"/>
          <w:sz w:val="22"/>
          <w:szCs w:val="22"/>
        </w:rPr>
        <w:t xml:space="preserve">Para hacer la función más robusta ante distintos formatos de datos, se recomienda cambiar la línea que mapea los items del ticket: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5F5F5"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Código actual (puede fallar si i.name o i.price son undefined):</w:t>
            </w:r>
          </w:p>
          <w:p>
            <w:pPr>
              <w:spacing w:after="0"/>
            </w:pPr>
            <w:r>
              <w:rPr>
                <w:rFonts w:ascii="Arial" w:cs="Arial" w:eastAsia="Arial" w:hAnsi="Arial"/>
                <w:sz w:val="20"/>
                <w:szCs w:val="20"/>
              </w:rPr>
              <w:t xml:space="preserve">v.items.map(function(i){ return '&lt;span&gt;' + i.qty + 'x ' + i.name + '&lt;/span&gt;' + '$' + (i.qty * i.price).toFixed(2) })</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E8F4E8"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Código corregido (maneja ambos formatos de datos):</w:t>
            </w:r>
          </w:p>
          <w:p>
            <w:pPr>
              <w:spacing w:after="0"/>
            </w:pPr>
            <w:r>
              <w:rPr>
                <w:rFonts w:ascii="Arial" w:cs="Arial" w:eastAsia="Arial" w:hAnsi="Arial"/>
                <w:sz w:val="20"/>
                <w:szCs w:val="20"/>
              </w:rPr>
              <w:t xml:space="preserve">v.items.map(function(i){ var nombre = i.name || i.nombre || 'Producto'; var precio = i.price || i.precio || 0; return '&lt;span&gt;' + i.qty + 'x ' + nombre + '&lt;/span&gt;' + '$' + (i.qty * precio).toFixed(2) })</w:t>
            </w:r>
          </w:p>
        </w:tc>
      </w:tr>
    </w:tbl>
    <w:p>
      <w:pPr>
        <w:spacing w:after="120"/>
      </w:pPr>
    </w:p>
    <w:p>
      <w:pPr>
        <w:spacing w:after="80" w:before="200"/>
      </w:pPr>
      <w:r>
        <w:rPr>
          <w:rFonts w:ascii="Arial" w:cs="Arial" w:eastAsia="Arial" w:hAnsi="Arial"/>
          <w:b/>
          <w:bCs/>
          <w:color w:val="333333"/>
          <w:sz w:val="24"/>
          <w:szCs w:val="24"/>
        </w:rPr>
        <w:t xml:space="preserve">Funciones del módulo Ticket: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FUNCIÓN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mostrarTicket(v)</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Genera el HTML del ticket con datos de la venta y muestra el overlay</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cerrarTicket()</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Oculta el overlay del ticket (también se activa con la tecla Escape)</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window.print()</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Función nativa del navegador. Imprime solo el contenido .ticket gracias a @media print</w:t>
            </w:r>
          </w:p>
        </w:tc>
      </w:tr>
    </w:tbl>
    <w:p>
      <w:r>
        <w:br w:type="page"/>
      </w:r>
    </w:p>
    <w:p>
      <w:pPr>
        <w:pStyle w:val="Heading2"/>
        <w:spacing w:after="120" w:before="280"/>
      </w:pPr>
      <w:r>
        <w:rPr>
          <w:rFonts w:ascii="Arial" w:cs="Arial" w:eastAsia="Arial" w:hAnsi="Arial"/>
          <w:b/>
          <w:bCs/>
          <w:color w:val="1E5AA8"/>
          <w:sz w:val="26"/>
          <w:szCs w:val="26"/>
        </w:rPr>
        <w:t xml:space="preserve">3.3 Módulo Inventario</w:t>
      </w:r>
    </w:p>
    <w:p>
      <w:pPr>
        <w:spacing w:after="60" w:before="60"/>
      </w:pPr>
      <w:r>
        <w:rPr>
          <w:rFonts w:ascii="Arial" w:cs="Arial" w:eastAsia="Arial" w:hAnsi="Arial"/>
          <w:sz w:val="22"/>
          <w:szCs w:val="22"/>
        </w:rPr>
        <w:t xml:space="preserve">Muestra todos los productos en una grilla de tarjetas. Permite filtrar por texto, categoría y marca. Cada tarjeta muestra precio, stock en negocio, stock en depósito y margen de ganancia.</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FUNCIÓN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renderInv()</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Renderiza la grilla de productos aplicando filtros activos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abrirModal(id?)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Abre el modal de producto. Si recibe ID, carga los datos para edición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cerrarModal()</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Cierra el modal y limpia el estado de edición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guardarProducto()</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Valida campos y crea o actualiza el producto en productos[]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eliminarProducto(id)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Solicita confirmación y elimina el producto del array</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generarId()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Genera un ID autoincrmental en formato REP-000001</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abrirMover(id)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Abre el modal para transferir stock del depósito al negocio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confirmarMover()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Ejecuta la transferencia de stock entre depósito y negocio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marcaAgregar()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Agrega una marca a la lista de modelos compatibles del producto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marcaQuitar(val)</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Quita una marca de la lista de modelos compatibles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abrirAumento()</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Abre el modal de aumento masivo de precios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aplicarAumento()</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Aplica el porcentaje o monto fijo a los productos filtrados</w:t>
            </w:r>
          </w:p>
        </w:tc>
      </w:tr>
    </w:tbl>
    <w:p>
      <w:pPr>
        <w:spacing w:after="200"/>
      </w:pPr>
    </w:p>
    <w:p>
      <w:pPr>
        <w:pStyle w:val="Heading2"/>
        <w:spacing w:after="120" w:before="280"/>
      </w:pPr>
      <w:r>
        <w:rPr>
          <w:rFonts w:ascii="Arial" w:cs="Arial" w:eastAsia="Arial" w:hAnsi="Arial"/>
          <w:b/>
          <w:bCs/>
          <w:color w:val="1E5AA8"/>
          <w:sz w:val="26"/>
          <w:szCs w:val="26"/>
        </w:rPr>
        <w:t xml:space="preserve">3.4 Módulo Historial</w:t>
      </w:r>
    </w:p>
    <w:p>
      <w:pPr>
        <w:spacing w:after="60" w:before="60"/>
      </w:pPr>
      <w:r>
        <w:rPr>
          <w:rFonts w:ascii="Arial" w:cs="Arial" w:eastAsia="Arial" w:hAnsi="Arial"/>
          <w:sz w:val="22"/>
          <w:szCs w:val="22"/>
        </w:rPr>
        <w:t xml:space="preserve">Muestra las ventas realizadas en orden cronológico inverso. Permite buscar por monto, producto o número de comprobante. Soporta dos vistas: lista de ventas individuales y resumen agrupado por día. Permite anular ventas (devuelve el stock).</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FUNCIÓN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renderHistorial()</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Renderiza la lista de ventas con filtros y vista activa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histVista(v)</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Cambia entre vista 'lista' y vista 'dias'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verDetalleVenta(id)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Abre el modal de detalle con items y monto de una venta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cerrarDetalleVenta()</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Cierra el modal de detalle</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anularVenta(id)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Anula una venta: devuelve stock y marca como anulada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tablaVentasPorDia()</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Genera HTML de tabla con ventas agrupadas por fecha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parseFecha(str)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Convierte strings de fecha en objetos Date (soporta formato AR e ISO)</w:t>
            </w:r>
          </w:p>
        </w:tc>
      </w:tr>
    </w:tbl>
    <w:p>
      <w:pPr>
        <w:spacing w:after="200"/>
      </w:pPr>
    </w:p>
    <w:p>
      <w:pPr>
        <w:pStyle w:val="Heading2"/>
        <w:spacing w:after="120" w:before="280"/>
      </w:pPr>
      <w:r>
        <w:rPr>
          <w:rFonts w:ascii="Arial" w:cs="Arial" w:eastAsia="Arial" w:hAnsi="Arial"/>
          <w:b/>
          <w:bCs/>
          <w:color w:val="1E5AA8"/>
          <w:sz w:val="26"/>
          <w:szCs w:val="26"/>
        </w:rPr>
        <w:t xml:space="preserve">3.5 Módulo Reportes</w:t>
      </w:r>
    </w:p>
    <w:p>
      <w:pPr>
        <w:spacing w:after="60" w:before="60"/>
      </w:pPr>
      <w:r>
        <w:rPr>
          <w:rFonts w:ascii="Arial" w:cs="Arial" w:eastAsia="Arial" w:hAnsi="Arial"/>
          <w:sz w:val="22"/>
          <w:szCs w:val="22"/>
        </w:rPr>
        <w:t xml:space="preserve">Muestra estadísticas de ventas para tres períodos: Hoy, Esta semana y Este mes. Incluye ingresos totales, cantidad de ventas, unidades vendidas, ticket promedio, gráfico de barras SVG y ranking de productos más vendidos.</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FUNCIÓN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verReporte(periodo)</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Cambia el período activo y llama a renderReportes()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renderReportes()</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Calcula y renderiza todas las métricas del período seleccionado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filtrarPeriodo(ventas, p)</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Filtra el array de ventas según el período: hoy/semana/mes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graficoBarras(ventas, p)</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Genera un SVG con barras de ingresos por día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abrirCierreCaja()</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Abre el modal de cierre de caja con resumen del día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calcDiferencia()</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Calcula la diferencia entre efectivo contado y esperado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imprimirCierre()</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Abre una ventana nueva con el resumen de cierre para imprimir</w:t>
            </w:r>
          </w:p>
        </w:tc>
      </w:tr>
    </w:tbl>
    <w:p>
      <w:pPr>
        <w:spacing w:after="200"/>
      </w:pPr>
    </w:p>
    <w:p>
      <w:pPr>
        <w:pStyle w:val="Heading2"/>
        <w:spacing w:after="120" w:before="280"/>
      </w:pPr>
      <w:r>
        <w:rPr>
          <w:rFonts w:ascii="Arial" w:cs="Arial" w:eastAsia="Arial" w:hAnsi="Arial"/>
          <w:b/>
          <w:bCs/>
          <w:color w:val="1E5AA8"/>
          <w:sz w:val="26"/>
          <w:szCs w:val="26"/>
        </w:rPr>
        <w:t xml:space="preserve">3.6 Módulo Presupuesto</w:t>
      </w:r>
    </w:p>
    <w:p>
      <w:pPr>
        <w:spacing w:after="60" w:before="60"/>
      </w:pPr>
      <w:r>
        <w:rPr>
          <w:rFonts w:ascii="Arial" w:cs="Arial" w:eastAsia="Arial" w:hAnsi="Arial"/>
          <w:sz w:val="22"/>
          <w:szCs w:val="22"/>
        </w:rPr>
        <w:t xml:space="preserve">Permite crear presupuestos para clientes. Funciona de manera similar a la Caja, pero sin descontar stock ni registrar venta. Permite aplicar un descuento porcentual y genera un documento imprimible en una nueva ventana del navegador.</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FUNCIÓN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presEscanear()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Lee el código del input y agrega el producto al presupuesto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presBuscar()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Filtra productos y muestra sugerencias en el presupuesto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presAgregar(prod)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Agrega o incrementa un producto en el array presupuesto[]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presRenderRows()</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Re-dibuja la lista de items del presupuesto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presCalcTotal()</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Calcula subtotal, descuento y total del presupuesto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presGenerar()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Genera e imprime el presupuesto en una nueva ventana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presVaciar()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Vacía el presupuesto y limpia el descuento</w:t>
            </w:r>
          </w:p>
        </w:tc>
      </w:tr>
    </w:tbl>
    <w:p>
      <w:r>
        <w:br w:type="page"/>
      </w:r>
    </w:p>
    <w:p>
      <w:pPr>
        <w:pStyle w:val="Heading1"/>
        <w:spacing w:after="180" w:before="360"/>
      </w:pPr>
      <w:r>
        <w:rPr>
          <w:rFonts w:ascii="Arial" w:cs="Arial" w:eastAsia="Arial" w:hAnsi="Arial"/>
          <w:b/>
          <w:bCs/>
          <w:sz w:val="32"/>
          <w:szCs w:val="32"/>
        </w:rPr>
        <w:t xml:space="preserve">4. Integración con Google Sheets</w:t>
      </w:r>
    </w:p>
    <w:p>
      <w:pPr>
        <w:spacing w:after="60" w:before="60"/>
      </w:pPr>
      <w:r>
        <w:rPr>
          <w:rFonts w:ascii="Arial" w:cs="Arial" w:eastAsia="Arial" w:hAnsi="Arial"/>
          <w:sz w:val="22"/>
          <w:szCs w:val="22"/>
        </w:rPr>
        <w:t xml:space="preserve">La aplicación sincroniza datos con Google Sheets mediante un Google Apps Script publicado como servicio web. La URL del script está almacenada en la variable SHEET_URL al inicio del JavaScript.</w:t>
      </w:r>
    </w:p>
    <w:p>
      <w:pPr>
        <w:spacing w:after="120"/>
      </w:pPr>
    </w:p>
    <w:p>
      <w:pPr>
        <w:pStyle w:val="Heading2"/>
        <w:spacing w:after="120" w:before="280"/>
      </w:pPr>
      <w:r>
        <w:rPr>
          <w:rFonts w:ascii="Arial" w:cs="Arial" w:eastAsia="Arial" w:hAnsi="Arial"/>
          <w:b/>
          <w:bCs/>
          <w:color w:val="1E5AA8"/>
          <w:sz w:val="26"/>
          <w:szCs w:val="26"/>
        </w:rPr>
        <w:t xml:space="preserve">Funciones de sincronización: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FUNCIÓN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sheetsGet(action, cb)</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GET request al script. Acciones: getProducts, getSales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sheetsPost(data, cb)</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POST request. Acciones: syncProducts, saveSale</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programarSync()</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Debounce de 1 segundo antes de sincronizar productos (evita múltiples llamadas)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guardarVenta(venta)</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Envía una venta al script para guardarla en Sheets</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cargarDeSheets()</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Carga productos e historial desde Sheets al iniciar la app</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setSync(state, txt)</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Actualiza el indicador visual de sincronización (ok/syncing/error)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E8F4FD" w:val="clear"/>
            <w:tcMar>
              <w:top w:type="dxa" w:w="120"/>
              <w:left w:type="dxa" w:w="200"/>
              <w:bottom w:type="dxa" w:w="120"/>
              <w:right w:type="dxa" w:w="200"/>
            </w:tcMar>
          </w:tcPr>
          <w:p>
            <w:pPr>
              <w:spacing w:after="60"/>
            </w:pPr>
            <w:r>
              <w:rPr>
                <w:rFonts w:ascii="Arial" w:cs="Arial" w:eastAsia="Arial" w:hAnsi="Arial"/>
                <w:b/>
                <w:bCs/>
                <w:color w:val="1E5AA8"/>
                <w:sz w:val="20"/>
                <w:szCs w:val="20"/>
              </w:rPr>
              <w:t xml:space="preserve">Comportamiento sin conexión</w:t>
            </w:r>
          </w:p>
          <w:p>
            <w:pPr>
              <w:spacing w:after="0"/>
            </w:pPr>
            <w:r>
              <w:rPr>
                <w:rFonts w:ascii="Arial" w:cs="Arial" w:eastAsia="Arial" w:hAnsi="Arial"/>
                <w:sz w:val="20"/>
                <w:szCs w:val="20"/>
              </w:rPr>
              <w:t xml:space="preserve">La aplicación funciona completamente offline usando los datos en localStorage como caché. Al recuperar la conexión, sincroniza automáticamente en el próximo evento que dispara programarSync(). El indicador visual en la barra superior muestra el estado de conexión.</w:t>
            </w:r>
          </w:p>
        </w:tc>
      </w:tr>
    </w:tbl>
    <w:p>
      <w:r>
        <w:br w:type="page"/>
      </w:r>
    </w:p>
    <w:p>
      <w:pPr>
        <w:pStyle w:val="Heading1"/>
        <w:spacing w:after="180" w:before="360"/>
      </w:pPr>
      <w:r>
        <w:rPr>
          <w:rFonts w:ascii="Arial" w:cs="Arial" w:eastAsia="Arial" w:hAnsi="Arial"/>
          <w:b/>
          <w:bCs/>
          <w:sz w:val="32"/>
          <w:szCs w:val="32"/>
        </w:rPr>
        <w:t xml:space="preserve">5. Almacenamiento Local (LocalStorage)</w:t>
      </w:r>
    </w:p>
    <w:p>
      <w:pPr>
        <w:spacing w:after="60" w:before="60"/>
      </w:pPr>
      <w:r>
        <w:rPr>
          <w:rFonts w:ascii="Arial" w:cs="Arial" w:eastAsia="Arial" w:hAnsi="Arial"/>
          <w:sz w:val="22"/>
          <w:szCs w:val="22"/>
        </w:rPr>
        <w:t xml:space="preserve">La aplicación usa localStorage como base de datos local. Todos los cambios se guardan instantáneamente en el navegador y se sincronizan con Sheets en segundo plano.</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CLAVE</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CONTENIDO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rpos_cache_prod</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JSON con array completo de productos (caché del inventario)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rpos_cache_hist</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JSON con array de ventas (caché del historial)</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rpos_vnum</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Número entero: contador del próximo número de venta</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rpos_presnum</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Número entero: contador del próximo número de presupuesto</w:t>
            </w:r>
          </w:p>
        </w:tc>
      </w:tr>
    </w:tbl>
    <w:p>
      <w:r>
        <w:br w:type="page"/>
      </w:r>
    </w:p>
    <w:p>
      <w:pPr>
        <w:pStyle w:val="Heading1"/>
        <w:spacing w:after="180" w:before="360"/>
      </w:pPr>
      <w:r>
        <w:rPr>
          <w:rFonts w:ascii="Arial" w:cs="Arial" w:eastAsia="Arial" w:hAnsi="Arial"/>
          <w:b/>
          <w:bCs/>
          <w:sz w:val="32"/>
          <w:szCs w:val="32"/>
        </w:rPr>
        <w:t xml:space="preserve">6. Guía de Diagnóstico y Solución de Problemas</w:t>
      </w:r>
    </w:p>
    <w:p>
      <w:pPr>
        <w:pStyle w:val="Heading2"/>
        <w:spacing w:after="120" w:before="280"/>
      </w:pPr>
      <w:r>
        <w:rPr>
          <w:rFonts w:ascii="Arial" w:cs="Arial" w:eastAsia="Arial" w:hAnsi="Arial"/>
          <w:b/>
          <w:bCs/>
          <w:color w:val="1E5AA8"/>
          <w:sz w:val="26"/>
          <w:szCs w:val="26"/>
        </w:rPr>
        <w:t xml:space="preserve">Herramientas de diagnóstico</w:t>
      </w:r>
    </w:p>
    <w:p>
      <w:pPr>
        <w:pStyle w:val="ListParagraph"/>
        <w:numPr>
          <w:ilvl w:val="0"/>
          <w:numId w:val="2"/>
        </w:numPr>
        <w:spacing w:after="40" w:before="40"/>
      </w:pPr>
      <w:r>
        <w:rPr>
          <w:rFonts w:ascii="Arial" w:cs="Arial" w:eastAsia="Arial" w:hAnsi="Arial"/>
          <w:sz w:val="22"/>
          <w:szCs w:val="22"/>
        </w:rPr>
        <w:t xml:space="preserve">Abrir la Consola del navegador: F12 → Consola. Buscar mensajes de error en rojo.</w:t>
      </w:r>
    </w:p>
    <w:p>
      <w:pPr>
        <w:pStyle w:val="ListParagraph"/>
        <w:numPr>
          <w:ilvl w:val="0"/>
          <w:numId w:val="2"/>
        </w:numPr>
        <w:spacing w:after="40" w:before="40"/>
      </w:pPr>
      <w:r>
        <w:rPr>
          <w:rFonts w:ascii="Arial" w:cs="Arial" w:eastAsia="Arial" w:hAnsi="Arial"/>
          <w:sz w:val="22"/>
          <w:szCs w:val="22"/>
        </w:rPr>
        <w:t xml:space="preserve">Verificar el estado del indicador de sincronización en la barra superior.</w:t>
      </w:r>
    </w:p>
    <w:p>
      <w:pPr>
        <w:pStyle w:val="ListParagraph"/>
        <w:numPr>
          <w:ilvl w:val="0"/>
          <w:numId w:val="2"/>
        </w:numPr>
        <w:spacing w:after="40" w:before="40"/>
      </w:pPr>
      <w:r>
        <w:rPr>
          <w:rFonts w:ascii="Arial" w:cs="Arial" w:eastAsia="Arial" w:hAnsi="Arial"/>
          <w:sz w:val="22"/>
          <w:szCs w:val="22"/>
        </w:rPr>
        <w:t xml:space="preserve">En la pestaña Application (o Almacenamiento) del DevTools, revisar localStorage.</w:t>
      </w:r>
    </w:p>
    <w:p>
      <w:pPr>
        <w:spacing w:after="120"/>
      </w:pPr>
    </w:p>
    <w:p>
      <w:pPr>
        <w:pStyle w:val="Heading2"/>
        <w:spacing w:after="120" w:before="280"/>
      </w:pPr>
      <w:r>
        <w:rPr>
          <w:rFonts w:ascii="Arial" w:cs="Arial" w:eastAsia="Arial" w:hAnsi="Arial"/>
          <w:b/>
          <w:bCs/>
          <w:color w:val="1E5AA8"/>
          <w:sz w:val="26"/>
          <w:szCs w:val="26"/>
        </w:rPr>
        <w:t xml:space="preserve">Problemas comunes y soluciones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PROBLEMA</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bCs/>
                <w:color w:val="FFFFFF"/>
                <w:sz w:val="20"/>
                <w:szCs w:val="20"/>
              </w:rPr>
              <w:t xml:space="preserve">POSIBLE CAUSA Y SOLUCIÓN</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El ticket no aparece al cobrar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1) Error en la cadena base64 del logo. 2) Error en JavaScript (revisar consola). 3) Problema en la construcción del HTML del ticket. Ver Sección 3.2</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El ticket aparece pero sin items</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El array v.items está vacío o los campos name/price tienen formato incorrecto. Aplicar la corrección recomendada en Sección 3.2</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sincroniza con Sheets</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Verificar conexión a internet. Verificar que la URL del script sea correcta. Revisar si el script de Apps Script está publicado correctamente.</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Productos no se cargan</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El caché localStorage puede estar desactualizado o corrompido. Limpiar localStorage desde DevTools y recargar.</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Stock incorrecto después de anular</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La función anularVenta busca el producto por nombre (i.name || i.nombre). Verificar que el nombre coincida exactamente con el inventario.</w:t>
            </w:r>
          </w:p>
        </w:tc>
      </w:tr>
      <w:tr>
        <w:tc>
          <w:tcPr>
            <w:tcW w:type="dxa" w:w="28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El historial no muestra ventas</w:t>
            </w:r>
          </w:p>
        </w:tc>
        <w:tc>
          <w:tcPr>
            <w:tcW w:type="dxa" w:w="64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val="false"/>
                <w:bCs w:val="false"/>
                <w:color w:val="333333"/>
                <w:sz w:val="20"/>
                <w:szCs w:val="20"/>
              </w:rPr>
              <w:t xml:space="preserve">Las ventas pueden tener un formato de fecha incompatible con parseFecha(). Revisar el formato de fechas en localStorage.</w:t>
            </w:r>
          </w:p>
        </w:tc>
      </w:tr>
    </w:tbl>
    <w:p>
      <w:r>
        <w:br w:type="page"/>
      </w:r>
    </w:p>
    <w:p>
      <w:pPr>
        <w:pStyle w:val="Heading1"/>
        <w:spacing w:after="180" w:before="360"/>
      </w:pPr>
      <w:r>
        <w:rPr>
          <w:rFonts w:ascii="Arial" w:cs="Arial" w:eastAsia="Arial" w:hAnsi="Arial"/>
          <w:b/>
          <w:bCs/>
          <w:sz w:val="32"/>
          <w:szCs w:val="32"/>
        </w:rPr>
        <w:t xml:space="preserve">7. Diseño Responsive y Estilos</w:t>
      </w:r>
    </w:p>
    <w:p>
      <w:pPr>
        <w:spacing w:after="60" w:before="60"/>
      </w:pPr>
      <w:r>
        <w:rPr>
          <w:rFonts w:ascii="Arial" w:cs="Arial" w:eastAsia="Arial" w:hAnsi="Arial"/>
          <w:sz w:val="22"/>
          <w:szCs w:val="22"/>
        </w:rPr>
        <w:t xml:space="preserve">La aplicación tiene estilos adaptados para dispositivos móviles mediante media queries. El breakpoint principal es 700px (móvil) y hay un breakpoint adicional a 400px para pantallas muy pequeñas.</w:t>
      </w:r>
    </w:p>
    <w:p>
      <w:pPr>
        <w:spacing w:after="120"/>
      </w:pPr>
    </w:p>
    <w:p>
      <w:pPr>
        <w:pStyle w:val="Heading2"/>
        <w:spacing w:after="120" w:before="280"/>
      </w:pPr>
      <w:r>
        <w:rPr>
          <w:rFonts w:ascii="Arial" w:cs="Arial" w:eastAsia="Arial" w:hAnsi="Arial"/>
          <w:b/>
          <w:bCs/>
          <w:color w:val="1E5AA8"/>
          <w:sz w:val="26"/>
          <w:szCs w:val="26"/>
        </w:rPr>
        <w:t xml:space="preserve">Variables CSS del tema (dark theme por defecto):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DESCRIPCIÓN / USO"/>
                <w:bCs w:val="DESCRIPCIÓN / USO"/>
                <w:color w:val="FFFFFF"/>
                <w:sz w:val="20"/>
                <w:szCs w:val="20"/>
              </w:rPr>
              <w:t xml:space="preserve">VARIABLE</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DESCRIPCIÓN / USO"/>
                <w:bCs w:val="DESCRIPCIÓN / USO"/>
                <w:color w:val="FFFFFF"/>
                <w:sz w:val="20"/>
                <w:szCs w:val="20"/>
              </w:rPr>
              <w:t xml:space="preserve">VALOR</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Fondo principal de la app"/>
                <w:bCs w:val="Fondo principal de la app"/>
                <w:color w:val="FFFFFF"/>
                <w:sz w:val="20"/>
                <w:szCs w:val="20"/>
              </w:rPr>
              <w:t xml:space="preserve">--bg</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Fondo principal de la app"/>
                <w:bCs w:val="Fondo principal de la app"/>
                <w:color w:val="FFFFFF"/>
                <w:sz w:val="20"/>
                <w:szCs w:val="20"/>
              </w:rPr>
              <w:t xml:space="preserve">#0f0f0f</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Superficie de cards y panels"/>
                <w:bCs w:val="Superficie de cards y panels"/>
                <w:color w:val="FFFFFF"/>
                <w:sz w:val="20"/>
                <w:szCs w:val="20"/>
              </w:rPr>
              <w:t xml:space="preserve">--surface</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Superficie de cards y panels"/>
                <w:bCs w:val="Superficie de cards y panels"/>
                <w:color w:val="FFFFFF"/>
                <w:sz w:val="20"/>
                <w:szCs w:val="20"/>
              </w:rPr>
              <w:t xml:space="preserve">#191919</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Color naranja (botones, precios, highlights)"/>
                <w:bCs w:val="Color naranja (botones, precios, highlights)"/>
                <w:color w:val="FFFFFF"/>
                <w:sz w:val="20"/>
                <w:szCs w:val="20"/>
              </w:rPr>
              <w:t xml:space="preserve">--accent</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Color naranja (botones, precios, highlights)"/>
                <w:bCs w:val="Color naranja (botones, precios, highlights)"/>
                <w:color w:val="FFFFFF"/>
                <w:sz w:val="20"/>
                <w:szCs w:val="20"/>
              </w:rPr>
              <w:t xml:space="preserve">#f97316</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Indicadores de stock disponible"/>
                <w:bCs w:val="Indicadores de stock disponible"/>
                <w:color w:val="FFFFFF"/>
                <w:sz w:val="20"/>
                <w:szCs w:val="20"/>
              </w:rPr>
              <w:t xml:space="preserve">--green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Indicadores de stock disponible"/>
                <w:bCs w:val="Indicadores de stock disponible"/>
                <w:color w:val="FFFFFF"/>
                <w:sz w:val="20"/>
                <w:szCs w:val="20"/>
              </w:rPr>
              <w:t xml:space="preserve">#22c55e</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Alertas, sin stock, botones de eliminar"/>
                <w:bCs w:val="Alertas, sin stock, botones de eliminar"/>
                <w:color w:val="FFFFFF"/>
                <w:sz w:val="20"/>
                <w:szCs w:val="20"/>
              </w:rPr>
              <w:t xml:space="preserve">--danger</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Alertas, sin stock, botones de eliminar"/>
                <w:bCs w:val="Alertas, sin stock, botones de eliminar"/>
                <w:color w:val="FFFFFF"/>
                <w:sz w:val="20"/>
                <w:szCs w:val="20"/>
              </w:rPr>
              <w:t xml:space="preserve">#ef4444</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Stock bajo, vuelto, indicadores de alerta"/>
                <w:bCs w:val="Stock bajo, vuelto, indicadores de alerta"/>
                <w:color w:val="FFFFFF"/>
                <w:sz w:val="20"/>
                <w:szCs w:val="20"/>
              </w:rPr>
              <w:t xml:space="preserve">--warn</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Stock bajo, vuelto, indicadores de alerta"/>
                <w:bCs w:val="Stock bajo, vuelto, indicadores de alerta"/>
                <w:color w:val="FFFFFF"/>
                <w:sz w:val="20"/>
                <w:szCs w:val="20"/>
              </w:rPr>
              <w:t xml:space="preserve">#facc15</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Texto principal"/>
                <w:bCs w:val="Texto principal"/>
                <w:color w:val="FFFFFF"/>
                <w:sz w:val="20"/>
                <w:szCs w:val="20"/>
              </w:rPr>
              <w:t xml:space="preserve">--text</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Texto principal"/>
                <w:bCs w:val="Texto principal"/>
                <w:color w:val="FFFFFF"/>
                <w:sz w:val="20"/>
                <w:szCs w:val="20"/>
              </w:rPr>
              <w:t xml:space="preserve">#f1f1f1</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Texto secundario, labels, IDs"/>
                <w:bCs w:val="Texto secundario, labels, IDs"/>
                <w:color w:val="FFFFFF"/>
                <w:sz w:val="20"/>
                <w:szCs w:val="20"/>
              </w:rPr>
              <w:t xml:space="preserve">--muted</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Texto secundario, labels, IDs"/>
                <w:bCs w:val="Texto secundario, labels, IDs"/>
                <w:color w:val="FFFFFF"/>
                <w:sz w:val="20"/>
                <w:szCs w:val="20"/>
              </w:rPr>
              <w:t xml:space="preserve">#5a5a5a</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Fuente monospace para datos numéricos"/>
                <w:bCs w:val="Fuente monospace para datos numéricos"/>
                <w:color w:val="FFFFFF"/>
                <w:sz w:val="20"/>
                <w:szCs w:val="20"/>
              </w:rPr>
              <w:t xml:space="preserve">--mono</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Fuente monospace para datos numéricos"/>
                <w:bCs w:val="Fuente monospace para datos numéricos"/>
                <w:color w:val="FFFFFF"/>
                <w:sz w:val="20"/>
                <w:szCs w:val="20"/>
              </w:rPr>
              <w:t xml:space="preserve">IBM Plex Mono</w:t>
            </w:r>
          </w:p>
        </w:tc>
      </w:tr>
      <w:tr>
        <w:tc>
          <w:tcPr>
            <w:tcW w:type="dxa" w:w="28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Fuente para texto general"/>
                <w:bCs w:val="Fuente para texto general"/>
                <w:color w:val="FFFFFF"/>
                <w:sz w:val="20"/>
                <w:szCs w:val="20"/>
              </w:rPr>
              <w:t xml:space="preserve">--sans</w:t>
            </w:r>
          </w:p>
        </w:tc>
        <w:tc>
          <w:tcPr>
            <w:tcW w:type="dxa" w:w="6480"/>
            <w:tcBorders>
              <w:top w:val="single" w:color="DDDDDD" w:sz="1"/>
              <w:left w:val="single" w:color="DDDDDD" w:sz="1"/>
              <w:bottom w:val="single" w:color="DDDDDD" w:sz="1"/>
              <w:right w:val="single" w:color="DDDDDD" w:sz="1"/>
            </w:tcBorders>
            <w:shd w:fill="1E5AA8" w:val="clear"/>
            <w:tcMar>
              <w:top w:type="dxa" w:w="80"/>
              <w:left w:type="dxa" w:w="120"/>
              <w:bottom w:type="dxa" w:w="80"/>
              <w:right w:type="dxa" w:w="120"/>
            </w:tcMar>
          </w:tcPr>
          <w:p>
            <w:r>
              <w:rPr>
                <w:rFonts w:ascii="Arial" w:cs="Arial" w:eastAsia="Arial" w:hAnsi="Arial"/>
                <w:b w:val="Fuente para texto general"/>
                <w:bCs w:val="Fuente para texto general"/>
                <w:color w:val="FFFFFF"/>
                <w:sz w:val="20"/>
                <w:szCs w:val="20"/>
              </w:rPr>
              <w:t xml:space="preserve">IBM Plex Sans</w:t>
            </w:r>
          </w:p>
        </w:tc>
      </w:tr>
    </w:tbl>
    <w:p>
      <w:pPr>
        <w:spacing w:after="400"/>
      </w:pPr>
    </w:p>
    <w:p>
      <w:pPr>
        <w:pBdr>
          <w:bottom w:val="single" w:color="CCCCCC" w:sz="4" w:space="1"/>
        </w:pBdr>
        <w:spacing w:after="200" w:before="200"/>
      </w:pPr>
    </w:p>
    <w:p>
      <w:pPr>
        <w:spacing w:before="200"/>
        <w:jc w:val="center"/>
      </w:pPr>
      <w:r>
        <w:rPr>
          <w:rFonts w:ascii="Arial" w:cs="Arial" w:eastAsia="Arial" w:hAnsi="Arial"/>
          <w:color w:val="AAAAAA"/>
          <w:sz w:val="18"/>
          <w:szCs w:val="18"/>
        </w:rPr>
        <w:t xml:space="preserve">RepuestoPOS — Documentación Técnica v6  |  Ruta 38 Repuestos  |  Abril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11111"/>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E5AA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2026-04-14T21:54:49.810Z</dcterms:created>
  <dcterms:modified xsi:type="dcterms:W3CDTF">2026-04-14T21:54:49.812Z</dcterms:modified>
</cp:coreProperties>
</file>

<file path=docProps/custom.xml><?xml version="1.0" encoding="utf-8"?>
<Properties xmlns="http://schemas.openxmlformats.org/officeDocument/2006/custom-properties" xmlns:vt="http://schemas.openxmlformats.org/officeDocument/2006/docPropsVTypes"/>
</file>