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Georgia" w:hAnsi="Georgia"/>
          <w:b/>
          <w:color w:val="1B365D"/>
          <w:sz w:val="34"/>
        </w:rPr>
        <w:t>EDUARDO JOSE MONTEMAYOR</w:t>
      </w:r>
    </w:p>
    <w:p>
      <w:pPr>
        <w:spacing w:after="80"/>
        <w:jc w:val="center"/>
      </w:pPr>
      <w:r>
        <w:rPr>
          <w:rFonts w:ascii="Georgia" w:hAnsi="Georgia"/>
          <w:b/>
          <w:i/>
          <w:color w:val="4A5568"/>
          <w:sz w:val="22"/>
        </w:rPr>
        <w:t>General Manager / Hotel General Manager</w:t>
      </w:r>
    </w:p>
    <w:p>
      <w:pPr>
        <w:spacing w:after="160"/>
        <w:jc w:val="center"/>
      </w:pPr>
      <w:r>
        <w:rPr>
          <w:rFonts w:ascii="Georgia" w:hAnsi="Georgia"/>
          <w:color w:val="555555"/>
          <w:sz w:val="17"/>
        </w:rPr>
        <w:t>52 Ayala Avenue, Urdaneta Village, 1225 Makati City, Philippines  •  +63 917 119 4820</w:t>
        <w:br/>
        <w:t>eduardo.montemayor.gm@outlook.ph  •  linkedin.com/in/eduardo-montemayor-gm</w:t>
      </w:r>
    </w:p>
    <w:p>
      <w:pPr>
        <w:spacing w:before="160" w:after="60"/>
        <w:pBdr>
          <w:bottom w:val="single" w:sz="8" w:space="2" w:color="1B365D"/>
        </w:pBdr>
      </w:pPr>
      <w:r>
        <w:rPr>
          <w:rFonts w:ascii="Georgia" w:hAnsi="Georgia"/>
          <w:b/>
          <w:color w:val="1B365D"/>
          <w:sz w:val="21"/>
        </w:rPr>
        <w:t>PROFESSIONAL SUMMARY</w:t>
      </w:r>
    </w:p>
    <w:p>
      <w:pPr>
        <w:spacing w:after="120"/>
      </w:pPr>
      <w:r>
        <w:rPr>
          <w:rFonts w:ascii="Georgia" w:hAnsi="Georgia"/>
          <w:sz w:val="18"/>
        </w:rPr>
        <w:t>Visionary, high-impact Hotel General Manager with 12+ years of comprehensive executive leadership across rooms division, food &amp; beverage, and hotel finance in premier business hotels. Proven success in driving RevPAR growth, executing multi-million peso operational budgets, enforcing strict regulatory and Food Handler compliance, and mentoring executive committees. Renowned for championing genuine Filipino hospitality while optimizing bottom-line GOP margins.</w:t>
      </w:r>
    </w:p>
    <w:p>
      <w:pPr>
        <w:spacing w:before="160" w:after="60"/>
        <w:pBdr>
          <w:bottom w:val="single" w:sz="8" w:space="2" w:color="1B365D"/>
        </w:pBdr>
      </w:pPr>
      <w:r>
        <w:rPr>
          <w:rFonts w:ascii="Georgia" w:hAnsi="Georgia"/>
          <w:b/>
          <w:color w:val="1B365D"/>
          <w:sz w:val="21"/>
        </w:rPr>
        <w:t>CORE COMPETENCIES &amp; 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Full-Scope Hotel General Management &amp; Executive Committee Leadership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Cross-Department Operational Alignment (Rooms, F&amp;B, Engineering, HR)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Profit &amp; Loss (P&amp;L) Oversight, Annual CapEx/OpEx Budgeting &amp; GOP Optimization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Executive Guest Escalation Resolution &amp; VIP Stakeholder Relations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Hotel Revenue Management, RevPAR Growth Strategy &amp; Yield Maximization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Workforce Talent Development, Succession Planning &amp; Service Culture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Regulatory Safety Compliance, Fire Safety Codes &amp; Food Safety Sanitation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Hotel Property Management Systems &amp; Advanced Hospitality Analytics</w:t>
            </w:r>
          </w:p>
        </w:tc>
      </w:tr>
    </w:tbl>
    <w:p>
      <w:pPr>
        <w:spacing w:before="160" w:after="60"/>
        <w:pBdr>
          <w:bottom w:val="single" w:sz="8" w:space="2" w:color="1B365D"/>
        </w:pBdr>
      </w:pPr>
      <w:r>
        <w:rPr>
          <w:rFonts w:ascii="Georgia" w:hAnsi="Georgia"/>
          <w:b/>
          <w:color w:val="1B365D"/>
          <w:sz w:val="21"/>
        </w:rPr>
        <w:t>WORK EXPERIENCE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912"/>
          </w:tcPr>
          <w:p>
            <w:pPr>
              <w:spacing w:after="0" w:before="80"/>
            </w:pPr>
            <w:r>
              <w:rPr>
                <w:rFonts w:ascii="Georgia" w:hAnsi="Georgia"/>
                <w:b/>
                <w:color w:val="1B365D"/>
                <w:sz w:val="19"/>
              </w:rPr>
              <w:t>Somerset Millennium Makati</w:t>
            </w:r>
          </w:p>
        </w:tc>
        <w:tc>
          <w:tcPr>
            <w:tcW w:type="dxa" w:w="3168"/>
          </w:tcPr>
          <w:p>
            <w:pPr>
              <w:spacing w:after="0" w:before="80"/>
              <w:jc w:val="right"/>
            </w:pPr>
            <w:r>
              <w:rPr>
                <w:rFonts w:ascii="Georgia" w:hAnsi="Georgia"/>
                <w:b/>
                <w:sz w:val="18"/>
              </w:rPr>
              <w:t>January 2021 – Present</w:t>
            </w:r>
          </w:p>
        </w:tc>
      </w:tr>
      <w:tr>
        <w:tc>
          <w:tcPr>
            <w:tcW w:type="dxa" w:w="6912"/>
          </w:tcPr>
          <w:p>
            <w:pPr>
              <w:spacing w:after="40" w:before="0"/>
            </w:pPr>
            <w:r>
              <w:rPr>
                <w:rFonts w:ascii="Georgia" w:hAnsi="Georgia"/>
                <w:i/>
                <w:sz w:val="18"/>
              </w:rPr>
              <w:t>General Manager</w:t>
            </w:r>
          </w:p>
        </w:tc>
        <w:tc>
          <w:tcPr>
            <w:tcW w:type="dxa" w:w="3168"/>
          </w:tcPr>
          <w:p>
            <w:pPr>
              <w:spacing w:after="40" w:before="0"/>
              <w:jc w:val="right"/>
            </w:pPr>
            <w:r>
              <w:rPr>
                <w:rFonts w:ascii="Georgia" w:hAnsi="Georgia"/>
                <w:color w:val="666666"/>
                <w:sz w:val="17"/>
              </w:rPr>
              <w:t>Makati City, Metro Manila</w:t>
            </w:r>
          </w:p>
        </w:tc>
      </w:tr>
    </w:tbl>
    <w:p>
      <w:pPr>
        <w:pStyle w:val="ListBullet"/>
        <w:spacing w:before="0" w:after="30"/>
      </w:pPr>
      <w:r>
        <w:rPr>
          <w:rFonts w:ascii="Georgia" w:hAnsi="Georgia"/>
          <w:sz w:val="17"/>
        </w:rPr>
        <w:t>Direct full-property operations for a 147-room premier serviced residence and business hotel with 110 employees.</w:t>
      </w:r>
    </w:p>
    <w:p>
      <w:pPr>
        <w:pStyle w:val="ListBullet"/>
        <w:spacing w:before="0" w:after="30"/>
      </w:pPr>
      <w:r>
        <w:rPr>
          <w:rFonts w:ascii="Georgia" w:hAnsi="Georgia"/>
          <w:sz w:val="17"/>
        </w:rPr>
        <w:t>Increased annual Gross Operating Profit (GOP) by 14.2% while achieving a 93.8% guest satisfaction rating across major OTAs.</w:t>
      </w:r>
    </w:p>
    <w:p>
      <w:pPr>
        <w:pStyle w:val="ListBullet"/>
        <w:spacing w:before="0" w:after="30"/>
      </w:pPr>
      <w:r>
        <w:rPr>
          <w:rFonts w:ascii="Georgia" w:hAnsi="Georgia"/>
          <w:sz w:val="17"/>
        </w:rPr>
        <w:t>Championed hotel-wide sustainability and regulatory compliance, achieving 100% pass rates in city safety audits.</w:t>
      </w:r>
    </w:p>
    <w:p>
      <w:pPr>
        <w:pStyle w:val="ListBullet"/>
        <w:spacing w:before="0" w:after="30"/>
      </w:pPr>
      <w:r>
        <w:rPr>
          <w:rFonts w:ascii="Georgia" w:hAnsi="Georgia"/>
          <w:sz w:val="17"/>
        </w:rPr>
        <w:t>Spearheaded strategic direct booking campaigns, boosting direct web bookings by 22% year-over-year.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912"/>
          </w:tcPr>
          <w:p>
            <w:pPr>
              <w:spacing w:after="0" w:before="80"/>
            </w:pPr>
            <w:r>
              <w:rPr>
                <w:rFonts w:ascii="Georgia" w:hAnsi="Georgia"/>
                <w:b/>
                <w:color w:val="1B365D"/>
                <w:sz w:val="19"/>
              </w:rPr>
              <w:t>City Garden Hotel Makati</w:t>
            </w:r>
          </w:p>
        </w:tc>
        <w:tc>
          <w:tcPr>
            <w:tcW w:type="dxa" w:w="3168"/>
          </w:tcPr>
          <w:p>
            <w:pPr>
              <w:spacing w:after="0" w:before="80"/>
              <w:jc w:val="right"/>
            </w:pPr>
            <w:r>
              <w:rPr>
                <w:rFonts w:ascii="Georgia" w:hAnsi="Georgia"/>
                <w:b/>
                <w:sz w:val="18"/>
              </w:rPr>
              <w:t>March 2017 – December 2020</w:t>
            </w:r>
          </w:p>
        </w:tc>
      </w:tr>
      <w:tr>
        <w:tc>
          <w:tcPr>
            <w:tcW w:type="dxa" w:w="6912"/>
          </w:tcPr>
          <w:p>
            <w:pPr>
              <w:spacing w:after="40" w:before="0"/>
            </w:pPr>
            <w:r>
              <w:rPr>
                <w:rFonts w:ascii="Georgia" w:hAnsi="Georgia"/>
                <w:i/>
                <w:sz w:val="18"/>
              </w:rPr>
              <w:t>Resident Manager / Operations Manager</w:t>
            </w:r>
          </w:p>
        </w:tc>
        <w:tc>
          <w:tcPr>
            <w:tcW w:type="dxa" w:w="3168"/>
          </w:tcPr>
          <w:p>
            <w:pPr>
              <w:spacing w:after="40" w:before="0"/>
              <w:jc w:val="right"/>
            </w:pPr>
            <w:r>
              <w:rPr>
                <w:rFonts w:ascii="Georgia" w:hAnsi="Georgia"/>
                <w:color w:val="666666"/>
                <w:sz w:val="17"/>
              </w:rPr>
              <w:t>Makati City, Metro Manila</w:t>
            </w:r>
          </w:p>
        </w:tc>
      </w:tr>
    </w:tbl>
    <w:p>
      <w:pPr>
        <w:pStyle w:val="ListBullet"/>
        <w:spacing w:before="0" w:after="30"/>
      </w:pPr>
      <w:r>
        <w:rPr>
          <w:rFonts w:ascii="Georgia" w:hAnsi="Georgia"/>
          <w:sz w:val="17"/>
        </w:rPr>
        <w:t>Managed daily operations across Front Office, Housekeeping, Engineering, and Food &amp; Beverage divisions.</w:t>
      </w:r>
    </w:p>
    <w:p>
      <w:pPr>
        <w:pStyle w:val="ListBullet"/>
        <w:spacing w:before="0" w:after="30"/>
      </w:pPr>
      <w:r>
        <w:rPr>
          <w:rFonts w:ascii="Georgia" w:hAnsi="Georgia"/>
          <w:sz w:val="17"/>
        </w:rPr>
        <w:t>Led hotel pandemic response and health certification protocols with zero safety violations.</w:t>
      </w:r>
    </w:p>
    <w:p>
      <w:pPr>
        <w:pStyle w:val="ListBullet"/>
        <w:spacing w:before="0" w:after="30"/>
      </w:pPr>
      <w:r>
        <w:rPr>
          <w:rFonts w:ascii="Georgia" w:hAnsi="Georgia"/>
          <w:sz w:val="17"/>
        </w:rPr>
        <w:t>Re-engineered F&amp;B banquet and room service offerings, reducing operational food waste by 11%.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912"/>
          </w:tcPr>
          <w:p>
            <w:pPr>
              <w:spacing w:after="0" w:before="80"/>
            </w:pPr>
            <w:r>
              <w:rPr>
                <w:rFonts w:ascii="Georgia" w:hAnsi="Georgia"/>
                <w:b/>
                <w:color w:val="1B365D"/>
                <w:sz w:val="19"/>
              </w:rPr>
              <w:t>The Picasso Boutique Serviced Residences</w:t>
            </w:r>
          </w:p>
        </w:tc>
        <w:tc>
          <w:tcPr>
            <w:tcW w:type="dxa" w:w="3168"/>
          </w:tcPr>
          <w:p>
            <w:pPr>
              <w:spacing w:after="0" w:before="80"/>
              <w:jc w:val="right"/>
            </w:pPr>
            <w:r>
              <w:rPr>
                <w:rFonts w:ascii="Georgia" w:hAnsi="Georgia"/>
                <w:b/>
                <w:sz w:val="18"/>
              </w:rPr>
              <w:t>August 2013 – February 2017</w:t>
            </w:r>
          </w:p>
        </w:tc>
      </w:tr>
      <w:tr>
        <w:tc>
          <w:tcPr>
            <w:tcW w:type="dxa" w:w="6912"/>
          </w:tcPr>
          <w:p>
            <w:pPr>
              <w:spacing w:after="40" w:before="0"/>
            </w:pPr>
            <w:r>
              <w:rPr>
                <w:rFonts w:ascii="Georgia" w:hAnsi="Georgia"/>
                <w:i/>
                <w:sz w:val="18"/>
              </w:rPr>
              <w:t>Director of Rooms</w:t>
            </w:r>
          </w:p>
        </w:tc>
        <w:tc>
          <w:tcPr>
            <w:tcW w:type="dxa" w:w="3168"/>
          </w:tcPr>
          <w:p>
            <w:pPr>
              <w:spacing w:after="40" w:before="0"/>
              <w:jc w:val="right"/>
            </w:pPr>
            <w:r>
              <w:rPr>
                <w:rFonts w:ascii="Georgia" w:hAnsi="Georgia"/>
                <w:color w:val="666666"/>
                <w:sz w:val="17"/>
              </w:rPr>
              <w:t>Makati City, Metro Manila</w:t>
            </w:r>
          </w:p>
        </w:tc>
      </w:tr>
    </w:tbl>
    <w:p>
      <w:pPr>
        <w:pStyle w:val="ListBullet"/>
        <w:spacing w:before="0" w:after="30"/>
      </w:pPr>
      <w:r>
        <w:rPr>
          <w:rFonts w:ascii="Georgia" w:hAnsi="Georgia"/>
          <w:sz w:val="17"/>
        </w:rPr>
        <w:t>Supervised Front Office, Concierge, Housekeeping, and Guest Relations teams across 136 designer suites.</w:t>
      </w:r>
    </w:p>
    <w:p>
      <w:pPr>
        <w:pStyle w:val="ListBullet"/>
        <w:spacing w:before="0" w:after="30"/>
      </w:pPr>
      <w:r>
        <w:rPr>
          <w:rFonts w:ascii="Georgia" w:hAnsi="Georgia"/>
          <w:sz w:val="17"/>
        </w:rPr>
        <w:t>Maintained room occupancy above 84% through dynamic corporate rate negotiations with multinational embassies.</w:t>
      </w:r>
    </w:p>
    <w:p>
      <w:pPr>
        <w:spacing w:before="160" w:after="60"/>
        <w:pBdr>
          <w:bottom w:val="single" w:sz="8" w:space="2" w:color="1B365D"/>
        </w:pBdr>
      </w:pPr>
      <w:r>
        <w:rPr>
          <w:rFonts w:ascii="Georgia" w:hAnsi="Georgia"/>
          <w:b/>
          <w:color w:val="1B365D"/>
          <w:sz w:val="21"/>
        </w:rPr>
        <w:t>EDUCATION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7920"/>
          </w:tcPr>
          <w:p>
            <w:pPr>
              <w:spacing w:after="40"/>
            </w:pPr>
            <w:r>
              <w:rPr>
                <w:rFonts w:ascii="Georgia" w:hAnsi="Georgia"/>
                <w:b/>
                <w:sz w:val="18"/>
              </w:rPr>
              <w:t>Bachelor of Science in Business Administration major in Hospitality Management</w:t>
              <w:br/>
            </w:r>
            <w:r>
              <w:rPr>
                <w:rFonts w:ascii="Georgia" w:hAnsi="Georgia"/>
                <w:sz w:val="17"/>
              </w:rPr>
              <w:t>De La Salle University (DLSU) — Taft Avenue, Manila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Georgia" w:hAnsi="Georgia"/>
                <w:b/>
                <w:sz w:val="18"/>
              </w:rPr>
              <w:t>Year: 2011</w:t>
            </w:r>
          </w:p>
        </w:tc>
      </w:tr>
    </w:tbl>
    <w:p>
      <w:pPr>
        <w:spacing w:before="160" w:after="60"/>
        <w:pBdr>
          <w:bottom w:val="single" w:sz="8" w:space="2" w:color="1B365D"/>
        </w:pBdr>
      </w:pPr>
      <w:r>
        <w:rPr>
          <w:rFonts w:ascii="Georgia" w:hAnsi="Georgia"/>
          <w:b/>
          <w:color w:val="1B365D"/>
          <w:sz w:val="21"/>
        </w:rPr>
        <w:t>TRAINING &amp; CERTIFICATIONS</w:t>
      </w:r>
    </w:p>
    <w:p>
      <w:pPr>
        <w:pStyle w:val="ListBullet"/>
        <w:spacing w:before="0" w:after="40"/>
      </w:pPr>
      <w:r>
        <w:rPr>
          <w:rFonts w:ascii="Georgia" w:hAnsi="Georgia"/>
          <w:b/>
          <w:sz w:val="17"/>
        </w:rPr>
        <w:t xml:space="preserve">Certified Hotel Administrator (CHA) </w:t>
      </w:r>
      <w:r>
        <w:rPr>
          <w:rFonts w:ascii="Georgia" w:hAnsi="Georgia"/>
          <w:sz w:val="17"/>
        </w:rPr>
        <w:t>— American Hotel &amp; Lodging Educational Institute (AHLEI) (November 2020)</w:t>
      </w:r>
    </w:p>
    <w:p>
      <w:pPr>
        <w:pStyle w:val="ListBullet"/>
        <w:spacing w:before="0" w:after="40"/>
      </w:pPr>
      <w:r>
        <w:rPr>
          <w:rFonts w:ascii="Georgia" w:hAnsi="Georgia"/>
          <w:b/>
          <w:sz w:val="17"/>
        </w:rPr>
        <w:t xml:space="preserve">Food Handler Safety Oversight &amp; Compliance Certification </w:t>
      </w:r>
      <w:r>
        <w:rPr>
          <w:rFonts w:ascii="Georgia" w:hAnsi="Georgia"/>
          <w:sz w:val="17"/>
        </w:rPr>
        <w:t>— Philippine Food Safety &amp; Hygiene Council (June 2021)</w:t>
      </w:r>
    </w:p>
    <w:p>
      <w:pPr>
        <w:pStyle w:val="ListBullet"/>
        <w:spacing w:before="0" w:after="40"/>
      </w:pPr>
      <w:r>
        <w:rPr>
          <w:rFonts w:ascii="Georgia" w:hAnsi="Georgia"/>
          <w:b/>
          <w:sz w:val="17"/>
        </w:rPr>
        <w:t xml:space="preserve">Advanced Hospitality Financial Management &amp; Revenue Optimization </w:t>
      </w:r>
      <w:r>
        <w:rPr>
          <w:rFonts w:ascii="Georgia" w:hAnsi="Georgia"/>
          <w:sz w:val="17"/>
        </w:rPr>
        <w:t>— Asian Institute of Management / PHDC (April 2018)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