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5C1A2B" w:color="auto" w:val="clear"/>
            <w:tcMar>
              <w:top w:type="dxa" w:w="200"/>
              <w:left w:type="dxa" w:w="500"/>
              <w:bottom w:type="dxa" w:w="170"/>
              <w:right w:type="dxa" w:w="5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0"/>
                <w:szCs w:val="40"/>
              </w:rPr>
              <w:t xml:space="preserve">RAFAEL DOMINIC LIM</w:t>
            </w:r>
          </w:p>
          <w:p>
            <w:pPr>
              <w:spacing w:after="90"/>
            </w:pPr>
            <w:r>
              <w:rPr>
                <w:rFonts w:ascii="Cambria" w:cs="Cambria" w:eastAsia="Cambria" w:hAnsi="Cambria"/>
                <w:b/>
                <w:bCs/>
                <w:color w:val="D8B98A"/>
                <w:sz w:val="21"/>
                <w:szCs w:val="21"/>
              </w:rPr>
              <w:t xml:space="preserve">RESTAURANT BEVERAGE SERVICE SPECIALIST</w:t>
            </w:r>
          </w:p>
          <w:p>
            <w:r>
              <w:rPr>
                <w:rFonts w:ascii="Calibri" w:cs="Calibri" w:eastAsia="Calibri" w:hAnsi="Calibri"/>
                <w:color w:val="F0E6DC"/>
                <w:sz w:val="18"/>
                <w:szCs w:val="18"/>
              </w:rPr>
              <w:t xml:space="preserve">Makati City, Philippines   </w:t>
            </w:r>
            <w:r>
              <w:rPr>
                <w:rFonts w:ascii="Calibri" w:cs="Calibri" w:eastAsia="Calibri" w:hAnsi="Calibri"/>
                <w:color w:val="F0E6DC"/>
                <w:sz w:val="18"/>
                <w:szCs w:val="18"/>
              </w:rPr>
              <w:t xml:space="preserve">|   +63 918 456 7890   </w:t>
            </w:r>
            <w:r>
              <w:rPr>
                <w:rFonts w:ascii="Calibri" w:cs="Calibri" w:eastAsia="Calibri" w:hAnsi="Calibri"/>
                <w:color w:val="F0E6DC"/>
                <w:sz w:val="18"/>
                <w:szCs w:val="18"/>
              </w:rPr>
              <w:t xml:space="preserve">|   rafael.lim.fnb@gmail.com   </w:t>
            </w:r>
            <w:r>
              <w:rPr>
                <w:rFonts w:ascii="Calibri" w:cs="Calibri" w:eastAsia="Calibri" w:hAnsi="Calibri"/>
                <w:color w:val="F0E6DC"/>
                <w:sz w:val="18"/>
                <w:szCs w:val="18"/>
              </w:rPr>
              <w:t xml:space="preserve">|   linkedin.com/in/rafaeldlim</w:t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Mar>
              <w:top w:type="dxa" w:w="140"/>
              <w:left w:type="dxa" w:w="500"/>
              <w:bottom w:type="dxa" w:w="160"/>
              <w:right w:type="dxa" w:w="500"/>
            </w:tcMar>
          </w:tcPr>
          <w:p>
            <w:pPr>
              <w:spacing w:after="6" w:before="150"/>
            </w:pPr>
            <w:r>
              <w:rPr>
                <w:rFonts w:ascii="Cambria" w:cs="Cambria" w:eastAsia="Cambria" w:hAnsi="Cambria"/>
                <w:b/>
                <w:bCs/>
                <w:color w:val="5C1A2B"/>
                <w:spacing w:val="20"/>
                <w:sz w:val="24"/>
                <w:szCs w:val="24"/>
              </w:rPr>
              <w:t xml:space="preserve">PROFESSIONAL SUMMARY</w:t>
            </w:r>
          </w:p>
          <w:p>
            <w:pPr>
              <w:pBdr>
                <w:bottom w:val="single" w:color="A9762F" w:sz="12" w:space="1"/>
              </w:pBdr>
              <w:spacing w:after="7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Personable and knowledgeable Beverage Service Specialist with 5 years of experience delivering premium food and beverage experiences in fine-dining restaurants and upscale hotel outlets. Skilled in wine and cocktail menu knowledge, guest recommendations, and food and beverage pairing, with a strong record of upselling and elevating average check value. Experienced in inventory monitoring, POS operation, and maintaining refined service standards for discerning guests. Known for attentive table-side service, product knowledge, and the ability to create memorable dining moments.</w:t>
            </w:r>
          </w:p>
          <w:p>
            <w:pPr>
              <w:spacing w:after="6" w:before="150"/>
            </w:pPr>
            <w:r>
              <w:rPr>
                <w:rFonts w:ascii="Cambria" w:cs="Cambria" w:eastAsia="Cambria" w:hAnsi="Cambria"/>
                <w:b/>
                <w:bCs/>
                <w:color w:val="5C1A2B"/>
                <w:spacing w:val="20"/>
                <w:sz w:val="24"/>
                <w:szCs w:val="24"/>
              </w:rPr>
              <w:t xml:space="preserve">CORE SKILLS</w:t>
            </w:r>
          </w:p>
          <w:p>
            <w:pPr>
              <w:pBdr>
                <w:bottom w:val="single" w:color="A9762F" w:sz="12" w:space="1"/>
              </w:pBdr>
              <w:spacing w:after="7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9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0"/>
              <w:gridCol w:w="4800"/>
            </w:tblGrid>
            <w:tr>
              <w:tc>
                <w:tcPr>
                  <w:tcW w:type="dxa" w:w="4800"/>
                  <w:tcMar>
                    <w:top w:type="dxa" w:w="25"/>
                    <w:left w:type="dxa" w:w="0"/>
                    <w:bottom w:type="dxa" w:w="25"/>
                    <w:right w:type="dxa" w:w="20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Beverage Service</w:t>
                  </w:r>
                </w:p>
              </w:tc>
              <w:tc>
                <w:tcPr>
                  <w:tcW w:type="dxa" w:w="4800"/>
                  <w:tcMar>
                    <w:top w:type="dxa" w:w="25"/>
                    <w:left w:type="dxa" w:w="200"/>
                    <w:bottom w:type="dxa" w:w="25"/>
                    <w:right w:type="dxa" w:w="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Menu Knowledge</w:t>
                  </w:r>
                </w:p>
              </w:tc>
            </w:tr>
            <w:tr>
              <w:tc>
                <w:tcPr>
                  <w:tcW w:type="dxa" w:w="4800"/>
                  <w:tcMar>
                    <w:top w:type="dxa" w:w="25"/>
                    <w:left w:type="dxa" w:w="0"/>
                    <w:bottom w:type="dxa" w:w="25"/>
                    <w:right w:type="dxa" w:w="20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Guest Recommendations</w:t>
                  </w:r>
                </w:p>
              </w:tc>
              <w:tc>
                <w:tcPr>
                  <w:tcW w:type="dxa" w:w="4800"/>
                  <w:tcMar>
                    <w:top w:type="dxa" w:w="25"/>
                    <w:left w:type="dxa" w:w="200"/>
                    <w:bottom w:type="dxa" w:w="25"/>
                    <w:right w:type="dxa" w:w="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Food &amp; Beverage Pairing</w:t>
                  </w:r>
                </w:p>
              </w:tc>
            </w:tr>
            <w:tr>
              <w:tc>
                <w:tcPr>
                  <w:tcW w:type="dxa" w:w="4800"/>
                  <w:tcMar>
                    <w:top w:type="dxa" w:w="25"/>
                    <w:left w:type="dxa" w:w="0"/>
                    <w:bottom w:type="dxa" w:w="25"/>
                    <w:right w:type="dxa" w:w="20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Restaurant Service Standards</w:t>
                  </w:r>
                </w:p>
              </w:tc>
              <w:tc>
                <w:tcPr>
                  <w:tcW w:type="dxa" w:w="4800"/>
                  <w:tcMar>
                    <w:top w:type="dxa" w:w="25"/>
                    <w:left w:type="dxa" w:w="200"/>
                    <w:bottom w:type="dxa" w:w="25"/>
                    <w:right w:type="dxa" w:w="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Upselling</w:t>
                  </w:r>
                </w:p>
              </w:tc>
            </w:tr>
            <w:tr>
              <w:tc>
                <w:tcPr>
                  <w:tcW w:type="dxa" w:w="4800"/>
                  <w:tcMar>
                    <w:top w:type="dxa" w:w="25"/>
                    <w:left w:type="dxa" w:w="0"/>
                    <w:bottom w:type="dxa" w:w="25"/>
                    <w:right w:type="dxa" w:w="20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Inventory Assistance</w:t>
                  </w:r>
                </w:p>
              </w:tc>
              <w:tc>
                <w:tcPr>
                  <w:tcW w:type="dxa" w:w="4800"/>
                  <w:tcMar>
                    <w:top w:type="dxa" w:w="25"/>
                    <w:left w:type="dxa" w:w="200"/>
                    <w:bottom w:type="dxa" w:w="25"/>
                    <w:right w:type="dxa" w:w="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POS System Operation</w:t>
                  </w:r>
                </w:p>
              </w:tc>
            </w:tr>
            <w:tr>
              <w:tc>
                <w:tcPr>
                  <w:tcW w:type="dxa" w:w="4800"/>
                  <w:tcMar>
                    <w:top w:type="dxa" w:w="25"/>
                    <w:left w:type="dxa" w:w="0"/>
                    <w:bottom w:type="dxa" w:w="25"/>
                    <w:right w:type="dxa" w:w="20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Customer Service</w:t>
                  </w:r>
                </w:p>
              </w:tc>
              <w:tc>
                <w:tcPr>
                  <w:tcW w:type="dxa" w:w="4800"/>
                  <w:tcMar>
                    <w:top w:type="dxa" w:w="25"/>
                    <w:left w:type="dxa" w:w="200"/>
                    <w:bottom w:type="dxa" w:w="25"/>
                    <w:right w:type="dxa" w:w="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Table Service</w:t>
                  </w:r>
                </w:p>
              </w:tc>
            </w:tr>
            <w:tr>
              <w:tc>
                <w:tcPr>
                  <w:tcW w:type="dxa" w:w="4800"/>
                  <w:tcMar>
                    <w:top w:type="dxa" w:w="25"/>
                    <w:left w:type="dxa" w:w="0"/>
                    <w:bottom w:type="dxa" w:w="25"/>
                    <w:right w:type="dxa" w:w="20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Cash Handling</w:t>
                  </w:r>
                </w:p>
              </w:tc>
              <w:tc>
                <w:tcPr>
                  <w:tcW w:type="dxa" w:w="4800"/>
                  <w:tcMar>
                    <w:top w:type="dxa" w:w="25"/>
                    <w:left w:type="dxa" w:w="200"/>
                    <w:bottom w:type="dxa" w:w="25"/>
                    <w:right w:type="dxa" w:w="0"/>
                  </w:tcMar>
                </w:tcPr>
                <w:p>
                  <w:r>
                    <w:rPr>
                      <w:color w:val="A9762F"/>
                      <w:sz w:val="19"/>
                      <w:szCs w:val="19"/>
                    </w:rPr>
                    <w:t xml:space="preserve">❖  </w:t>
                  </w:r>
                  <w:r>
                    <w:rPr>
                      <w:rFonts w:ascii="Calibri" w:cs="Calibri" w:eastAsia="Calibri" w:hAnsi="Calibri"/>
                      <w:color w:val="2B2B2B"/>
                      <w:sz w:val="19"/>
                      <w:szCs w:val="19"/>
                    </w:rPr>
                    <w:t xml:space="preserve">Attention to Detail</w:t>
                  </w:r>
                </w:p>
              </w:tc>
            </w:tr>
          </w:tbl>
          <w:p>
            <w:pPr>
              <w:spacing w:after="6" w:before="150"/>
            </w:pPr>
            <w:r>
              <w:rPr>
                <w:rFonts w:ascii="Cambria" w:cs="Cambria" w:eastAsia="Cambria" w:hAnsi="Cambria"/>
                <w:b/>
                <w:bCs/>
                <w:color w:val="5C1A2B"/>
                <w:spacing w:val="20"/>
                <w:sz w:val="24"/>
                <w:szCs w:val="24"/>
              </w:rPr>
              <w:t xml:space="preserve">WORK EXPERIENCE</w:t>
            </w:r>
          </w:p>
          <w:p>
            <w:pPr>
              <w:pBdr>
                <w:bottom w:val="single" w:color="A9762F" w:sz="12" w:space="1"/>
              </w:pBdr>
              <w:spacing w:after="7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tabs>
                <w:tab w:val="right" w:pos="9600"/>
              </w:tabs>
              <w:spacing w:after="8" w:before="60"/>
            </w:pPr>
            <w:r>
              <w:rPr>
                <w:rFonts w:ascii="Cambria" w:cs="Cambria" w:eastAsia="Cambria" w:hAnsi="Cambria"/>
                <w:b/>
                <w:bCs/>
                <w:color w:val="2B2B2B"/>
                <w:sz w:val="21"/>
                <w:szCs w:val="21"/>
              </w:rPr>
              <w:t xml:space="preserve">Beverage Service Specialist</w:t>
            </w:r>
            <w:r>
              <w:rPr>
                <w:rFonts w:ascii="Calibri" w:cs="Calibri" w:eastAsia="Calibri" w:hAnsi="Calibri"/>
                <w:i/>
                <w:iCs/>
                <w:color w:val="A9762F"/>
                <w:sz w:val="19"/>
                <w:szCs w:val="19"/>
              </w:rPr>
              <w:t xml:space="preserve">	January 2023 – Present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C1A2B"/>
                <w:sz w:val="19"/>
                <w:szCs w:val="19"/>
              </w:rPr>
              <w:t xml:space="preserve">Vindaló Fine Dining — Makati City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Guide guests through an extensive wine and cocktail list, increasing beverage attach rate by 30% within one year.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Recommend food and beverage pairings tailored to guest preferences, contributing to a 4.9/5 average dining satisfaction score.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Consistently rank among the top three servers for beverage upselling, contributing an average of ₱45,000 in monthly incremental revenue.</w:t>
            </w:r>
          </w:p>
          <w:p>
            <w:pPr>
              <w:tabs>
                <w:tab w:val="right" w:pos="9600"/>
              </w:tabs>
              <w:spacing w:after="8" w:before="60"/>
            </w:pPr>
            <w:r>
              <w:rPr>
                <w:rFonts w:ascii="Cambria" w:cs="Cambria" w:eastAsia="Cambria" w:hAnsi="Cambria"/>
                <w:b/>
                <w:bCs/>
                <w:color w:val="2B2B2B"/>
                <w:sz w:val="21"/>
                <w:szCs w:val="21"/>
              </w:rPr>
              <w:t xml:space="preserve">Restaurant Server</w:t>
            </w:r>
            <w:r>
              <w:rPr>
                <w:rFonts w:ascii="Calibri" w:cs="Calibri" w:eastAsia="Calibri" w:hAnsi="Calibri"/>
                <w:i/>
                <w:iCs/>
                <w:color w:val="A9762F"/>
                <w:sz w:val="19"/>
                <w:szCs w:val="19"/>
              </w:rPr>
              <w:t xml:space="preserve">	June 2021 – December 2022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C1A2B"/>
                <w:sz w:val="19"/>
                <w:szCs w:val="19"/>
              </w:rPr>
              <w:t xml:space="preserve">The Marigold Hotel Restaurant — Bonifacio Global City, Taguig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Delivered attentive table service to an average of 12 tables per shift in a 120-seat upscale restaurant.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Assisted guests with menu selections and beverage pairings, contributing to repeat guest visits.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Handled cash and card transactions accurately, balancing the register at the end of each shift.</w:t>
            </w:r>
          </w:p>
          <w:p>
            <w:pPr>
              <w:tabs>
                <w:tab w:val="right" w:pos="9600"/>
              </w:tabs>
              <w:spacing w:after="8" w:before="60"/>
            </w:pPr>
            <w:r>
              <w:rPr>
                <w:rFonts w:ascii="Cambria" w:cs="Cambria" w:eastAsia="Cambria" w:hAnsi="Cambria"/>
                <w:b/>
                <w:bCs/>
                <w:color w:val="2B2B2B"/>
                <w:sz w:val="21"/>
                <w:szCs w:val="21"/>
              </w:rPr>
              <w:t xml:space="preserve">Hotel Food and Beverage Attendant</w:t>
            </w:r>
            <w:r>
              <w:rPr>
                <w:rFonts w:ascii="Calibri" w:cs="Calibri" w:eastAsia="Calibri" w:hAnsi="Calibri"/>
                <w:i/>
                <w:iCs/>
                <w:color w:val="A9762F"/>
                <w:sz w:val="19"/>
                <w:szCs w:val="19"/>
              </w:rPr>
              <w:t xml:space="preserve">	August 2020 – May 2021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C1A2B"/>
                <w:sz w:val="19"/>
                <w:szCs w:val="19"/>
              </w:rPr>
              <w:t xml:space="preserve">Grandview Hotel Manila — Pasay City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Provided beverage and food service across the hotel's restaurant, lounge, and in-room dining outlets.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Assisted in maintaining par stock levels for the beverage station and reported discrepancies to supervisors.</w:t>
            </w:r>
          </w:p>
          <w:p>
            <w:pPr>
              <w:spacing w:after="6" w:before="150"/>
            </w:pPr>
            <w:r>
              <w:rPr>
                <w:rFonts w:ascii="Cambria" w:cs="Cambria" w:eastAsia="Cambria" w:hAnsi="Cambria"/>
                <w:b/>
                <w:bCs/>
                <w:color w:val="5C1A2B"/>
                <w:spacing w:val="20"/>
                <w:sz w:val="24"/>
                <w:szCs w:val="24"/>
              </w:rPr>
              <w:t xml:space="preserve">EDUCATION</w:t>
            </w:r>
          </w:p>
          <w:p>
            <w:pPr>
              <w:pBdr>
                <w:bottom w:val="single" w:color="A9762F" w:sz="12" w:space="1"/>
              </w:pBdr>
              <w:spacing w:after="7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Bachelor of Science in Hospitality Management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De La Salle - College of Saint Benilde, Manila  |  Graduated 2020</w:t>
            </w:r>
          </w:p>
          <w:p>
            <w:pPr>
              <w:spacing w:after="6" w:before="150"/>
            </w:pPr>
            <w:r>
              <w:rPr>
                <w:rFonts w:ascii="Cambria" w:cs="Cambria" w:eastAsia="Cambria" w:hAnsi="Cambria"/>
                <w:b/>
                <w:bCs/>
                <w:color w:val="5C1A2B"/>
                <w:spacing w:val="20"/>
                <w:sz w:val="24"/>
                <w:szCs w:val="24"/>
              </w:rPr>
              <w:t xml:space="preserve">CERTIFICATIONS AND TRAINING</w:t>
            </w:r>
          </w:p>
          <w:p>
            <w:pPr>
              <w:pBdr>
                <w:bottom w:val="single" w:color="A9762F" w:sz="12" w:space="1"/>
              </w:pBdr>
              <w:spacing w:after="7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Food Safety and Hygiene Certification — Philippine Food Safety Institute, 2021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Beverage Service Training — 2021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Responsible Beverage Service Training — 2022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Customer Service Excellence Training — 2023</w:t>
            </w:r>
          </w:p>
          <w:p>
            <w:pPr>
              <w:spacing w:after="30"/>
              <w:ind w:left="260" w:hanging="180"/>
            </w:pPr>
            <w:r>
              <w:rPr>
                <w:color w:val="A9762F"/>
                <w:sz w:val="19"/>
                <w:szCs w:val="19"/>
              </w:rPr>
              <w:t xml:space="preserve">—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Languages: English (Fluent), Filipino (Native)  |  "Server of the Quarter," Vindaló Fine Dining, Q3 2024</w:t>
            </w:r>
          </w:p>
        </w:tc>
      </w:tr>
    </w:tbl>
    <w:sectPr>
      <w:pgSz w:w="12240" w:h="15840" w:orient="portrait"/>
      <w:pgMar w:top="0" w:right="0" w:bottom="5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2026-08-25T02:36:18.117Z</dcterms:created>
  <dcterms:modified xsi:type="dcterms:W3CDTF">2026-08-25T02:36:18.117Z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