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Georgia" w:hAnsi="Georgia"/>
          <w:b/>
          <w:color w:val="1B365D"/>
          <w:sz w:val="34"/>
        </w:rPr>
        <w:t>KATHERINE ANN MENDOZA</w:t>
      </w:r>
    </w:p>
    <w:p>
      <w:pPr>
        <w:spacing w:after="80"/>
        <w:jc w:val="center"/>
      </w:pPr>
      <w:r>
        <w:rPr>
          <w:rFonts w:ascii="Georgia" w:hAnsi="Georgia"/>
          <w:b/>
          <w:i/>
          <w:color w:val="4A5568"/>
          <w:sz w:val="22"/>
        </w:rPr>
        <w:t>HR &amp; Administration Manager</w:t>
      </w:r>
    </w:p>
    <w:p>
      <w:pPr>
        <w:spacing w:after="160"/>
        <w:jc w:val="center"/>
      </w:pPr>
      <w:r>
        <w:rPr>
          <w:rFonts w:ascii="Georgia" w:hAnsi="Georgia"/>
          <w:color w:val="555555"/>
          <w:sz w:val="17"/>
        </w:rPr>
        <w:t>84 Legaspi St., San Lorenzo, 1223 Makati City, Philippines  •  +63 919 448 3209</w:t>
        <w:br/>
        <w:t>katherine.mendoza.hr@outlook.ph  •  linkedin.com/in/katherine-mendoza-hr</w:t>
      </w:r>
    </w:p>
    <w:p>
      <w:pPr>
        <w:spacing w:before="160" w:after="60"/>
        <w:pBdr>
          <w:bottom w:val="single" w:sz="8" w:space="2" w:color="1B365D"/>
        </w:pBdr>
      </w:pPr>
      <w:r>
        <w:rPr>
          <w:rFonts w:ascii="Georgia" w:hAnsi="Georgia"/>
          <w:b/>
          <w:color w:val="1B365D"/>
          <w:sz w:val="21"/>
        </w:rPr>
        <w:t>PROFESSIONAL SUMMARY</w:t>
      </w:r>
    </w:p>
    <w:p>
      <w:pPr>
        <w:spacing w:after="120"/>
      </w:pPr>
      <w:r>
        <w:rPr>
          <w:rFonts w:ascii="Georgia" w:hAnsi="Georgia"/>
          <w:sz w:val="18"/>
        </w:rPr>
        <w:t>Accomplished, empathetic HR &amp; Administration Manager with 7+ years of human resources leadership in premier hospitality and corporate lodging properties. Expert in end-to-end talent acquisition, DOLE labor law compliance, automated payroll administration, 201-file governance, and structured employee engagement. Holds certified First Aid credentials and is passionate about championing Filipino hospitality values while sustaining high employee retention.</w:t>
      </w:r>
    </w:p>
    <w:p>
      <w:pPr>
        <w:spacing w:before="160" w:after="60"/>
        <w:pBdr>
          <w:bottom w:val="single" w:sz="8" w:space="2" w:color="1B365D"/>
        </w:pBdr>
      </w:pPr>
      <w:r>
        <w:rPr>
          <w:rFonts w:ascii="Georgia" w:hAnsi="Georgia"/>
          <w:b/>
          <w:color w:val="1B365D"/>
          <w:sz w:val="21"/>
        </w:rPr>
        <w:t>CORE COMPETENCIES &amp; SKILLS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>
              <w:rPr>
                <w:rFonts w:ascii="Georgia" w:hAnsi="Georgia"/>
                <w:sz w:val="17"/>
              </w:rPr>
              <w:t>•  Full-Lifecycle Talent Acquisition &amp; Hospitality Recruitment Strategy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rFonts w:ascii="Georgia" w:hAnsi="Georgia"/>
                <w:sz w:val="17"/>
              </w:rPr>
              <w:t>•  201 File Management, HRIS Records Documentation &amp; Audit Readiness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rFonts w:ascii="Georgia" w:hAnsi="Georgia"/>
                <w:sz w:val="17"/>
              </w:rPr>
              <w:t>•  Philippine Labor Code Compliance, DOLE Reporting &amp; Statutory Benefits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rFonts w:ascii="Georgia" w:hAnsi="Georgia"/>
                <w:sz w:val="17"/>
              </w:rPr>
              <w:t>•  Hospitality Onboarding &amp; Service Standards Training Facilitation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rFonts w:ascii="Georgia" w:hAnsi="Georgia"/>
                <w:sz w:val="17"/>
              </w:rPr>
              <w:t>•  Payroll Administration Support, Timekeeping &amp; Compensation Structuring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rFonts w:ascii="Georgia" w:hAnsi="Georgia"/>
                <w:sz w:val="17"/>
              </w:rPr>
              <w:t>•  First Aid &amp; Occupational Safety and Health (OSH) Committee Leadership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rFonts w:ascii="Georgia" w:hAnsi="Georgia"/>
                <w:sz w:val="17"/>
              </w:rPr>
              <w:t>•  Employee Relations, Conflict Mediation &amp; Grievance Handling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rFonts w:ascii="Georgia" w:hAnsi="Georgia"/>
                <w:sz w:val="17"/>
              </w:rPr>
              <w:t>•  Administrative Office Operations, Procurement &amp; Vendor Management</w:t>
            </w:r>
          </w:p>
        </w:tc>
      </w:tr>
    </w:tbl>
    <w:p>
      <w:pPr>
        <w:spacing w:before="160" w:after="60"/>
        <w:pBdr>
          <w:bottom w:val="single" w:sz="8" w:space="2" w:color="1B365D"/>
        </w:pBdr>
      </w:pPr>
      <w:r>
        <w:rPr>
          <w:rFonts w:ascii="Georgia" w:hAnsi="Georgia"/>
          <w:b/>
          <w:color w:val="1B365D"/>
          <w:sz w:val="21"/>
        </w:rPr>
        <w:t>WORK EXPERIENCE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6912"/>
          </w:tcPr>
          <w:p>
            <w:pPr>
              <w:spacing w:after="0" w:before="80"/>
            </w:pPr>
            <w:r>
              <w:rPr>
                <w:rFonts w:ascii="Georgia" w:hAnsi="Georgia"/>
                <w:b/>
                <w:color w:val="1B365D"/>
                <w:sz w:val="19"/>
              </w:rPr>
              <w:t>Fairmont Makati</w:t>
            </w:r>
          </w:p>
        </w:tc>
        <w:tc>
          <w:tcPr>
            <w:tcW w:type="dxa" w:w="3168"/>
          </w:tcPr>
          <w:p>
            <w:pPr>
              <w:spacing w:after="0" w:before="80"/>
              <w:jc w:val="right"/>
            </w:pPr>
            <w:r>
              <w:rPr>
                <w:rFonts w:ascii="Georgia" w:hAnsi="Georgia"/>
                <w:b/>
                <w:sz w:val="18"/>
              </w:rPr>
              <w:t>August 2021 – Present</w:t>
            </w:r>
          </w:p>
        </w:tc>
      </w:tr>
      <w:tr>
        <w:tc>
          <w:tcPr>
            <w:tcW w:type="dxa" w:w="6912"/>
          </w:tcPr>
          <w:p>
            <w:pPr>
              <w:spacing w:after="40" w:before="0"/>
            </w:pPr>
            <w:r>
              <w:rPr>
                <w:rFonts w:ascii="Georgia" w:hAnsi="Georgia"/>
                <w:i/>
                <w:sz w:val="18"/>
              </w:rPr>
              <w:t>HR &amp; Administration Assistant Manager</w:t>
            </w:r>
          </w:p>
        </w:tc>
        <w:tc>
          <w:tcPr>
            <w:tcW w:type="dxa" w:w="3168"/>
          </w:tcPr>
          <w:p>
            <w:pPr>
              <w:spacing w:after="40" w:before="0"/>
              <w:jc w:val="right"/>
            </w:pPr>
            <w:r>
              <w:rPr>
                <w:rFonts w:ascii="Georgia" w:hAnsi="Georgia"/>
                <w:color w:val="666666"/>
                <w:sz w:val="17"/>
              </w:rPr>
              <w:t>Makati City, Metro Manila</w:t>
            </w:r>
          </w:p>
        </w:tc>
      </w:tr>
    </w:tbl>
    <w:p>
      <w:pPr>
        <w:pStyle w:val="ListBullet"/>
        <w:spacing w:before="0" w:after="30"/>
      </w:pPr>
      <w:r>
        <w:rPr>
          <w:rFonts w:ascii="Georgia" w:hAnsi="Georgia"/>
          <w:sz w:val="17"/>
        </w:rPr>
        <w:t>Oversee talent acquisition for 180+ hotel staff across Front Office, Housekeeping, Culinary, and Engineering divisions.</w:t>
      </w:r>
    </w:p>
    <w:p>
      <w:pPr>
        <w:pStyle w:val="ListBullet"/>
        <w:spacing w:before="0" w:after="30"/>
      </w:pPr>
      <w:r>
        <w:rPr>
          <w:rFonts w:ascii="Georgia" w:hAnsi="Georgia"/>
          <w:sz w:val="17"/>
        </w:rPr>
        <w:t>Maintain 100% compliance on 201 employee files, DOLE mandatory reporting, and SSS/PhilHealth/Pag-IBIG remittances.</w:t>
      </w:r>
    </w:p>
    <w:p>
      <w:pPr>
        <w:pStyle w:val="ListBullet"/>
        <w:spacing w:before="0" w:after="30"/>
      </w:pPr>
      <w:r>
        <w:rPr>
          <w:rFonts w:ascii="Georgia" w:hAnsi="Georgia"/>
          <w:sz w:val="17"/>
        </w:rPr>
        <w:t>Spearheaded employee engagement and wellness programs, reducing annual voluntary staff turnover by 16%.</w:t>
      </w:r>
    </w:p>
    <w:p>
      <w:pPr>
        <w:pStyle w:val="ListBullet"/>
        <w:spacing w:before="0" w:after="30"/>
      </w:pPr>
      <w:r>
        <w:rPr>
          <w:rFonts w:ascii="Georgia" w:hAnsi="Georgia"/>
          <w:sz w:val="17"/>
        </w:rPr>
        <w:t>Coordinate bi-monthly payroll audit reconciliations with Finance, resolving timekeeping discrepancies promptly.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6912"/>
          </w:tcPr>
          <w:p>
            <w:pPr>
              <w:spacing w:after="0" w:before="80"/>
            </w:pPr>
            <w:r>
              <w:rPr>
                <w:rFonts w:ascii="Georgia" w:hAnsi="Georgia"/>
                <w:b/>
                <w:color w:val="1B365D"/>
                <w:sz w:val="19"/>
              </w:rPr>
              <w:t>Berjaya Makati Hotel</w:t>
            </w:r>
          </w:p>
        </w:tc>
        <w:tc>
          <w:tcPr>
            <w:tcW w:type="dxa" w:w="3168"/>
          </w:tcPr>
          <w:p>
            <w:pPr>
              <w:spacing w:after="0" w:before="80"/>
              <w:jc w:val="right"/>
            </w:pPr>
            <w:r>
              <w:rPr>
                <w:rFonts w:ascii="Georgia" w:hAnsi="Georgia"/>
                <w:b/>
                <w:sz w:val="18"/>
              </w:rPr>
              <w:t>January 2019 – July 2021</w:t>
            </w:r>
          </w:p>
        </w:tc>
      </w:tr>
      <w:tr>
        <w:tc>
          <w:tcPr>
            <w:tcW w:type="dxa" w:w="6912"/>
          </w:tcPr>
          <w:p>
            <w:pPr>
              <w:spacing w:after="40" w:before="0"/>
            </w:pPr>
            <w:r>
              <w:rPr>
                <w:rFonts w:ascii="Georgia" w:hAnsi="Georgia"/>
                <w:i/>
                <w:sz w:val="18"/>
              </w:rPr>
              <w:t>Human Resources Supervisor</w:t>
            </w:r>
          </w:p>
        </w:tc>
        <w:tc>
          <w:tcPr>
            <w:tcW w:type="dxa" w:w="3168"/>
          </w:tcPr>
          <w:p>
            <w:pPr>
              <w:spacing w:after="40" w:before="0"/>
              <w:jc w:val="right"/>
            </w:pPr>
            <w:r>
              <w:rPr>
                <w:rFonts w:ascii="Georgia" w:hAnsi="Georgia"/>
                <w:color w:val="666666"/>
                <w:sz w:val="17"/>
              </w:rPr>
              <w:t>Makati City, Metro Manila</w:t>
            </w:r>
          </w:p>
        </w:tc>
      </w:tr>
    </w:tbl>
    <w:p>
      <w:pPr>
        <w:pStyle w:val="ListBullet"/>
        <w:spacing w:before="0" w:after="30"/>
      </w:pPr>
      <w:r>
        <w:rPr>
          <w:rFonts w:ascii="Georgia" w:hAnsi="Georgia"/>
          <w:sz w:val="17"/>
        </w:rPr>
        <w:t>Managed end-to-end recruitment pipelines, interviewed hospitality applicants, and issued employment offers.</w:t>
      </w:r>
    </w:p>
    <w:p>
      <w:pPr>
        <w:pStyle w:val="ListBullet"/>
        <w:spacing w:before="0" w:after="30"/>
      </w:pPr>
      <w:r>
        <w:rPr>
          <w:rFonts w:ascii="Georgia" w:hAnsi="Georgia"/>
          <w:sz w:val="17"/>
        </w:rPr>
        <w:t>Conducted employee counseling, managed disciplinary grievance hearings, and ensured fair labor code adherence.</w:t>
      </w:r>
    </w:p>
    <w:p>
      <w:pPr>
        <w:pStyle w:val="ListBullet"/>
        <w:spacing w:before="0" w:after="30"/>
      </w:pPr>
      <w:r>
        <w:rPr>
          <w:rFonts w:ascii="Georgia" w:hAnsi="Georgia"/>
          <w:sz w:val="17"/>
        </w:rPr>
        <w:t>Organized new-hire orientation sessions focusing on brand standards and guest service hospitality excellence.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6912"/>
          </w:tcPr>
          <w:p>
            <w:pPr>
              <w:spacing w:after="0" w:before="80"/>
            </w:pPr>
            <w:r>
              <w:rPr>
                <w:rFonts w:ascii="Georgia" w:hAnsi="Georgia"/>
                <w:b/>
                <w:color w:val="1B365D"/>
                <w:sz w:val="19"/>
              </w:rPr>
              <w:t>St. Giles Southgate Hotel</w:t>
            </w:r>
          </w:p>
        </w:tc>
        <w:tc>
          <w:tcPr>
            <w:tcW w:type="dxa" w:w="3168"/>
          </w:tcPr>
          <w:p>
            <w:pPr>
              <w:spacing w:after="0" w:before="80"/>
              <w:jc w:val="right"/>
            </w:pPr>
            <w:r>
              <w:rPr>
                <w:rFonts w:ascii="Georgia" w:hAnsi="Georgia"/>
                <w:b/>
                <w:sz w:val="18"/>
              </w:rPr>
              <w:t>July 2017 – December 2018</w:t>
            </w:r>
          </w:p>
        </w:tc>
      </w:tr>
      <w:tr>
        <w:tc>
          <w:tcPr>
            <w:tcW w:type="dxa" w:w="6912"/>
          </w:tcPr>
          <w:p>
            <w:pPr>
              <w:spacing w:after="40" w:before="0"/>
            </w:pPr>
            <w:r>
              <w:rPr>
                <w:rFonts w:ascii="Georgia" w:hAnsi="Georgia"/>
                <w:i/>
                <w:sz w:val="18"/>
              </w:rPr>
              <w:t>HR Assistant</w:t>
            </w:r>
          </w:p>
        </w:tc>
        <w:tc>
          <w:tcPr>
            <w:tcW w:type="dxa" w:w="3168"/>
          </w:tcPr>
          <w:p>
            <w:pPr>
              <w:spacing w:after="40" w:before="0"/>
              <w:jc w:val="right"/>
            </w:pPr>
            <w:r>
              <w:rPr>
                <w:rFonts w:ascii="Georgia" w:hAnsi="Georgia"/>
                <w:color w:val="666666"/>
                <w:sz w:val="17"/>
              </w:rPr>
              <w:t>Makati City, Metro Manila</w:t>
            </w:r>
          </w:p>
        </w:tc>
      </w:tr>
    </w:tbl>
    <w:p>
      <w:pPr>
        <w:pStyle w:val="ListBullet"/>
        <w:spacing w:before="0" w:after="30"/>
      </w:pPr>
      <w:r>
        <w:rPr>
          <w:rFonts w:ascii="Georgia" w:hAnsi="Georgia"/>
          <w:sz w:val="17"/>
        </w:rPr>
        <w:t>Administered 201 file archiving, issued Certificates of Employment (COE), and tracked staff attendance logs.</w:t>
      </w:r>
    </w:p>
    <w:p>
      <w:pPr>
        <w:pStyle w:val="ListBullet"/>
        <w:spacing w:before="0" w:after="30"/>
      </w:pPr>
      <w:r>
        <w:rPr>
          <w:rFonts w:ascii="Georgia" w:hAnsi="Georgia"/>
          <w:sz w:val="17"/>
        </w:rPr>
        <w:t>Facilitated candidate interview scheduling and coordinated pre-employment medical examinations.</w:t>
      </w:r>
    </w:p>
    <w:p>
      <w:pPr>
        <w:spacing w:before="160" w:after="60"/>
        <w:pBdr>
          <w:bottom w:val="single" w:sz="8" w:space="2" w:color="1B365D"/>
        </w:pBdr>
      </w:pPr>
      <w:r>
        <w:rPr>
          <w:rFonts w:ascii="Georgia" w:hAnsi="Georgia"/>
          <w:b/>
          <w:color w:val="1B365D"/>
          <w:sz w:val="21"/>
        </w:rPr>
        <w:t>EDUCATION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7920"/>
          </w:tcPr>
          <w:p>
            <w:pPr>
              <w:spacing w:after="40"/>
            </w:pPr>
            <w:r>
              <w:rPr>
                <w:rFonts w:ascii="Georgia" w:hAnsi="Georgia"/>
                <w:b/>
                <w:sz w:val="18"/>
              </w:rPr>
              <w:t>Bachelor of Science in Psychology</w:t>
              <w:br/>
            </w:r>
            <w:r>
              <w:rPr>
                <w:rFonts w:ascii="Georgia" w:hAnsi="Georgia"/>
                <w:sz w:val="17"/>
              </w:rPr>
              <w:t>Ateneo de Manila University (ADMU) — Loyola Heights, Quezon City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Georgia" w:hAnsi="Georgia"/>
                <w:b/>
                <w:sz w:val="18"/>
              </w:rPr>
              <w:t>Year: 2017</w:t>
            </w:r>
          </w:p>
        </w:tc>
      </w:tr>
    </w:tbl>
    <w:p>
      <w:pPr>
        <w:spacing w:before="160" w:after="60"/>
        <w:pBdr>
          <w:bottom w:val="single" w:sz="8" w:space="2" w:color="1B365D"/>
        </w:pBdr>
      </w:pPr>
      <w:r>
        <w:rPr>
          <w:rFonts w:ascii="Georgia" w:hAnsi="Georgia"/>
          <w:b/>
          <w:color w:val="1B365D"/>
          <w:sz w:val="21"/>
        </w:rPr>
        <w:t>TRAINING &amp; CERTIFICATIONS</w:t>
      </w:r>
    </w:p>
    <w:p>
      <w:pPr>
        <w:pStyle w:val="ListBullet"/>
        <w:spacing w:before="0" w:after="40"/>
      </w:pPr>
      <w:r>
        <w:rPr>
          <w:rFonts w:ascii="Georgia" w:hAnsi="Georgia"/>
          <w:b/>
          <w:sz w:val="17"/>
        </w:rPr>
        <w:t xml:space="preserve">Certified Human Resources Professional (CHRP) </w:t>
      </w:r>
      <w:r>
        <w:rPr>
          <w:rFonts w:ascii="Georgia" w:hAnsi="Georgia"/>
          <w:sz w:val="17"/>
        </w:rPr>
        <w:t>— Human Resource Management Philippines / HRCI (October 2021)</w:t>
      </w:r>
    </w:p>
    <w:p>
      <w:pPr>
        <w:pStyle w:val="ListBullet"/>
        <w:spacing w:before="0" w:after="40"/>
      </w:pPr>
      <w:r>
        <w:rPr>
          <w:rFonts w:ascii="Georgia" w:hAnsi="Georgia"/>
          <w:b/>
          <w:sz w:val="17"/>
        </w:rPr>
        <w:t xml:space="preserve">Standard First Aid and Basic Life Support (BLS) </w:t>
      </w:r>
      <w:r>
        <w:rPr>
          <w:rFonts w:ascii="Georgia" w:hAnsi="Georgia"/>
          <w:sz w:val="17"/>
        </w:rPr>
        <w:t>— Philippine Red Cross (September 2022)</w:t>
      </w:r>
    </w:p>
    <w:p>
      <w:pPr>
        <w:pStyle w:val="ListBullet"/>
        <w:spacing w:before="0" w:after="40"/>
      </w:pPr>
      <w:r>
        <w:rPr>
          <w:rFonts w:ascii="Georgia" w:hAnsi="Georgia"/>
          <w:b/>
          <w:sz w:val="17"/>
        </w:rPr>
        <w:t xml:space="preserve">Philippine Labor Law and Industrial Relations Mastery </w:t>
      </w:r>
      <w:r>
        <w:rPr>
          <w:rFonts w:ascii="Georgia" w:hAnsi="Georgia"/>
          <w:sz w:val="17"/>
        </w:rPr>
        <w:t>— Philippine Hospitality Development Center (May 2019)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