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7759A">
      <w:pPr>
        <w:rPr>
          <w:rFonts w:cs="Arial"/>
        </w:rPr>
      </w:pPr>
    </w:p>
    <w:p w14:paraId="6C37814A">
      <w:pPr>
        <w:rPr>
          <w:rFonts w:cs="Arial"/>
        </w:rPr>
      </w:pPr>
    </w:p>
    <w:p w14:paraId="2867E6C0">
      <w:pPr>
        <w:rPr>
          <w:rFonts w:cs="Arial"/>
        </w:rPr>
      </w:pPr>
    </w:p>
    <w:p w14:paraId="350C18C3">
      <w:pPr>
        <w:rPr>
          <w:rFonts w:cs="Arial"/>
        </w:rPr>
      </w:pPr>
    </w:p>
    <w:p w14:paraId="2C1EAF7B">
      <w:pPr>
        <w:rPr>
          <w:rFonts w:cs="Arial"/>
        </w:rPr>
      </w:pPr>
    </w:p>
    <w:p w14:paraId="303ED5D4">
      <w:pPr>
        <w:rPr>
          <w:rFonts w:cs="Arial"/>
        </w:rPr>
      </w:pPr>
    </w:p>
    <w:p w14:paraId="759DFF2D">
      <w:pPr>
        <w:rPr>
          <w:rFonts w:cs="Arial"/>
        </w:rPr>
      </w:pPr>
    </w:p>
    <w:p w14:paraId="49536765">
      <w:pPr>
        <w:rPr>
          <w:rFonts w:cs="Arial"/>
        </w:rPr>
      </w:pPr>
    </w:p>
    <w:p w14:paraId="1FB265E2">
      <w:pPr>
        <w:rPr>
          <w:rFonts w:cs="Arial"/>
        </w:rPr>
      </w:pPr>
    </w:p>
    <w:p w14:paraId="19FB60ED">
      <w:pPr>
        <w:rPr>
          <w:rFonts w:cs="Arial"/>
        </w:rPr>
      </w:pPr>
    </w:p>
    <w:p w14:paraId="5BC2250F">
      <w:pPr>
        <w:rPr>
          <w:rFonts w:cs="Arial"/>
        </w:rPr>
      </w:pPr>
    </w:p>
    <w:p w14:paraId="42149CCC">
      <w:pPr>
        <w:rPr>
          <w:rFonts w:cs="Arial"/>
        </w:rPr>
      </w:pPr>
    </w:p>
    <w:p w14:paraId="2BD00A9D">
      <w:pPr>
        <w:rPr>
          <w:rFonts w:cs="Arial"/>
        </w:rPr>
      </w:pPr>
    </w:p>
    <w:p w14:paraId="6733EDF8">
      <w:pPr>
        <w:rPr>
          <w:rFonts w:cs="Arial"/>
          <w:lang w:eastAsia="zh-CN"/>
        </w:rPr>
      </w:pPr>
    </w:p>
    <w:p w14:paraId="4E3D2121">
      <w:pPr>
        <w:rPr>
          <w:rFonts w:cs="Arial"/>
          <w:lang w:eastAsia="zh-CN"/>
        </w:rPr>
      </w:pPr>
    </w:p>
    <w:p w14:paraId="1A2CC742">
      <w:pPr>
        <w:rPr>
          <w:rFonts w:cs="Arial"/>
          <w:lang w:eastAsia="zh-CN"/>
        </w:rPr>
      </w:pPr>
    </w:p>
    <w:p w14:paraId="42E4E167">
      <w:pPr>
        <w:jc w:val="center"/>
        <w:rPr>
          <w:rFonts w:cs="Arial"/>
          <w:b/>
          <w:sz w:val="56"/>
          <w:szCs w:val="56"/>
        </w:rPr>
      </w:pPr>
      <w:r>
        <w:rPr>
          <w:rFonts w:cs="Arial"/>
          <w:b/>
          <w:sz w:val="56"/>
          <w:szCs w:val="56"/>
          <w:lang w:eastAsia="zh-CN"/>
        </w:rPr>
        <w:t>Study</w:t>
      </w:r>
      <w:r>
        <w:rPr>
          <w:rFonts w:cs="Arial"/>
          <w:b/>
          <w:sz w:val="56"/>
          <w:szCs w:val="56"/>
        </w:rPr>
        <w:t xml:space="preserve"> Quotation</w:t>
      </w:r>
    </w:p>
    <w:p w14:paraId="61A80F9F">
      <w:pPr>
        <w:jc w:val="center"/>
        <w:rPr>
          <w:rFonts w:cs="Arial"/>
          <w:sz w:val="32"/>
          <w:szCs w:val="32"/>
        </w:rPr>
      </w:pPr>
    </w:p>
    <w:p w14:paraId="076C337D">
      <w:pPr>
        <w:jc w:val="center"/>
        <w:rPr>
          <w:rFonts w:cs="Arial"/>
          <w:i/>
          <w:sz w:val="28"/>
          <w:szCs w:val="28"/>
          <w:highlight w:val="yellow"/>
          <w:lang w:eastAsia="zh-CN"/>
        </w:rPr>
      </w:pPr>
      <w:r>
        <w:rPr>
          <w:rFonts w:cs="Arial"/>
          <w:i/>
          <w:sz w:val="28"/>
          <w:szCs w:val="28"/>
          <w:lang w:eastAsia="zh-CN"/>
        </w:rPr>
        <w:t>Prepared f</w:t>
      </w:r>
      <w:r>
        <w:rPr>
          <w:rFonts w:cs="Arial"/>
          <w:i/>
          <w:sz w:val="28"/>
          <w:szCs w:val="28"/>
        </w:rPr>
        <w:t>or</w:t>
      </w:r>
      <w:r>
        <w:rPr>
          <w:rFonts w:cs="Arial"/>
          <w:i/>
          <w:color w:val="000000" w:themeColor="text1"/>
          <w:sz w:val="28"/>
          <w:szCs w:val="28"/>
          <w14:textFill>
            <w14:solidFill>
              <w14:schemeClr w14:val="tx1"/>
            </w14:solidFill>
          </w14:textFill>
        </w:rPr>
        <w:t xml:space="preserve"> </w:t>
      </w:r>
      <w:r>
        <w:rPr>
          <w:rFonts w:cs="Arial"/>
          <w:i/>
          <w:color w:val="000000" w:themeColor="text1"/>
          <w:sz w:val="28"/>
          <w:szCs w:val="28"/>
          <w:lang w:eastAsia="zh-CN"/>
          <w14:textFill>
            <w14:solidFill>
              <w14:schemeClr w14:val="tx1"/>
            </w14:solidFill>
          </w14:textFill>
        </w:rPr>
        <w:t>{Client_En}</w:t>
      </w:r>
    </w:p>
    <w:p w14:paraId="5CFFE507">
      <w:pPr>
        <w:jc w:val="center"/>
        <w:rPr>
          <w:rFonts w:cs="Arial"/>
          <w:sz w:val="28"/>
          <w:szCs w:val="28"/>
          <w:lang w:eastAsia="zh-CN"/>
        </w:rPr>
      </w:pPr>
    </w:p>
    <w:p w14:paraId="6002143C">
      <w:pPr>
        <w:jc w:val="center"/>
        <w:rPr>
          <w:rFonts w:cs="Arial"/>
          <w:sz w:val="52"/>
          <w:szCs w:val="52"/>
        </w:rPr>
      </w:pPr>
    </w:p>
    <w:p w14:paraId="4ACF21B4">
      <w:pPr>
        <w:jc w:val="center"/>
        <w:rPr>
          <w:rFonts w:cs="Arial"/>
          <w:sz w:val="52"/>
          <w:szCs w:val="52"/>
        </w:rPr>
      </w:pPr>
    </w:p>
    <w:p w14:paraId="074CE36A">
      <w:pPr>
        <w:jc w:val="center"/>
        <w:rPr>
          <w:rFonts w:cs="Arial"/>
          <w:sz w:val="52"/>
          <w:szCs w:val="52"/>
        </w:rPr>
      </w:pPr>
    </w:p>
    <w:p w14:paraId="2BBD1800">
      <w:pPr>
        <w:jc w:val="center"/>
        <w:rPr>
          <w:rFonts w:cs="Arial"/>
          <w:sz w:val="52"/>
          <w:szCs w:val="52"/>
        </w:rPr>
      </w:pPr>
    </w:p>
    <w:p w14:paraId="104E7E36">
      <w:pPr>
        <w:rPr>
          <w:rFonts w:cs="Arial"/>
          <w:sz w:val="52"/>
          <w:szCs w:val="52"/>
        </w:rPr>
      </w:pPr>
    </w:p>
    <w:p w14:paraId="2E4C98A9">
      <w:pPr>
        <w:rPr>
          <w:rFonts w:cs="Arial"/>
          <w:sz w:val="52"/>
          <w:szCs w:val="52"/>
        </w:rPr>
      </w:pPr>
    </w:p>
    <w:p w14:paraId="4B896A54">
      <w:pPr>
        <w:rPr>
          <w:rFonts w:cs="Arial"/>
          <w:sz w:val="52"/>
          <w:szCs w:val="52"/>
        </w:rPr>
      </w:pPr>
    </w:p>
    <w:p w14:paraId="71C0F7AC">
      <w:pPr>
        <w:ind w:right="560"/>
        <w:rPr>
          <w:rFonts w:cs="Arial"/>
          <w:i/>
          <w:iCs/>
          <w:color w:val="000080"/>
          <w:sz w:val="28"/>
          <w:szCs w:val="28"/>
          <w:lang w:eastAsia="zh-CN"/>
        </w:rPr>
      </w:pPr>
    </w:p>
    <w:p w14:paraId="12EA758D">
      <w:pPr>
        <w:ind w:right="560"/>
        <w:rPr>
          <w:rFonts w:cs="Arial"/>
          <w:i/>
          <w:iCs/>
          <w:color w:val="000080"/>
          <w:sz w:val="28"/>
          <w:szCs w:val="28"/>
          <w:lang w:eastAsia="zh-CN"/>
        </w:rPr>
      </w:pPr>
    </w:p>
    <w:p w14:paraId="47AC63A3">
      <w:pPr>
        <w:jc w:val="right"/>
        <w:rPr>
          <w:rFonts w:cs="Arial"/>
          <w:i/>
          <w:iCs/>
          <w:color w:val="000080"/>
          <w:sz w:val="28"/>
          <w:szCs w:val="28"/>
          <w:lang w:eastAsia="zh-CN"/>
        </w:rPr>
      </w:pPr>
    </w:p>
    <w:p w14:paraId="3B772DA5">
      <w:pPr>
        <w:jc w:val="right"/>
        <w:rPr>
          <w:rFonts w:cs="Arial"/>
          <w:i/>
          <w:iCs/>
          <w:color w:val="000080"/>
          <w:sz w:val="28"/>
          <w:szCs w:val="28"/>
          <w:lang w:eastAsia="zh-CN"/>
        </w:rPr>
      </w:pPr>
    </w:p>
    <w:p w14:paraId="661EED14">
      <w:pPr>
        <w:jc w:val="right"/>
        <w:rPr>
          <w:rFonts w:cs="Arial"/>
          <w:i/>
          <w:iCs/>
          <w:color w:val="000080"/>
          <w:sz w:val="28"/>
          <w:szCs w:val="28"/>
        </w:rPr>
      </w:pPr>
      <w:r>
        <w:rPr>
          <w:rFonts w:cs="Arial"/>
          <w:i/>
          <w:iCs/>
          <w:color w:val="000080"/>
          <w:sz w:val="28"/>
          <w:szCs w:val="28"/>
        </w:rPr>
        <w:t>Our People</w:t>
      </w:r>
    </w:p>
    <w:p w14:paraId="4B7A05CF">
      <w:pPr>
        <w:jc w:val="right"/>
        <w:rPr>
          <w:rFonts w:cs="Arial"/>
          <w:i/>
          <w:iCs/>
          <w:color w:val="000080"/>
          <w:sz w:val="28"/>
          <w:szCs w:val="28"/>
        </w:rPr>
      </w:pPr>
      <w:r>
        <w:rPr>
          <w:rFonts w:cs="Arial"/>
          <w:i/>
          <w:iCs/>
          <w:color w:val="000080"/>
          <w:sz w:val="28"/>
          <w:szCs w:val="28"/>
        </w:rPr>
        <w:t>Collaborative Processes</w:t>
      </w:r>
    </w:p>
    <w:p w14:paraId="233DC578">
      <w:pPr>
        <w:jc w:val="right"/>
        <w:rPr>
          <w:rFonts w:cs="Arial"/>
          <w:i/>
          <w:iCs/>
          <w:color w:val="000080"/>
          <w:sz w:val="28"/>
          <w:szCs w:val="28"/>
        </w:rPr>
      </w:pPr>
      <w:r>
        <w:rPr>
          <w:rFonts w:cs="Arial"/>
          <w:i/>
          <w:iCs/>
          <w:color w:val="000080"/>
          <w:sz w:val="28"/>
          <w:szCs w:val="28"/>
        </w:rPr>
        <w:t>Your Productivity</w:t>
      </w:r>
    </w:p>
    <w:tbl>
      <w:tblPr>
        <w:tblStyle w:val="25"/>
        <w:tblW w:w="9889" w:type="dxa"/>
        <w:tblInd w:w="0" w:type="dxa"/>
        <w:tblLayout w:type="autofit"/>
        <w:tblCellMar>
          <w:top w:w="0" w:type="dxa"/>
          <w:left w:w="108" w:type="dxa"/>
          <w:bottom w:w="0" w:type="dxa"/>
          <w:right w:w="108" w:type="dxa"/>
        </w:tblCellMar>
      </w:tblPr>
      <w:tblGrid>
        <w:gridCol w:w="1908"/>
        <w:gridCol w:w="3303"/>
        <w:gridCol w:w="1735"/>
        <w:gridCol w:w="250"/>
        <w:gridCol w:w="2693"/>
      </w:tblGrid>
      <w:tr w14:paraId="5DCA0594">
        <w:tblPrEx>
          <w:tblCellMar>
            <w:top w:w="0" w:type="dxa"/>
            <w:left w:w="108" w:type="dxa"/>
            <w:bottom w:w="0" w:type="dxa"/>
            <w:right w:w="108" w:type="dxa"/>
          </w:tblCellMar>
        </w:tblPrEx>
        <w:tc>
          <w:tcPr>
            <w:tcW w:w="1908" w:type="dxa"/>
          </w:tcPr>
          <w:p w14:paraId="13CD5C52">
            <w:pPr>
              <w:tabs>
                <w:tab w:val="left" w:pos="3060"/>
              </w:tabs>
              <w:spacing w:line="320" w:lineRule="atLeast"/>
              <w:ind w:right="72"/>
              <w:rPr>
                <w:rFonts w:cs="Arial"/>
                <w:b/>
                <w:sz w:val="20"/>
              </w:rPr>
            </w:pPr>
            <w:r>
              <w:rPr>
                <w:rFonts w:cs="Arial"/>
                <w:b/>
                <w:sz w:val="20"/>
              </w:rPr>
              <w:t>Study Director:</w:t>
            </w:r>
          </w:p>
        </w:tc>
        <w:tc>
          <w:tcPr>
            <w:tcW w:w="3303" w:type="dxa"/>
          </w:tcPr>
          <w:p w14:paraId="485B7374">
            <w:pPr>
              <w:pStyle w:val="12"/>
              <w:spacing w:line="320" w:lineRule="atLeast"/>
              <w:rPr>
                <w:rFonts w:cs="Arial"/>
                <w:bCs/>
                <w:lang w:eastAsia="zh-CN"/>
              </w:rPr>
            </w:pPr>
          </w:p>
        </w:tc>
        <w:tc>
          <w:tcPr>
            <w:tcW w:w="1985" w:type="dxa"/>
            <w:gridSpan w:val="2"/>
          </w:tcPr>
          <w:p w14:paraId="776915C9">
            <w:pPr>
              <w:spacing w:line="320" w:lineRule="atLeast"/>
              <w:ind w:right="72"/>
              <w:rPr>
                <w:rFonts w:cs="Arial"/>
                <w:b/>
                <w:sz w:val="20"/>
              </w:rPr>
            </w:pPr>
            <w:r>
              <w:rPr>
                <w:rFonts w:cs="Arial"/>
                <w:b/>
                <w:sz w:val="20"/>
              </w:rPr>
              <w:t>Sponsor Contact:</w:t>
            </w:r>
          </w:p>
        </w:tc>
        <w:tc>
          <w:tcPr>
            <w:tcW w:w="2693" w:type="dxa"/>
          </w:tcPr>
          <w:p w14:paraId="1575A866">
            <w:pPr>
              <w:pStyle w:val="12"/>
              <w:spacing w:line="320" w:lineRule="atLeast"/>
              <w:ind w:firstLine="400" w:firstLineChars="200"/>
              <w:rPr>
                <w:rFonts w:cs="Arial"/>
                <w:bCs/>
                <w:lang w:eastAsia="zh-CN"/>
              </w:rPr>
            </w:pPr>
          </w:p>
        </w:tc>
      </w:tr>
      <w:tr w14:paraId="1EBDAF9A">
        <w:tblPrEx>
          <w:tblCellMar>
            <w:top w:w="0" w:type="dxa"/>
            <w:left w:w="108" w:type="dxa"/>
            <w:bottom w:w="0" w:type="dxa"/>
            <w:right w:w="108" w:type="dxa"/>
          </w:tblCellMar>
        </w:tblPrEx>
        <w:tc>
          <w:tcPr>
            <w:tcW w:w="1908" w:type="dxa"/>
          </w:tcPr>
          <w:p w14:paraId="2A44E545">
            <w:pPr>
              <w:tabs>
                <w:tab w:val="left" w:pos="3060"/>
              </w:tabs>
              <w:spacing w:line="320" w:lineRule="atLeast"/>
              <w:ind w:right="72"/>
              <w:rPr>
                <w:rFonts w:cs="Arial"/>
                <w:b/>
                <w:sz w:val="20"/>
              </w:rPr>
            </w:pPr>
            <w:r>
              <w:rPr>
                <w:rFonts w:cs="Arial"/>
                <w:b/>
                <w:sz w:val="20"/>
              </w:rPr>
              <w:t>Email:</w:t>
            </w:r>
          </w:p>
        </w:tc>
        <w:tc>
          <w:tcPr>
            <w:tcW w:w="3303" w:type="dxa"/>
          </w:tcPr>
          <w:p w14:paraId="301C4E20">
            <w:pPr>
              <w:pStyle w:val="12"/>
              <w:spacing w:line="320" w:lineRule="atLeast"/>
              <w:rPr>
                <w:rFonts w:cs="Arial"/>
                <w:bCs/>
                <w:lang w:eastAsia="zh-CN"/>
              </w:rPr>
            </w:pPr>
          </w:p>
        </w:tc>
        <w:tc>
          <w:tcPr>
            <w:tcW w:w="1735" w:type="dxa"/>
          </w:tcPr>
          <w:p w14:paraId="48EDF518">
            <w:pPr>
              <w:spacing w:line="320" w:lineRule="atLeast"/>
              <w:ind w:right="72"/>
              <w:rPr>
                <w:rFonts w:cs="Arial"/>
                <w:b/>
                <w:sz w:val="20"/>
              </w:rPr>
            </w:pPr>
            <w:r>
              <w:rPr>
                <w:rFonts w:cs="Arial"/>
                <w:b/>
                <w:sz w:val="20"/>
              </w:rPr>
              <w:t>Email:</w:t>
            </w:r>
          </w:p>
        </w:tc>
        <w:tc>
          <w:tcPr>
            <w:tcW w:w="2943" w:type="dxa"/>
            <w:gridSpan w:val="2"/>
          </w:tcPr>
          <w:p w14:paraId="6BE080E5">
            <w:pPr>
              <w:pStyle w:val="12"/>
              <w:spacing w:line="320" w:lineRule="atLeast"/>
              <w:rPr>
                <w:rFonts w:cs="Arial"/>
                <w:bCs/>
                <w:lang w:eastAsia="zh-CN"/>
              </w:rPr>
            </w:pPr>
          </w:p>
        </w:tc>
      </w:tr>
      <w:tr w14:paraId="00E7F07D">
        <w:tblPrEx>
          <w:tblCellMar>
            <w:top w:w="0" w:type="dxa"/>
            <w:left w:w="108" w:type="dxa"/>
            <w:bottom w:w="0" w:type="dxa"/>
            <w:right w:w="108" w:type="dxa"/>
          </w:tblCellMar>
        </w:tblPrEx>
        <w:tc>
          <w:tcPr>
            <w:tcW w:w="1908" w:type="dxa"/>
          </w:tcPr>
          <w:p w14:paraId="6E067BB0">
            <w:pPr>
              <w:tabs>
                <w:tab w:val="left" w:pos="3060"/>
              </w:tabs>
              <w:spacing w:line="320" w:lineRule="atLeast"/>
              <w:ind w:right="72"/>
              <w:rPr>
                <w:rFonts w:cs="Arial"/>
                <w:b/>
                <w:sz w:val="20"/>
              </w:rPr>
            </w:pPr>
            <w:r>
              <w:rPr>
                <w:rFonts w:cs="Arial"/>
                <w:b/>
                <w:sz w:val="20"/>
              </w:rPr>
              <w:t>Phone:</w:t>
            </w:r>
          </w:p>
        </w:tc>
        <w:tc>
          <w:tcPr>
            <w:tcW w:w="3303" w:type="dxa"/>
          </w:tcPr>
          <w:p w14:paraId="09C3F97D">
            <w:pPr>
              <w:pStyle w:val="12"/>
              <w:spacing w:line="320" w:lineRule="atLeast"/>
              <w:rPr>
                <w:rFonts w:cs="Arial"/>
                <w:bCs/>
                <w:lang w:eastAsia="zh-CN"/>
              </w:rPr>
            </w:pPr>
          </w:p>
        </w:tc>
        <w:tc>
          <w:tcPr>
            <w:tcW w:w="1985" w:type="dxa"/>
            <w:gridSpan w:val="2"/>
          </w:tcPr>
          <w:p w14:paraId="3E46EF47">
            <w:pPr>
              <w:spacing w:line="320" w:lineRule="atLeast"/>
              <w:ind w:right="72"/>
              <w:rPr>
                <w:rFonts w:cs="Arial"/>
                <w:b/>
                <w:sz w:val="20"/>
              </w:rPr>
            </w:pPr>
            <w:r>
              <w:rPr>
                <w:rFonts w:cs="Arial"/>
                <w:b/>
                <w:sz w:val="20"/>
              </w:rPr>
              <w:t>Phone:</w:t>
            </w:r>
          </w:p>
        </w:tc>
        <w:tc>
          <w:tcPr>
            <w:tcW w:w="2693" w:type="dxa"/>
          </w:tcPr>
          <w:p w14:paraId="4256397B">
            <w:pPr>
              <w:pStyle w:val="12"/>
              <w:spacing w:line="320" w:lineRule="atLeast"/>
              <w:rPr>
                <w:rFonts w:cs="Arial"/>
                <w:lang w:eastAsia="zh-CN"/>
              </w:rPr>
            </w:pPr>
          </w:p>
        </w:tc>
      </w:tr>
      <w:tr w14:paraId="2344901D">
        <w:tblPrEx>
          <w:tblCellMar>
            <w:top w:w="0" w:type="dxa"/>
            <w:left w:w="108" w:type="dxa"/>
            <w:bottom w:w="0" w:type="dxa"/>
            <w:right w:w="108" w:type="dxa"/>
          </w:tblCellMar>
        </w:tblPrEx>
        <w:trPr>
          <w:cantSplit/>
        </w:trPr>
        <w:tc>
          <w:tcPr>
            <w:tcW w:w="9889" w:type="dxa"/>
            <w:gridSpan w:val="5"/>
            <w:tcBorders>
              <w:bottom w:val="single" w:color="auto" w:sz="18" w:space="0"/>
            </w:tcBorders>
          </w:tcPr>
          <w:p w14:paraId="5D01A5DA">
            <w:pPr>
              <w:tabs>
                <w:tab w:val="left" w:pos="3060"/>
              </w:tabs>
              <w:rPr>
                <w:rFonts w:cs="Arial"/>
                <w:b/>
                <w:smallCaps/>
                <w:sz w:val="20"/>
              </w:rPr>
            </w:pPr>
          </w:p>
        </w:tc>
      </w:tr>
    </w:tbl>
    <w:p w14:paraId="18596767">
      <w:pPr>
        <w:pStyle w:val="11"/>
        <w:rPr>
          <w:rFonts w:cs="Arial"/>
          <w:smallCaps w:val="0"/>
          <w:sz w:val="26"/>
          <w:szCs w:val="26"/>
        </w:rPr>
      </w:pPr>
      <w:r>
        <w:rPr>
          <w:rFonts w:cs="Arial"/>
          <w:smallCaps w:val="0"/>
          <w:sz w:val="26"/>
          <w:szCs w:val="26"/>
        </w:rPr>
        <w:t>Quote and Project Outline</w:t>
      </w:r>
    </w:p>
    <w:p w14:paraId="38E09D1B">
      <w:pPr>
        <w:rPr>
          <w:szCs w:val="24"/>
        </w:rPr>
      </w:pPr>
      <w:r>
        <w:rPr>
          <w:szCs w:val="24"/>
        </w:rPr>
        <w:t>The price estimate for the study entitled, “</w:t>
      </w:r>
      <w:r>
        <w:rPr>
          <w:rFonts w:ascii="Arial" w:hAnsi="Arial"/>
          <w:szCs w:val="24"/>
          <w:lang w:val="en-US" w:eastAsia="zh-CN"/>
        </w:rPr>
        <w:t>Evaluation of the in vivo Efficacy of Test Compounds in</w:t>
      </w:r>
      <w:r>
        <w:rPr>
          <w:rFonts w:hint="eastAsia" w:ascii="Arial" w:hAnsi="Arial"/>
          <w:szCs w:val="24"/>
          <w:lang w:val="en-US" w:eastAsia="zh-CN"/>
        </w:rPr>
        <w:t xml:space="preserve"> </w:t>
      </w:r>
      <w:r>
        <w:rPr>
          <w:szCs w:val="24"/>
          <w:lang w:eastAsia="zh-CN"/>
        </w:rPr>
        <w:t>{Client_En}</w:t>
      </w:r>
      <w:r>
        <w:rPr>
          <w:szCs w:val="24"/>
        </w:rPr>
        <w:t>”,</w:t>
      </w:r>
      <w:r>
        <w:rPr>
          <w:rFonts w:hint="eastAsia"/>
          <w:szCs w:val="24"/>
          <w:lang w:eastAsia="zh-CN"/>
        </w:rPr>
        <w:t xml:space="preserve"> </w:t>
      </w:r>
      <w:r>
        <w:rPr>
          <w:szCs w:val="24"/>
        </w:rPr>
        <w:t>could be referred to the table below and valid for 90 days. This estimate is based on the following experimental design:</w:t>
      </w:r>
    </w:p>
    <w:p w14:paraId="1BF7E19D">
      <w:pPr>
        <w:rPr>
          <w:lang w:eastAsia="zh-CN"/>
        </w:rPr>
      </w:pPr>
    </w:p>
    <w:tbl>
      <w:tblPr>
        <w:tblStyle w:val="25"/>
        <w:tblW w:w="5076" w:type="pct"/>
        <w:tblInd w:w="0" w:type="dxa"/>
        <w:tblLayout w:type="fixed"/>
        <w:tblCellMar>
          <w:top w:w="0" w:type="dxa"/>
          <w:left w:w="108" w:type="dxa"/>
          <w:bottom w:w="0" w:type="dxa"/>
          <w:right w:w="108" w:type="dxa"/>
        </w:tblCellMar>
      </w:tblPr>
      <w:tblGrid>
        <w:gridCol w:w="6237"/>
        <w:gridCol w:w="1307"/>
        <w:gridCol w:w="871"/>
        <w:gridCol w:w="1307"/>
      </w:tblGrid>
      <w:tr w14:paraId="7A7852F6">
        <w:tblPrEx>
          <w:tblCellMar>
            <w:top w:w="0" w:type="dxa"/>
            <w:left w:w="108" w:type="dxa"/>
            <w:bottom w:w="0" w:type="dxa"/>
            <w:right w:w="108" w:type="dxa"/>
          </w:tblCellMar>
        </w:tblPrEx>
        <w:trPr>
          <w:trHeight w:val="340" w:hRule="atLeast"/>
        </w:trPr>
        <w:tc>
          <w:tcPr>
            <w:tcW w:w="3208" w:type="pct"/>
            <w:tcBorders>
              <w:top w:val="single" w:color="auto" w:sz="4" w:space="0"/>
              <w:left w:val="single" w:color="auto" w:sz="4" w:space="0"/>
              <w:bottom w:val="single" w:color="auto" w:sz="4" w:space="0"/>
              <w:right w:val="single" w:color="auto" w:sz="4" w:space="0"/>
            </w:tcBorders>
            <w:noWrap/>
            <w:vAlign w:val="center"/>
          </w:tcPr>
          <w:p w14:paraId="0F96FE7C">
            <w:pPr>
              <w:rPr>
                <w:rFonts w:ascii="Times New Roman" w:hAnsi="Times New Roman" w:eastAsia="等线"/>
                <w:b/>
                <w:color w:val="000000"/>
                <w:sz w:val="22"/>
                <w:szCs w:val="22"/>
                <w:lang w:eastAsia="zh-CN"/>
              </w:rPr>
            </w:pPr>
            <w:r>
              <w:rPr>
                <w:b/>
                <w:bCs/>
                <w:sz w:val="22"/>
                <w:szCs w:val="22"/>
                <w:lang w:eastAsia="zh-CN"/>
              </w:rPr>
              <w:t>Content</w:t>
            </w:r>
          </w:p>
        </w:tc>
        <w:tc>
          <w:tcPr>
            <w:tcW w:w="672" w:type="pct"/>
            <w:tcBorders>
              <w:top w:val="single" w:color="auto" w:sz="4" w:space="0"/>
              <w:left w:val="nil"/>
              <w:bottom w:val="single" w:color="auto" w:sz="4" w:space="0"/>
              <w:right w:val="single" w:color="auto" w:sz="4" w:space="0"/>
            </w:tcBorders>
            <w:noWrap/>
            <w:vAlign w:val="center"/>
          </w:tcPr>
          <w:p w14:paraId="2EAD823C">
            <w:pPr>
              <w:rPr>
                <w:rFonts w:ascii="Times New Roman" w:hAnsi="Times New Roman" w:eastAsia="等线"/>
                <w:b/>
                <w:color w:val="000000"/>
                <w:sz w:val="22"/>
                <w:szCs w:val="22"/>
                <w:lang w:eastAsia="zh-CN"/>
              </w:rPr>
            </w:pPr>
            <w:r>
              <w:rPr>
                <w:b/>
                <w:bCs/>
                <w:sz w:val="22"/>
                <w:szCs w:val="22"/>
                <w:lang w:eastAsia="zh-CN"/>
              </w:rPr>
              <w:t>Unit Price</w:t>
            </w:r>
          </w:p>
        </w:tc>
        <w:tc>
          <w:tcPr>
            <w:tcW w:w="448" w:type="pct"/>
            <w:tcBorders>
              <w:top w:val="single" w:color="auto" w:sz="4" w:space="0"/>
              <w:left w:val="nil"/>
              <w:bottom w:val="single" w:color="auto" w:sz="4" w:space="0"/>
              <w:right w:val="single" w:color="auto" w:sz="4" w:space="0"/>
            </w:tcBorders>
            <w:noWrap/>
            <w:vAlign w:val="center"/>
          </w:tcPr>
          <w:p w14:paraId="516A118F">
            <w:pPr>
              <w:jc w:val="center"/>
              <w:rPr>
                <w:rFonts w:ascii="Times New Roman" w:hAnsi="Times New Roman" w:eastAsia="等线"/>
                <w:b/>
                <w:color w:val="000000"/>
                <w:sz w:val="22"/>
                <w:szCs w:val="22"/>
                <w:lang w:eastAsia="zh-CN"/>
              </w:rPr>
            </w:pPr>
            <w:r>
              <w:rPr>
                <w:b/>
                <w:bCs/>
                <w:sz w:val="22"/>
                <w:szCs w:val="22"/>
                <w:lang w:eastAsia="zh-CN"/>
              </w:rPr>
              <w:t>N</w:t>
            </w:r>
          </w:p>
        </w:tc>
        <w:tc>
          <w:tcPr>
            <w:tcW w:w="673" w:type="pct"/>
            <w:tcBorders>
              <w:top w:val="single" w:color="auto" w:sz="4" w:space="0"/>
              <w:left w:val="nil"/>
              <w:bottom w:val="single" w:color="auto" w:sz="4" w:space="0"/>
              <w:right w:val="single" w:color="auto" w:sz="4" w:space="0"/>
            </w:tcBorders>
            <w:noWrap/>
            <w:vAlign w:val="center"/>
          </w:tcPr>
          <w:p w14:paraId="6D308C03">
            <w:pPr>
              <w:jc w:val="center"/>
              <w:rPr>
                <w:rFonts w:ascii="Times New Roman" w:hAnsi="Times New Roman" w:eastAsia="等线"/>
                <w:b/>
                <w:color w:val="000000"/>
                <w:sz w:val="22"/>
                <w:szCs w:val="22"/>
                <w:lang w:eastAsia="zh-CN"/>
              </w:rPr>
            </w:pPr>
            <w:r>
              <w:rPr>
                <w:b/>
                <w:bCs/>
                <w:sz w:val="22"/>
                <w:szCs w:val="22"/>
                <w:lang w:eastAsia="zh-CN"/>
              </w:rPr>
              <w:t>Total Price</w:t>
            </w:r>
          </w:p>
        </w:tc>
      </w:tr>
      <w:tr w14:paraId="25DFFD37">
        <w:tblPrEx>
          <w:tblCellMar>
            <w:top w:w="0" w:type="dxa"/>
            <w:left w:w="108" w:type="dxa"/>
            <w:bottom w:w="0" w:type="dxa"/>
            <w:right w:w="108" w:type="dxa"/>
          </w:tblCellMar>
        </w:tblPrEx>
        <w:trPr>
          <w:trHeight w:val="3631" w:hRule="atLeast"/>
        </w:trPr>
        <w:tc>
          <w:tcPr>
            <w:tcW w:w="3208" w:type="pct"/>
            <w:tcBorders>
              <w:top w:val="single" w:color="auto" w:sz="4" w:space="0"/>
              <w:left w:val="single" w:color="auto" w:sz="4" w:space="0"/>
              <w:bottom w:val="single" w:color="auto" w:sz="4" w:space="0"/>
              <w:right w:val="single" w:color="auto" w:sz="4" w:space="0"/>
            </w:tcBorders>
            <w:noWrap/>
            <w:vAlign w:val="center"/>
          </w:tcPr>
          <w:p w14:paraId="75139B94">
            <w:pPr>
              <w:autoSpaceDE w:val="0"/>
              <w:autoSpaceDN w:val="0"/>
              <w:adjustRightInd w:val="0"/>
              <w:spacing w:after="240" w:afterLines="100"/>
              <w:jc w:val="both"/>
              <w:rPr>
                <w:b w:val="0"/>
                <w:bCs w:val="0"/>
                <w:sz w:val="22"/>
                <w:szCs w:val="22"/>
                <w:lang w:eastAsia="zh-CN"/>
              </w:rPr>
            </w:pPr>
            <w:r>
              <w:rPr>
                <w:rFonts w:hint="eastAsia"/>
                <w:b w:val="0"/>
                <w:bCs w:val="0"/>
                <w:sz w:val="22"/>
                <w:szCs w:val="22"/>
                <w:lang w:eastAsia="zh-CN"/>
              </w:rPr>
              <w:t xml:space="preserve">Subcutaneous </w:t>
            </w:r>
            <w:r>
              <w:rPr>
                <w:b w:val="0"/>
                <w:bCs w:val="0"/>
                <w:sz w:val="22"/>
                <w:szCs w:val="22"/>
                <w:lang w:eastAsia="zh-CN"/>
              </w:rPr>
              <w:t xml:space="preserve">{CellLine_En} xenograft model </w:t>
            </w:r>
          </w:p>
          <w:p w14:paraId="0C44727B">
            <w:pPr>
              <w:autoSpaceDE w:val="0"/>
              <w:autoSpaceDN w:val="0"/>
              <w:adjustRightInd w:val="0"/>
              <w:spacing w:line="276" w:lineRule="auto"/>
              <w:jc w:val="both"/>
              <w:rPr>
                <w:rFonts w:cs="Arial"/>
                <w:b w:val="0"/>
                <w:bCs w:val="0"/>
                <w:color w:val="000000"/>
                <w:sz w:val="22"/>
                <w:szCs w:val="22"/>
                <w:lang w:eastAsia="zh-CN"/>
              </w:rPr>
            </w:pPr>
            <w:r>
              <w:rPr>
                <w:rFonts w:cs="Arial"/>
                <w:b w:val="0"/>
                <w:bCs w:val="0"/>
                <w:color w:val="000000"/>
                <w:sz w:val="22"/>
                <w:szCs w:val="22"/>
                <w:lang w:eastAsia="zh-CN"/>
              </w:rPr>
              <w:t>-</w:t>
            </w:r>
            <w:r>
              <w:rPr>
                <w:rFonts w:hint="eastAsia" w:cs="Arial"/>
                <w:b w:val="0"/>
                <w:bCs w:val="0"/>
                <w:color w:val="000000"/>
                <w:sz w:val="22"/>
                <w:szCs w:val="22"/>
                <w:lang w:eastAsia="zh-CN"/>
              </w:rPr>
              <w:t xml:space="preserve"> </w:t>
            </w:r>
            <w:r>
              <w:rPr>
                <w:rFonts w:cs="Arial"/>
                <w:b w:val="0"/>
                <w:bCs w:val="0"/>
                <w:color w:val="000000"/>
                <w:sz w:val="22"/>
                <w:szCs w:val="22"/>
                <w:lang w:eastAsia="zh-CN"/>
              </w:rPr>
              <w:t>Animal Strain Sex: {AnimalStrain_En}</w:t>
            </w:r>
            <w:r>
              <w:rPr>
                <w:rFonts w:hint="eastAsia" w:cs="Arial"/>
                <w:b w:val="0"/>
                <w:bCs w:val="0"/>
                <w:color w:val="000000"/>
                <w:sz w:val="22"/>
                <w:szCs w:val="22"/>
                <w:lang w:eastAsia="zh-CN"/>
              </w:rPr>
              <w:t xml:space="preserve"> (female, 4-5 weeks old)</w:t>
            </w:r>
          </w:p>
          <w:p w14:paraId="54AA3130">
            <w:pPr>
              <w:autoSpaceDE w:val="0"/>
              <w:autoSpaceDN w:val="0"/>
              <w:adjustRightInd w:val="0"/>
              <w:spacing w:line="276" w:lineRule="auto"/>
              <w:jc w:val="both"/>
              <w:rPr>
                <w:rFonts w:cs="Arial"/>
                <w:b w:val="0"/>
                <w:bCs w:val="0"/>
                <w:color w:val="000000"/>
                <w:sz w:val="22"/>
                <w:szCs w:val="22"/>
                <w:lang w:eastAsia="zh-CN"/>
              </w:rPr>
            </w:pPr>
            <w:r>
              <w:rPr>
                <w:rFonts w:cs="Arial"/>
                <w:b w:val="0"/>
                <w:bCs w:val="0"/>
                <w:color w:val="000000"/>
                <w:sz w:val="22"/>
                <w:szCs w:val="22"/>
                <w:lang w:eastAsia="zh-CN"/>
              </w:rPr>
              <w:t>-Tumor cell inoculation:</w:t>
            </w:r>
            <w:r>
              <w:rPr>
                <w:rFonts w:hint="eastAsia" w:cs="Arial"/>
                <w:b w:val="0"/>
                <w:bCs w:val="0"/>
                <w:color w:val="000000"/>
                <w:sz w:val="22"/>
                <w:szCs w:val="22"/>
                <w:lang w:val="en-US" w:eastAsia="zh-CN"/>
              </w:rPr>
              <w:t xml:space="preserve"> </w:t>
            </w:r>
            <w:r>
              <w:rPr>
                <w:rFonts w:hint="eastAsia" w:cs="Arial"/>
                <w:b w:val="0"/>
                <w:bCs w:val="0"/>
                <w:color w:val="000000"/>
                <w:sz w:val="22"/>
                <w:szCs w:val="22"/>
                <w:lang w:eastAsia="zh-CN"/>
              </w:rPr>
              <w:t>{</w:t>
            </w:r>
            <w:r>
              <w:rPr>
                <w:rFonts w:cs="Arial"/>
                <w:b w:val="0"/>
                <w:bCs w:val="0"/>
                <w:color w:val="000000"/>
                <w:sz w:val="22"/>
                <w:szCs w:val="22"/>
                <w:lang w:eastAsia="zh-CN"/>
              </w:rPr>
              <w:t>type_En</w:t>
            </w:r>
            <w:r>
              <w:rPr>
                <w:rFonts w:hint="eastAsia" w:cs="Arial"/>
                <w:b w:val="0"/>
                <w:bCs w:val="0"/>
                <w:color w:val="000000"/>
                <w:sz w:val="22"/>
                <w:szCs w:val="22"/>
                <w:lang w:eastAsia="zh-CN"/>
              </w:rPr>
              <w:t xml:space="preserve">} </w:t>
            </w:r>
            <w:r>
              <w:rPr>
                <w:rFonts w:cs="Arial"/>
                <w:b w:val="0"/>
                <w:bCs w:val="0"/>
                <w:color w:val="000000"/>
                <w:sz w:val="22"/>
                <w:szCs w:val="22"/>
                <w:lang w:eastAsia="zh-CN"/>
              </w:rPr>
              <w:t>implantation, {CellLine_En} cells</w:t>
            </w:r>
          </w:p>
          <w:p w14:paraId="4E66BAC5">
            <w:pPr>
              <w:autoSpaceDE w:val="0"/>
              <w:autoSpaceDN w:val="0"/>
              <w:adjustRightInd w:val="0"/>
              <w:spacing w:line="276" w:lineRule="auto"/>
              <w:jc w:val="both"/>
              <w:rPr>
                <w:rFonts w:cs="Arial"/>
                <w:b w:val="0"/>
                <w:bCs w:val="0"/>
                <w:color w:val="000000"/>
                <w:sz w:val="22"/>
                <w:szCs w:val="22"/>
                <w:lang w:eastAsia="zh-CN"/>
              </w:rPr>
            </w:pPr>
            <w:r>
              <w:rPr>
                <w:rFonts w:cs="Arial"/>
                <w:b w:val="0"/>
                <w:bCs w:val="0"/>
                <w:color w:val="000000"/>
                <w:sz w:val="22"/>
                <w:szCs w:val="22"/>
                <w:lang w:eastAsia="zh-CN"/>
              </w:rPr>
              <w:t>- Administration: {Administration_En}</w:t>
            </w:r>
          </w:p>
          <w:p w14:paraId="5617F9F2">
            <w:pPr>
              <w:autoSpaceDE w:val="0"/>
              <w:autoSpaceDN w:val="0"/>
              <w:adjustRightInd w:val="0"/>
              <w:spacing w:line="276" w:lineRule="auto"/>
              <w:jc w:val="both"/>
              <w:rPr>
                <w:rFonts w:cs="Arial"/>
                <w:b w:val="0"/>
                <w:bCs w:val="0"/>
                <w:color w:val="000000"/>
                <w:sz w:val="22"/>
                <w:szCs w:val="22"/>
                <w:lang w:eastAsia="zh-CN"/>
              </w:rPr>
            </w:pPr>
            <w:r>
              <w:rPr>
                <w:rFonts w:cs="Arial"/>
                <w:b w:val="0"/>
                <w:bCs w:val="0"/>
                <w:color w:val="000000"/>
                <w:sz w:val="22"/>
                <w:szCs w:val="22"/>
                <w:lang w:eastAsia="zh-CN"/>
              </w:rPr>
              <w:t>-</w:t>
            </w:r>
            <w:r>
              <w:rPr>
                <w:rFonts w:hint="eastAsia" w:cs="Arial"/>
                <w:b w:val="0"/>
                <w:bCs w:val="0"/>
                <w:color w:val="000000"/>
                <w:sz w:val="22"/>
                <w:szCs w:val="22"/>
                <w:lang w:eastAsia="zh-CN"/>
              </w:rPr>
              <w:t xml:space="preserve"> </w:t>
            </w:r>
            <w:r>
              <w:rPr>
                <w:rFonts w:cs="Arial"/>
                <w:b w:val="0"/>
                <w:bCs w:val="0"/>
                <w:color w:val="000000"/>
                <w:sz w:val="22"/>
                <w:szCs w:val="22"/>
                <w:lang w:eastAsia="zh-CN"/>
              </w:rPr>
              <w:t>Bi-weekly body weight and tumor volume measurement and daily observation</w:t>
            </w:r>
          </w:p>
          <w:p w14:paraId="5BCE0710">
            <w:pPr>
              <w:autoSpaceDE w:val="0"/>
              <w:autoSpaceDN w:val="0"/>
              <w:adjustRightInd w:val="0"/>
              <w:spacing w:line="276" w:lineRule="auto"/>
              <w:jc w:val="both"/>
              <w:rPr>
                <w:rFonts w:ascii="Times New Roman" w:hAnsi="Times New Roman"/>
                <w:b w:val="0"/>
                <w:bCs w:val="0"/>
                <w:color w:val="E46C0A" w:themeColor="accent6" w:themeShade="BF"/>
                <w:sz w:val="22"/>
                <w:szCs w:val="22"/>
                <w:lang w:eastAsia="zh-CN"/>
              </w:rPr>
            </w:pPr>
            <w:r>
              <w:rPr>
                <w:rFonts w:cs="Arial"/>
                <w:b w:val="0"/>
                <w:bCs w:val="0"/>
                <w:color w:val="000000"/>
                <w:sz w:val="22"/>
                <w:szCs w:val="22"/>
                <w:lang w:eastAsia="zh-CN"/>
              </w:rPr>
              <w:t>-</w:t>
            </w:r>
            <w:r>
              <w:rPr>
                <w:rFonts w:hint="eastAsia" w:cs="Arial"/>
                <w:b w:val="0"/>
                <w:bCs w:val="0"/>
                <w:color w:val="000000"/>
                <w:sz w:val="22"/>
                <w:szCs w:val="22"/>
                <w:lang w:eastAsia="zh-CN"/>
              </w:rPr>
              <w:t xml:space="preserve"> </w:t>
            </w:r>
            <w:r>
              <w:rPr>
                <w:rFonts w:cs="Arial"/>
                <w:b w:val="0"/>
                <w:bCs w:val="0"/>
                <w:color w:val="000000"/>
                <w:sz w:val="22"/>
                <w:szCs w:val="22"/>
                <w:lang w:eastAsia="zh-CN"/>
              </w:rPr>
              <w:t>Duration of study: up to 4 weeks after grouping</w:t>
            </w:r>
          </w:p>
        </w:tc>
        <w:tc>
          <w:tcPr>
            <w:tcW w:w="672" w:type="pct"/>
            <w:tcBorders>
              <w:top w:val="single" w:color="auto" w:sz="4" w:space="0"/>
              <w:left w:val="single" w:color="auto" w:sz="4" w:space="0"/>
              <w:bottom w:val="single" w:color="auto" w:sz="4" w:space="0"/>
              <w:right w:val="single" w:color="auto" w:sz="4" w:space="0"/>
            </w:tcBorders>
            <w:noWrap/>
            <w:vAlign w:val="center"/>
          </w:tcPr>
          <w:p w14:paraId="09F1E9D3">
            <w:pPr>
              <w:autoSpaceDE w:val="0"/>
              <w:autoSpaceDN w:val="0"/>
              <w:adjustRightInd w:val="0"/>
              <w:spacing w:after="240" w:afterLines="100"/>
              <w:jc w:val="both"/>
              <w:rPr>
                <w:rFonts w:ascii="Times New Roman" w:hAnsi="Times New Roman" w:eastAsia="等线"/>
                <w:b w:val="0"/>
                <w:bCs w:val="0"/>
                <w:sz w:val="22"/>
                <w:szCs w:val="22"/>
                <w:lang w:eastAsia="zh-CN"/>
              </w:rPr>
            </w:pPr>
            <w:r>
              <w:rPr>
                <w:rFonts w:hint="eastAsia"/>
                <w:b w:val="0"/>
                <w:bCs w:val="0"/>
                <w:sz w:val="22"/>
                <w:szCs w:val="22"/>
                <w:lang w:eastAsia="zh-CN"/>
              </w:rPr>
              <w:t>${UnitPrice}/animal</w:t>
            </w:r>
          </w:p>
        </w:tc>
        <w:tc>
          <w:tcPr>
            <w:tcW w:w="448" w:type="pct"/>
            <w:tcBorders>
              <w:top w:val="single" w:color="auto" w:sz="4" w:space="0"/>
              <w:left w:val="single" w:color="auto" w:sz="4" w:space="0"/>
              <w:bottom w:val="single" w:color="auto" w:sz="4" w:space="0"/>
              <w:right w:val="single" w:color="auto" w:sz="4" w:space="0"/>
            </w:tcBorders>
            <w:noWrap/>
            <w:vAlign w:val="center"/>
          </w:tcPr>
          <w:p w14:paraId="20A4048B">
            <w:pPr>
              <w:jc w:val="center"/>
              <w:rPr>
                <w:rFonts w:ascii="Times New Roman" w:hAnsi="Times New Roman" w:eastAsia="等线"/>
                <w:b w:val="0"/>
                <w:bCs w:val="0"/>
                <w:sz w:val="22"/>
                <w:szCs w:val="22"/>
                <w:lang w:eastAsia="zh-CN"/>
              </w:rPr>
            </w:pPr>
            <w:r>
              <w:rPr>
                <w:rFonts w:hint="eastAsia"/>
                <w:b w:val="0"/>
                <w:bCs w:val="0"/>
                <w:sz w:val="22"/>
                <w:szCs w:val="22"/>
                <w:lang w:eastAsia="zh-CN"/>
              </w:rPr>
              <w:t>{Quantity}</w:t>
            </w:r>
          </w:p>
        </w:tc>
        <w:tc>
          <w:tcPr>
            <w:tcW w:w="673" w:type="pct"/>
            <w:tcBorders>
              <w:top w:val="single" w:color="auto" w:sz="4" w:space="0"/>
              <w:left w:val="single" w:color="auto" w:sz="4" w:space="0"/>
              <w:bottom w:val="single" w:color="auto" w:sz="4" w:space="0"/>
              <w:right w:val="single" w:color="auto" w:sz="4" w:space="0"/>
            </w:tcBorders>
            <w:noWrap/>
            <w:vAlign w:val="center"/>
          </w:tcPr>
          <w:p w14:paraId="4F4F0783">
            <w:pPr>
              <w:jc w:val="center"/>
              <w:rPr>
                <w:rFonts w:ascii="Times New Roman" w:hAnsi="Times New Roman" w:eastAsia="等线"/>
                <w:b w:val="0"/>
                <w:bCs w:val="0"/>
                <w:sz w:val="22"/>
                <w:szCs w:val="22"/>
                <w:lang w:eastAsia="zh-CN"/>
              </w:rPr>
            </w:pPr>
            <w:r>
              <w:rPr>
                <w:rFonts w:hint="eastAsia"/>
                <w:b w:val="0"/>
                <w:bCs w:val="0"/>
                <w:sz w:val="22"/>
                <w:szCs w:val="22"/>
                <w:lang w:eastAsia="zh-CN"/>
              </w:rPr>
              <w:t xml:space="preserve">$ {TotalPrice}  </w:t>
            </w:r>
          </w:p>
        </w:tc>
      </w:tr>
      <w:tr w14:paraId="28E45E0B">
        <w:tblPrEx>
          <w:tblCellMar>
            <w:top w:w="0" w:type="dxa"/>
            <w:left w:w="108" w:type="dxa"/>
            <w:bottom w:w="0" w:type="dxa"/>
            <w:right w:w="108" w:type="dxa"/>
          </w:tblCellMar>
        </w:tblPrEx>
        <w:trPr>
          <w:trHeight w:val="589" w:hRule="atLeast"/>
        </w:trPr>
        <w:tc>
          <w:tcPr>
            <w:tcW w:w="5000" w:type="pct"/>
            <w:gridSpan w:val="4"/>
            <w:tcBorders>
              <w:top w:val="single" w:color="auto" w:sz="4" w:space="0"/>
              <w:left w:val="single" w:color="auto" w:sz="4" w:space="0"/>
              <w:bottom w:val="single" w:color="auto" w:sz="4" w:space="0"/>
              <w:right w:val="single" w:color="auto" w:sz="4" w:space="0"/>
            </w:tcBorders>
            <w:noWrap/>
            <w:vAlign w:val="center"/>
          </w:tcPr>
          <w:p w14:paraId="4D574AFB">
            <w:pPr>
              <w:jc w:val="left"/>
              <w:rPr>
                <w:rFonts w:ascii="Times New Roman" w:hAnsi="Times New Roman"/>
                <w:b w:val="0"/>
                <w:bCs w:val="0"/>
                <w:sz w:val="22"/>
                <w:szCs w:val="22"/>
                <w:lang w:eastAsia="zh-CN"/>
              </w:rPr>
            </w:pPr>
            <w:r>
              <w:rPr>
                <w:rFonts w:hint="eastAsia"/>
                <w:b w:val="0"/>
                <w:bCs w:val="0"/>
                <w:sz w:val="22"/>
                <w:szCs w:val="22"/>
                <w:lang w:eastAsia="zh-CN"/>
              </w:rPr>
              <w:t xml:space="preserve">Optional: </w:t>
            </w:r>
          </w:p>
        </w:tc>
      </w:tr>
      <w:tr w14:paraId="64FD2A29">
        <w:tblPrEx>
          <w:tblCellMar>
            <w:top w:w="0" w:type="dxa"/>
            <w:left w:w="108" w:type="dxa"/>
            <w:bottom w:w="0" w:type="dxa"/>
            <w:right w:w="108" w:type="dxa"/>
          </w:tblCellMar>
        </w:tblPrEx>
        <w:trPr>
          <w:trHeight w:val="555" w:hRule="atLeast"/>
        </w:trPr>
        <w:tc>
          <w:tcPr>
            <w:tcW w:w="3208" w:type="pct"/>
            <w:tcBorders>
              <w:top w:val="single" w:color="auto" w:sz="4" w:space="0"/>
              <w:left w:val="single" w:color="auto" w:sz="4" w:space="0"/>
              <w:bottom w:val="single" w:color="auto" w:sz="4" w:space="0"/>
              <w:right w:val="single" w:color="auto" w:sz="4" w:space="0"/>
            </w:tcBorders>
            <w:noWrap/>
            <w:vAlign w:val="center"/>
          </w:tcPr>
          <w:p w14:paraId="5BF8A42F">
            <w:pPr>
              <w:jc w:val="left"/>
              <w:rPr>
                <w:rFonts w:ascii="Times New Roman" w:hAnsi="Times New Roman"/>
                <w:b w:val="0"/>
                <w:bCs w:val="0"/>
                <w:sz w:val="22"/>
                <w:szCs w:val="22"/>
                <w:lang w:eastAsia="zh-CN"/>
              </w:rPr>
            </w:pPr>
            <w:r>
              <w:rPr>
                <w:rFonts w:hint="eastAsia"/>
                <w:b w:val="0"/>
                <w:bCs w:val="0"/>
                <w:sz w:val="22"/>
                <w:szCs w:val="22"/>
                <w:lang w:eastAsia="zh-CN"/>
              </w:rPr>
              <w:t xml:space="preserve">Sample collection (tumor for free): </w:t>
            </w:r>
          </w:p>
        </w:tc>
        <w:tc>
          <w:tcPr>
            <w:tcW w:w="672" w:type="pct"/>
            <w:tcBorders>
              <w:top w:val="single" w:color="auto" w:sz="4" w:space="0"/>
              <w:left w:val="single" w:color="auto" w:sz="4" w:space="0"/>
              <w:bottom w:val="single" w:color="auto" w:sz="4" w:space="0"/>
              <w:right w:val="single" w:color="auto" w:sz="4" w:space="0"/>
            </w:tcBorders>
            <w:noWrap/>
            <w:vAlign w:val="center"/>
          </w:tcPr>
          <w:p w14:paraId="6CBF9742">
            <w:pPr>
              <w:jc w:val="center"/>
              <w:rPr>
                <w:rFonts w:hint="eastAsia"/>
                <w:b w:val="0"/>
                <w:bCs w:val="0"/>
                <w:sz w:val="22"/>
                <w:szCs w:val="22"/>
                <w:lang w:eastAsia="zh-CN"/>
              </w:rPr>
            </w:pPr>
            <w:r>
              <w:rPr>
                <w:rFonts w:hint="eastAsia"/>
                <w:b w:val="0"/>
                <w:bCs w:val="0"/>
                <w:sz w:val="22"/>
                <w:szCs w:val="22"/>
                <w:lang w:eastAsia="zh-CN"/>
              </w:rPr>
              <w:t>$ 10/sample</w:t>
            </w:r>
          </w:p>
        </w:tc>
        <w:tc>
          <w:tcPr>
            <w:tcW w:w="448" w:type="pct"/>
            <w:tcBorders>
              <w:top w:val="single" w:color="auto" w:sz="4" w:space="0"/>
              <w:left w:val="single" w:color="auto" w:sz="4" w:space="0"/>
              <w:bottom w:val="single" w:color="auto" w:sz="4" w:space="0"/>
              <w:right w:val="single" w:color="auto" w:sz="4" w:space="0"/>
            </w:tcBorders>
            <w:noWrap/>
            <w:vAlign w:val="center"/>
          </w:tcPr>
          <w:p w14:paraId="0D1AA64E">
            <w:pPr>
              <w:jc w:val="center"/>
              <w:rPr>
                <w:rFonts w:hint="eastAsia"/>
                <w:b w:val="0"/>
                <w:bCs w:val="0"/>
                <w:sz w:val="22"/>
                <w:szCs w:val="22"/>
                <w:lang w:eastAsia="zh-CN"/>
              </w:rPr>
            </w:pPr>
            <w:r>
              <w:rPr>
                <w:rFonts w:hint="eastAsia"/>
                <w:b w:val="0"/>
                <w:bCs w:val="0"/>
                <w:sz w:val="22"/>
                <w:szCs w:val="22"/>
                <w:lang w:eastAsia="zh-CN"/>
              </w:rPr>
              <w:t>TBD</w:t>
            </w:r>
          </w:p>
        </w:tc>
        <w:tc>
          <w:tcPr>
            <w:tcW w:w="673" w:type="pct"/>
            <w:tcBorders>
              <w:top w:val="single" w:color="auto" w:sz="4" w:space="0"/>
              <w:left w:val="single" w:color="auto" w:sz="4" w:space="0"/>
              <w:bottom w:val="single" w:color="auto" w:sz="4" w:space="0"/>
              <w:right w:val="single" w:color="auto" w:sz="4" w:space="0"/>
            </w:tcBorders>
            <w:noWrap/>
            <w:vAlign w:val="center"/>
          </w:tcPr>
          <w:p w14:paraId="526AC465">
            <w:pPr>
              <w:jc w:val="center"/>
              <w:rPr>
                <w:rFonts w:hint="eastAsia"/>
                <w:b w:val="0"/>
                <w:bCs w:val="0"/>
                <w:sz w:val="22"/>
                <w:szCs w:val="22"/>
                <w:lang w:eastAsia="zh-CN"/>
              </w:rPr>
            </w:pPr>
            <w:r>
              <w:rPr>
                <w:rFonts w:hint="eastAsia"/>
                <w:b w:val="0"/>
                <w:bCs w:val="0"/>
                <w:sz w:val="22"/>
                <w:szCs w:val="22"/>
                <w:lang w:eastAsia="zh-CN"/>
              </w:rPr>
              <w:t>TBD</w:t>
            </w:r>
          </w:p>
        </w:tc>
      </w:tr>
      <w:tr w14:paraId="45E18BDD">
        <w:tblPrEx>
          <w:tblCellMar>
            <w:top w:w="0" w:type="dxa"/>
            <w:left w:w="108" w:type="dxa"/>
            <w:bottom w:w="0" w:type="dxa"/>
            <w:right w:w="108" w:type="dxa"/>
          </w:tblCellMar>
        </w:tblPrEx>
        <w:trPr>
          <w:trHeight w:val="690" w:hRule="atLeast"/>
        </w:trPr>
        <w:tc>
          <w:tcPr>
            <w:tcW w:w="3208" w:type="pct"/>
            <w:tcBorders>
              <w:top w:val="single" w:color="auto" w:sz="4" w:space="0"/>
              <w:left w:val="single" w:color="auto" w:sz="4" w:space="0"/>
              <w:bottom w:val="single" w:color="auto" w:sz="4" w:space="0"/>
              <w:right w:val="single" w:color="auto" w:sz="4" w:space="0"/>
            </w:tcBorders>
            <w:noWrap/>
            <w:vAlign w:val="center"/>
          </w:tcPr>
          <w:p w14:paraId="5F474E12">
            <w:pPr>
              <w:jc w:val="left"/>
              <w:rPr>
                <w:rFonts w:ascii="Times New Roman" w:hAnsi="Times New Roman"/>
                <w:b w:val="0"/>
                <w:bCs w:val="0"/>
                <w:sz w:val="22"/>
                <w:szCs w:val="22"/>
                <w:lang w:eastAsia="zh-CN"/>
              </w:rPr>
            </w:pPr>
            <w:r>
              <w:rPr>
                <w:rFonts w:hint="eastAsia"/>
                <w:b w:val="0"/>
                <w:bCs w:val="0"/>
                <w:sz w:val="22"/>
                <w:szCs w:val="22"/>
                <w:lang w:eastAsia="zh-CN"/>
              </w:rPr>
              <w:t>Extended observation period (more than 4 weeks)</w:t>
            </w:r>
          </w:p>
        </w:tc>
        <w:tc>
          <w:tcPr>
            <w:tcW w:w="672" w:type="pct"/>
            <w:tcBorders>
              <w:top w:val="single" w:color="auto" w:sz="4" w:space="0"/>
              <w:left w:val="single" w:color="auto" w:sz="4" w:space="0"/>
              <w:bottom w:val="single" w:color="auto" w:sz="4" w:space="0"/>
              <w:right w:val="single" w:color="auto" w:sz="4" w:space="0"/>
            </w:tcBorders>
            <w:noWrap/>
            <w:vAlign w:val="center"/>
          </w:tcPr>
          <w:p w14:paraId="4D8AE6F3">
            <w:pPr>
              <w:jc w:val="center"/>
              <w:rPr>
                <w:rFonts w:hint="eastAsia"/>
                <w:b w:val="0"/>
                <w:bCs w:val="0"/>
                <w:sz w:val="22"/>
                <w:szCs w:val="22"/>
                <w:lang w:eastAsia="zh-CN"/>
              </w:rPr>
            </w:pPr>
            <w:r>
              <w:rPr>
                <w:rFonts w:hint="eastAsia"/>
                <w:b w:val="0"/>
                <w:bCs w:val="0"/>
                <w:sz w:val="22"/>
                <w:szCs w:val="22"/>
                <w:lang w:eastAsia="zh-CN"/>
              </w:rPr>
              <w:t>$20/animal/week</w:t>
            </w:r>
          </w:p>
        </w:tc>
        <w:tc>
          <w:tcPr>
            <w:tcW w:w="448" w:type="pct"/>
            <w:tcBorders>
              <w:top w:val="single" w:color="auto" w:sz="4" w:space="0"/>
              <w:left w:val="single" w:color="auto" w:sz="4" w:space="0"/>
              <w:bottom w:val="single" w:color="auto" w:sz="4" w:space="0"/>
              <w:right w:val="single" w:color="auto" w:sz="4" w:space="0"/>
            </w:tcBorders>
            <w:noWrap/>
            <w:vAlign w:val="center"/>
          </w:tcPr>
          <w:p w14:paraId="64CACD05">
            <w:pPr>
              <w:jc w:val="center"/>
              <w:rPr>
                <w:rFonts w:hint="eastAsia"/>
                <w:b w:val="0"/>
                <w:bCs w:val="0"/>
                <w:sz w:val="22"/>
                <w:szCs w:val="22"/>
                <w:lang w:eastAsia="zh-CN"/>
              </w:rPr>
            </w:pPr>
            <w:r>
              <w:rPr>
                <w:rFonts w:hint="eastAsia"/>
                <w:b w:val="0"/>
                <w:bCs w:val="0"/>
                <w:sz w:val="22"/>
                <w:szCs w:val="22"/>
                <w:lang w:eastAsia="zh-CN"/>
              </w:rPr>
              <w:t>TBD</w:t>
            </w:r>
          </w:p>
        </w:tc>
        <w:tc>
          <w:tcPr>
            <w:tcW w:w="673" w:type="pct"/>
            <w:tcBorders>
              <w:top w:val="single" w:color="auto" w:sz="4" w:space="0"/>
              <w:left w:val="single" w:color="auto" w:sz="4" w:space="0"/>
              <w:bottom w:val="single" w:color="auto" w:sz="4" w:space="0"/>
              <w:right w:val="single" w:color="auto" w:sz="4" w:space="0"/>
            </w:tcBorders>
            <w:noWrap/>
            <w:vAlign w:val="center"/>
          </w:tcPr>
          <w:p w14:paraId="5328235D">
            <w:pPr>
              <w:jc w:val="center"/>
              <w:rPr>
                <w:rFonts w:hint="eastAsia"/>
                <w:b w:val="0"/>
                <w:bCs w:val="0"/>
                <w:sz w:val="22"/>
                <w:szCs w:val="22"/>
                <w:lang w:eastAsia="zh-CN"/>
              </w:rPr>
            </w:pPr>
            <w:r>
              <w:rPr>
                <w:rFonts w:hint="eastAsia"/>
                <w:b w:val="0"/>
                <w:bCs w:val="0"/>
                <w:sz w:val="22"/>
                <w:szCs w:val="22"/>
                <w:lang w:eastAsia="zh-CN"/>
              </w:rPr>
              <w:t>TBD</w:t>
            </w:r>
          </w:p>
        </w:tc>
      </w:tr>
      <w:tr w14:paraId="16718A4D">
        <w:tblPrEx>
          <w:tblCellMar>
            <w:top w:w="0" w:type="dxa"/>
            <w:left w:w="108" w:type="dxa"/>
            <w:bottom w:w="0" w:type="dxa"/>
            <w:right w:w="108" w:type="dxa"/>
          </w:tblCellMar>
        </w:tblPrEx>
        <w:trPr>
          <w:trHeight w:val="340" w:hRule="atLeast"/>
        </w:trPr>
        <w:tc>
          <w:tcPr>
            <w:tcW w:w="4327" w:type="pct"/>
            <w:gridSpan w:val="3"/>
            <w:tcBorders>
              <w:top w:val="single" w:color="auto" w:sz="4" w:space="0"/>
              <w:left w:val="single" w:color="auto" w:sz="4" w:space="0"/>
              <w:bottom w:val="single" w:color="auto" w:sz="4" w:space="0"/>
              <w:right w:val="single" w:color="auto" w:sz="4" w:space="0"/>
            </w:tcBorders>
            <w:noWrap/>
            <w:vAlign w:val="center"/>
          </w:tcPr>
          <w:p w14:paraId="6F0455DC">
            <w:pPr>
              <w:jc w:val="left"/>
              <w:rPr>
                <w:rFonts w:ascii="Times New Roman" w:hAnsi="Times New Roman"/>
                <w:b w:val="0"/>
                <w:bCs w:val="0"/>
                <w:sz w:val="22"/>
                <w:szCs w:val="22"/>
                <w:lang w:eastAsia="zh-CN"/>
              </w:rPr>
            </w:pPr>
            <w:r>
              <w:rPr>
                <w:rFonts w:hint="eastAsia"/>
                <w:b w:val="0"/>
                <w:bCs w:val="0"/>
                <w:sz w:val="22"/>
                <w:szCs w:val="22"/>
                <w:lang w:eastAsia="zh-CN"/>
              </w:rPr>
              <w:t xml:space="preserve">Total (not including the optional items): </w:t>
            </w:r>
          </w:p>
        </w:tc>
        <w:tc>
          <w:tcPr>
            <w:tcW w:w="673" w:type="pct"/>
            <w:tcBorders>
              <w:top w:val="single" w:color="auto" w:sz="4" w:space="0"/>
              <w:left w:val="nil"/>
              <w:bottom w:val="single" w:color="auto" w:sz="4" w:space="0"/>
              <w:right w:val="single" w:color="auto" w:sz="4" w:space="0"/>
            </w:tcBorders>
            <w:noWrap/>
            <w:vAlign w:val="center"/>
          </w:tcPr>
          <w:p w14:paraId="145EDDD9">
            <w:pPr>
              <w:jc w:val="center"/>
              <w:rPr>
                <w:rFonts w:ascii="Times New Roman" w:hAnsi="Times New Roman"/>
                <w:b w:val="0"/>
                <w:bCs w:val="0"/>
                <w:sz w:val="22"/>
                <w:szCs w:val="22"/>
                <w:lang w:eastAsia="zh-CN"/>
              </w:rPr>
            </w:pPr>
            <w:r>
              <w:rPr>
                <w:rFonts w:hint="eastAsia"/>
                <w:b w:val="0"/>
                <w:bCs w:val="0"/>
                <w:sz w:val="22"/>
                <w:szCs w:val="22"/>
                <w:lang w:eastAsia="zh-CN"/>
              </w:rPr>
              <w:t xml:space="preserve">$ {TotalPrice} </w:t>
            </w:r>
          </w:p>
        </w:tc>
      </w:tr>
    </w:tbl>
    <w:p w14:paraId="1CD375DB">
      <w:pPr>
        <w:rPr>
          <w:lang w:eastAsia="zh-CN"/>
        </w:rPr>
      </w:pPr>
    </w:p>
    <w:p w14:paraId="775D09C7">
      <w:pPr>
        <w:autoSpaceDE w:val="0"/>
        <w:autoSpaceDN w:val="0"/>
        <w:adjustRightInd w:val="0"/>
        <w:spacing w:after="240" w:afterLines="100"/>
        <w:jc w:val="both"/>
        <w:rPr>
          <w:rFonts w:cs="Arial"/>
          <w:b/>
          <w:color w:val="000000"/>
          <w:sz w:val="22"/>
          <w:szCs w:val="22"/>
          <w:u w:val="single"/>
          <w:lang w:eastAsia="zh-CN"/>
        </w:rPr>
      </w:pPr>
      <w:r>
        <w:rPr>
          <w:rFonts w:cs="Arial"/>
          <w:b/>
          <w:color w:val="000000"/>
          <w:sz w:val="22"/>
          <w:szCs w:val="22"/>
          <w:u w:val="single"/>
          <w:lang w:eastAsia="zh-CN"/>
        </w:rPr>
        <w:t>Study Design:</w:t>
      </w:r>
    </w:p>
    <w:p w14:paraId="474D127A">
      <w:pPr>
        <w:autoSpaceDE w:val="0"/>
        <w:autoSpaceDN w:val="0"/>
        <w:adjustRightInd w:val="0"/>
        <w:spacing w:after="240" w:afterLines="100"/>
        <w:jc w:val="both"/>
        <w:rPr>
          <w:rFonts w:cs="Arial"/>
          <w:b/>
          <w:smallCaps/>
          <w:sz w:val="22"/>
          <w:u w:val="single"/>
          <w:lang w:eastAsia="zh-CN"/>
        </w:rPr>
      </w:pPr>
      <w:r>
        <w:rPr>
          <w:b/>
          <w:bCs/>
          <w:sz w:val="22"/>
          <w:szCs w:val="22"/>
        </w:rPr>
        <w:t>Animals, treatment groups and duration:</w:t>
      </w:r>
    </w:p>
    <w:p w14:paraId="72CA9D78">
      <w:pPr>
        <w:autoSpaceDE w:val="0"/>
        <w:autoSpaceDN w:val="0"/>
        <w:adjustRightInd w:val="0"/>
        <w:spacing w:line="276" w:lineRule="auto"/>
        <w:jc w:val="both"/>
        <w:rPr>
          <w:rFonts w:cs="Arial"/>
          <w:color w:val="000000"/>
          <w:sz w:val="22"/>
          <w:szCs w:val="22"/>
          <w:lang w:eastAsia="zh-CN"/>
        </w:rPr>
      </w:pPr>
      <w:r>
        <w:rPr>
          <w:rFonts w:cs="Arial"/>
          <w:color w:val="000000"/>
          <w:sz w:val="22"/>
          <w:szCs w:val="22"/>
          <w:lang w:eastAsia="zh-CN"/>
        </w:rPr>
        <w:t>Total {Quantity} {AnimalStrain_En} will be used in this study. Each mouse will be acclimated for at least 7 days, and then</w:t>
      </w:r>
      <w:r>
        <w:rPr>
          <w:rFonts w:hint="eastAsia" w:cs="Arial"/>
          <w:color w:val="000000"/>
          <w:sz w:val="22"/>
          <w:szCs w:val="22"/>
          <w:lang w:eastAsia="zh-CN"/>
        </w:rPr>
        <w:t xml:space="preserve"> </w:t>
      </w:r>
      <w:r>
        <w:rPr>
          <w:rFonts w:cs="Arial"/>
          <w:color w:val="000000"/>
          <w:sz w:val="22"/>
          <w:szCs w:val="22"/>
          <w:lang w:eastAsia="zh-CN"/>
        </w:rPr>
        <w:t xml:space="preserve">{CellLine_En} tumor cells in PBS+Matrigel will be injected into the right flank of each mouse. </w:t>
      </w:r>
    </w:p>
    <w:p w14:paraId="62080BEA">
      <w:pPr>
        <w:autoSpaceDE w:val="0"/>
        <w:autoSpaceDN w:val="0"/>
        <w:adjustRightInd w:val="0"/>
        <w:jc w:val="both"/>
        <w:rPr>
          <w:rFonts w:cs="Arial"/>
          <w:color w:val="000000"/>
          <w:sz w:val="22"/>
          <w:szCs w:val="22"/>
          <w:lang w:eastAsia="zh-CN"/>
        </w:rPr>
      </w:pPr>
    </w:p>
    <w:p w14:paraId="69BDEBA5">
      <w:pPr>
        <w:autoSpaceDE w:val="0"/>
        <w:autoSpaceDN w:val="0"/>
        <w:adjustRightInd w:val="0"/>
        <w:spacing w:line="276" w:lineRule="auto"/>
        <w:jc w:val="both"/>
        <w:rPr>
          <w:rFonts w:cs="Arial"/>
          <w:color w:val="000000"/>
          <w:sz w:val="22"/>
          <w:szCs w:val="22"/>
          <w:lang w:eastAsia="zh-CN"/>
        </w:rPr>
      </w:pPr>
      <w:r>
        <w:rPr>
          <w:rFonts w:cs="Arial"/>
          <w:color w:val="000000"/>
          <w:sz w:val="22"/>
          <w:szCs w:val="22"/>
          <w:lang w:eastAsia="zh-CN"/>
        </w:rPr>
        <w:t xml:space="preserve">When tumor grows to around </w:t>
      </w:r>
      <w:r>
        <w:rPr>
          <w:rFonts w:hint="eastAsia" w:cs="Arial"/>
          <w:color w:val="000000"/>
          <w:sz w:val="22"/>
          <w:szCs w:val="22"/>
          <w:lang w:eastAsia="zh-CN"/>
        </w:rPr>
        <w:t>{</w:t>
      </w:r>
      <w:r>
        <w:rPr>
          <w:rFonts w:cs="Arial"/>
          <w:color w:val="000000"/>
          <w:sz w:val="22"/>
          <w:szCs w:val="22"/>
          <w:lang w:eastAsia="zh-CN"/>
        </w:rPr>
        <w:t>Grouping_En</w:t>
      </w:r>
      <w:r>
        <w:rPr>
          <w:rFonts w:hint="eastAsia" w:cs="Arial"/>
          <w:color w:val="000000"/>
          <w:sz w:val="22"/>
          <w:szCs w:val="22"/>
          <w:lang w:eastAsia="zh-CN"/>
        </w:rPr>
        <w:t>}</w:t>
      </w:r>
      <w:r>
        <w:rPr>
          <w:rFonts w:cs="Arial"/>
          <w:color w:val="000000"/>
          <w:sz w:val="22"/>
          <w:szCs w:val="22"/>
          <w:lang w:eastAsia="zh-CN"/>
        </w:rPr>
        <w:t xml:space="preserve">, all animals will be grouped by tumor volume and body weight, and receive treatments as described in table below (Table 1), the day of randomization will be denoted as Day 0: </w:t>
      </w:r>
    </w:p>
    <w:p w14:paraId="3605F867">
      <w:pPr>
        <w:autoSpaceDE w:val="0"/>
        <w:autoSpaceDN w:val="0"/>
        <w:adjustRightInd w:val="0"/>
        <w:jc w:val="both"/>
        <w:rPr>
          <w:rFonts w:cs="Arial"/>
          <w:color w:val="000000"/>
          <w:sz w:val="22"/>
          <w:szCs w:val="22"/>
          <w:lang w:eastAsia="zh-CN"/>
        </w:rPr>
      </w:pPr>
    </w:p>
    <w:p w14:paraId="1E174AA2">
      <w:pPr>
        <w:autoSpaceDE w:val="0"/>
        <w:autoSpaceDN w:val="0"/>
        <w:adjustRightInd w:val="0"/>
        <w:jc w:val="both"/>
        <w:rPr>
          <w:b/>
          <w:bCs/>
          <w:sz w:val="22"/>
          <w:szCs w:val="22"/>
        </w:rPr>
      </w:pPr>
      <w:r>
        <w:rPr>
          <w:b/>
          <w:bCs/>
          <w:sz w:val="22"/>
          <w:szCs w:val="22"/>
        </w:rPr>
        <w:t xml:space="preserve">Table 1: Study design of efficacy study </w:t>
      </w:r>
    </w:p>
    <w:tbl>
      <w:tblPr>
        <w:tblStyle w:val="26"/>
        <w:tblW w:w="5236"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522"/>
        <w:gridCol w:w="1513"/>
        <w:gridCol w:w="1122"/>
        <w:gridCol w:w="1766"/>
        <w:gridCol w:w="2968"/>
      </w:tblGrid>
      <w:tr w14:paraId="7430A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166" w:type="pct"/>
            <w:tcBorders>
              <w:top w:val="single" w:color="auto" w:sz="4" w:space="0"/>
              <w:bottom w:val="single" w:color="auto" w:sz="4" w:space="0"/>
            </w:tcBorders>
            <w:vAlign w:val="center"/>
          </w:tcPr>
          <w:p w14:paraId="7E96D9B4">
            <w:pPr>
              <w:pStyle w:val="39"/>
              <w:jc w:val="center"/>
              <w:rPr>
                <w:b/>
                <w:sz w:val="21"/>
                <w:szCs w:val="21"/>
              </w:rPr>
            </w:pPr>
            <w:r>
              <w:rPr>
                <w:b/>
                <w:sz w:val="21"/>
                <w:szCs w:val="21"/>
              </w:rPr>
              <w:t>Group</w:t>
            </w:r>
          </w:p>
        </w:tc>
        <w:tc>
          <w:tcPr>
            <w:tcW w:w="285" w:type="pct"/>
            <w:tcBorders>
              <w:top w:val="single" w:color="auto" w:sz="4" w:space="0"/>
              <w:bottom w:val="single" w:color="auto" w:sz="4" w:space="0"/>
            </w:tcBorders>
            <w:vAlign w:val="center"/>
          </w:tcPr>
          <w:p w14:paraId="7C2AB8B6">
            <w:pPr>
              <w:pStyle w:val="39"/>
              <w:jc w:val="center"/>
              <w:rPr>
                <w:b/>
                <w:sz w:val="21"/>
                <w:szCs w:val="21"/>
              </w:rPr>
            </w:pPr>
            <w:r>
              <w:rPr>
                <w:b/>
                <w:sz w:val="21"/>
                <w:szCs w:val="21"/>
              </w:rPr>
              <w:t>N</w:t>
            </w:r>
          </w:p>
        </w:tc>
        <w:tc>
          <w:tcPr>
            <w:tcW w:w="742" w:type="pct"/>
            <w:tcBorders>
              <w:top w:val="single" w:color="auto" w:sz="4" w:space="0"/>
              <w:bottom w:val="single" w:color="auto" w:sz="4" w:space="0"/>
            </w:tcBorders>
            <w:vAlign w:val="center"/>
          </w:tcPr>
          <w:p w14:paraId="0DFD14BB">
            <w:pPr>
              <w:pStyle w:val="39"/>
              <w:jc w:val="center"/>
              <w:rPr>
                <w:b/>
                <w:sz w:val="21"/>
                <w:szCs w:val="21"/>
              </w:rPr>
            </w:pPr>
            <w:r>
              <w:rPr>
                <w:b/>
                <w:sz w:val="21"/>
                <w:szCs w:val="21"/>
              </w:rPr>
              <w:t>Test Articles</w:t>
            </w:r>
          </w:p>
        </w:tc>
        <w:tc>
          <w:tcPr>
            <w:tcW w:w="710" w:type="pct"/>
            <w:tcBorders>
              <w:top w:val="single" w:color="auto" w:sz="4" w:space="0"/>
              <w:bottom w:val="single" w:color="auto" w:sz="4" w:space="0"/>
            </w:tcBorders>
            <w:vAlign w:val="center"/>
          </w:tcPr>
          <w:p w14:paraId="41111217">
            <w:pPr>
              <w:pStyle w:val="39"/>
              <w:jc w:val="center"/>
              <w:rPr>
                <w:b/>
                <w:sz w:val="21"/>
                <w:szCs w:val="21"/>
              </w:rPr>
            </w:pPr>
            <w:r>
              <w:rPr>
                <w:b/>
                <w:sz w:val="21"/>
                <w:szCs w:val="21"/>
              </w:rPr>
              <w:t>Dose</w:t>
            </w:r>
          </w:p>
          <w:p w14:paraId="46EFD31F">
            <w:pPr>
              <w:pStyle w:val="39"/>
              <w:jc w:val="center"/>
              <w:rPr>
                <w:b/>
                <w:sz w:val="21"/>
                <w:szCs w:val="21"/>
              </w:rPr>
            </w:pPr>
            <w:r>
              <w:rPr>
                <w:b/>
                <w:sz w:val="21"/>
                <w:szCs w:val="21"/>
              </w:rPr>
              <w:t>(</w:t>
            </w:r>
            <w:r>
              <w:rPr>
                <w:rFonts w:hint="eastAsia"/>
                <w:b/>
                <w:sz w:val="21"/>
                <w:szCs w:val="21"/>
                <w:lang w:val="en-US" w:eastAsia="zh-CN"/>
              </w:rPr>
              <w:t>m</w:t>
            </w:r>
            <w:r>
              <w:rPr>
                <w:b/>
                <w:sz w:val="21"/>
                <w:szCs w:val="21"/>
              </w:rPr>
              <w:t>g/</w:t>
            </w:r>
            <w:r>
              <w:rPr>
                <w:rFonts w:hint="eastAsia"/>
                <w:b/>
                <w:sz w:val="21"/>
                <w:szCs w:val="21"/>
                <w:lang w:val="en-US" w:eastAsia="zh-CN"/>
              </w:rPr>
              <w:t>kg</w:t>
            </w:r>
            <w:r>
              <w:rPr>
                <w:b/>
                <w:sz w:val="21"/>
                <w:szCs w:val="21"/>
              </w:rPr>
              <w:t>)</w:t>
            </w:r>
          </w:p>
        </w:tc>
        <w:tc>
          <w:tcPr>
            <w:tcW w:w="1518" w:type="pct"/>
            <w:tcBorders>
              <w:top w:val="single" w:color="auto" w:sz="4" w:space="0"/>
              <w:bottom w:val="single" w:color="auto" w:sz="4" w:space="0"/>
            </w:tcBorders>
            <w:vAlign w:val="center"/>
          </w:tcPr>
          <w:p w14:paraId="79833323">
            <w:pPr>
              <w:pStyle w:val="39"/>
              <w:jc w:val="center"/>
              <w:rPr>
                <w:b/>
                <w:sz w:val="21"/>
                <w:szCs w:val="21"/>
              </w:rPr>
            </w:pPr>
            <w:r>
              <w:rPr>
                <w:b/>
                <w:sz w:val="21"/>
                <w:szCs w:val="21"/>
              </w:rPr>
              <w:t>Dosing Route</w:t>
            </w:r>
          </w:p>
        </w:tc>
        <w:tc>
          <w:tcPr>
            <w:tcW w:w="579" w:type="pct"/>
            <w:tcBorders>
              <w:top w:val="single" w:color="auto" w:sz="4" w:space="0"/>
              <w:bottom w:val="single" w:color="auto" w:sz="4" w:space="0"/>
            </w:tcBorders>
            <w:vAlign w:val="center"/>
          </w:tcPr>
          <w:p w14:paraId="394DAE9D">
            <w:pPr>
              <w:pStyle w:val="39"/>
              <w:jc w:val="center"/>
              <w:rPr>
                <w:b/>
                <w:sz w:val="21"/>
                <w:szCs w:val="21"/>
              </w:rPr>
            </w:pPr>
            <w:r>
              <w:rPr>
                <w:b/>
                <w:sz w:val="21"/>
                <w:szCs w:val="21"/>
              </w:rPr>
              <w:t>Dosing Regimen</w:t>
            </w:r>
          </w:p>
        </w:tc>
      </w:tr>
      <w:tr w14:paraId="0C258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166" w:type="pct"/>
            <w:tcBorders>
              <w:top w:val="single" w:color="auto" w:sz="4" w:space="0"/>
              <w:bottom w:val="single" w:color="auto" w:sz="4" w:space="0"/>
            </w:tcBorders>
            <w:vAlign w:val="center"/>
          </w:tcPr>
          <w:p w14:paraId="1C31F9FA">
            <w:pPr>
              <w:pStyle w:val="39"/>
              <w:jc w:val="center"/>
              <w:rPr>
                <w:bCs/>
                <w:sz w:val="22"/>
                <w:szCs w:val="22"/>
              </w:rPr>
            </w:pPr>
            <w:r>
              <w:rPr>
                <w:bCs/>
                <w:sz w:val="22"/>
                <w:szCs w:val="22"/>
              </w:rPr>
              <w:t>{#groups}{GroupID}</w:t>
            </w:r>
          </w:p>
        </w:tc>
        <w:tc>
          <w:tcPr>
            <w:tcW w:w="285" w:type="pct"/>
            <w:tcBorders>
              <w:top w:val="single" w:color="auto" w:sz="4" w:space="0"/>
              <w:bottom w:val="single" w:color="auto" w:sz="4" w:space="0"/>
            </w:tcBorders>
            <w:vAlign w:val="center"/>
          </w:tcPr>
          <w:p w14:paraId="444F9A80">
            <w:pPr>
              <w:pStyle w:val="39"/>
              <w:jc w:val="center"/>
              <w:rPr>
                <w:bCs/>
                <w:sz w:val="22"/>
                <w:szCs w:val="22"/>
                <w:highlight w:val="yellow"/>
              </w:rPr>
            </w:pPr>
            <w:r>
              <w:rPr>
                <w:bCs/>
                <w:sz w:val="22"/>
                <w:szCs w:val="22"/>
              </w:rPr>
              <w:t>{N}</w:t>
            </w:r>
          </w:p>
        </w:tc>
        <w:tc>
          <w:tcPr>
            <w:tcW w:w="742" w:type="pct"/>
            <w:tcBorders>
              <w:top w:val="single" w:color="auto" w:sz="4" w:space="0"/>
              <w:bottom w:val="single" w:color="auto" w:sz="4" w:space="0"/>
            </w:tcBorders>
            <w:vAlign w:val="center"/>
          </w:tcPr>
          <w:p w14:paraId="3CE7008F">
            <w:pPr>
              <w:pStyle w:val="39"/>
              <w:jc w:val="center"/>
              <w:rPr>
                <w:bCs/>
                <w:sz w:val="22"/>
                <w:szCs w:val="22"/>
              </w:rPr>
            </w:pPr>
            <w:r>
              <w:rPr>
                <w:bCs/>
                <w:sz w:val="22"/>
                <w:szCs w:val="22"/>
              </w:rPr>
              <w:t>{TestArticles}</w:t>
            </w:r>
          </w:p>
        </w:tc>
        <w:tc>
          <w:tcPr>
            <w:tcW w:w="710" w:type="pct"/>
            <w:tcBorders>
              <w:top w:val="single" w:color="auto" w:sz="4" w:space="0"/>
              <w:bottom w:val="single" w:color="auto" w:sz="4" w:space="0"/>
            </w:tcBorders>
            <w:vAlign w:val="center"/>
          </w:tcPr>
          <w:p w14:paraId="050D428C">
            <w:pPr>
              <w:pStyle w:val="39"/>
              <w:jc w:val="center"/>
              <w:rPr>
                <w:bCs/>
                <w:sz w:val="22"/>
                <w:szCs w:val="22"/>
              </w:rPr>
            </w:pPr>
            <w:r>
              <w:rPr>
                <w:bCs/>
                <w:sz w:val="22"/>
                <w:szCs w:val="22"/>
              </w:rPr>
              <w:t>{Dosage}</w:t>
            </w:r>
          </w:p>
        </w:tc>
        <w:tc>
          <w:tcPr>
            <w:tcW w:w="1518" w:type="pct"/>
            <w:tcBorders>
              <w:top w:val="single" w:color="auto" w:sz="4" w:space="0"/>
              <w:bottom w:val="single" w:color="auto" w:sz="4" w:space="0"/>
            </w:tcBorders>
            <w:vAlign w:val="center"/>
          </w:tcPr>
          <w:p w14:paraId="68BEAB1B">
            <w:pPr>
              <w:pStyle w:val="39"/>
              <w:jc w:val="center"/>
              <w:rPr>
                <w:bCs/>
                <w:sz w:val="22"/>
                <w:szCs w:val="22"/>
              </w:rPr>
            </w:pPr>
            <w:r>
              <w:rPr>
                <w:bCs/>
                <w:sz w:val="22"/>
                <w:szCs w:val="22"/>
              </w:rPr>
              <w:t>{DosingR</w:t>
            </w:r>
            <w:r>
              <w:rPr>
                <w:rFonts w:hint="eastAsia"/>
                <w:bCs/>
                <w:sz w:val="22"/>
                <w:szCs w:val="22"/>
                <w:lang w:val="en-US" w:eastAsia="zh-CN"/>
              </w:rPr>
              <w:t>oute</w:t>
            </w:r>
            <w:bookmarkStart w:id="4" w:name="_GoBack"/>
            <w:bookmarkEnd w:id="4"/>
            <w:r>
              <w:rPr>
                <w:bCs/>
                <w:sz w:val="22"/>
                <w:szCs w:val="22"/>
              </w:rPr>
              <w:t>}</w:t>
            </w:r>
          </w:p>
        </w:tc>
        <w:tc>
          <w:tcPr>
            <w:tcW w:w="579" w:type="pct"/>
            <w:tcBorders>
              <w:top w:val="single" w:color="auto" w:sz="4" w:space="0"/>
              <w:bottom w:val="single" w:color="auto" w:sz="4" w:space="0"/>
            </w:tcBorders>
            <w:vAlign w:val="center"/>
          </w:tcPr>
          <w:p w14:paraId="75B71820">
            <w:pPr>
              <w:pStyle w:val="39"/>
              <w:jc w:val="center"/>
              <w:rPr>
                <w:bCs/>
                <w:sz w:val="22"/>
                <w:szCs w:val="22"/>
              </w:rPr>
            </w:pPr>
            <w:r>
              <w:rPr>
                <w:bCs/>
                <w:sz w:val="22"/>
                <w:szCs w:val="22"/>
              </w:rPr>
              <w:t>{</w:t>
            </w:r>
            <w:r>
              <w:rPr>
                <w:rFonts w:hint="eastAsia"/>
                <w:bCs/>
                <w:sz w:val="22"/>
                <w:szCs w:val="22"/>
              </w:rPr>
              <w:t>DosingFrequency</w:t>
            </w:r>
            <w:r>
              <w:rPr>
                <w:bCs/>
                <w:sz w:val="22"/>
                <w:szCs w:val="22"/>
              </w:rPr>
              <w:t>}{/groups}</w:t>
            </w:r>
          </w:p>
        </w:tc>
      </w:tr>
    </w:tbl>
    <w:p w14:paraId="0B9F0633">
      <w:pPr>
        <w:rPr>
          <w:rFonts w:cs="Arial"/>
          <w:color w:val="000000"/>
          <w:sz w:val="18"/>
          <w:szCs w:val="18"/>
          <w:lang w:eastAsia="zh-CN"/>
        </w:rPr>
      </w:pPr>
      <w:r>
        <w:rPr>
          <w:rFonts w:cs="Arial"/>
          <w:color w:val="000000"/>
          <w:sz w:val="18"/>
          <w:szCs w:val="18"/>
          <w:lang w:eastAsia="zh-CN"/>
        </w:rPr>
        <w:t xml:space="preserve">N: animal number per group </w:t>
      </w:r>
    </w:p>
    <w:p w14:paraId="6EBD8972">
      <w:pPr>
        <w:rPr>
          <w:rFonts w:cs="Arial"/>
          <w:b/>
          <w:color w:val="000000"/>
          <w:sz w:val="22"/>
          <w:szCs w:val="22"/>
          <w:lang w:eastAsia="zh-CN"/>
        </w:rPr>
      </w:pPr>
    </w:p>
    <w:p w14:paraId="784EE015">
      <w:pPr>
        <w:autoSpaceDE w:val="0"/>
        <w:autoSpaceDN w:val="0"/>
        <w:adjustRightInd w:val="0"/>
        <w:spacing w:after="240" w:afterLines="100"/>
        <w:jc w:val="both"/>
        <w:rPr>
          <w:rFonts w:cs="Arial"/>
          <w:b/>
          <w:color w:val="000000"/>
          <w:sz w:val="22"/>
          <w:szCs w:val="22"/>
          <w:u w:val="single"/>
          <w:lang w:eastAsia="zh-CN"/>
        </w:rPr>
      </w:pPr>
      <w:bookmarkStart w:id="0" w:name="_Hlk216078636"/>
      <w:r>
        <w:rPr>
          <w:rFonts w:cs="Arial"/>
          <w:b/>
          <w:color w:val="000000"/>
          <w:sz w:val="22"/>
          <w:szCs w:val="22"/>
          <w:u w:val="single"/>
          <w:lang w:eastAsia="zh-CN"/>
        </w:rPr>
        <w:t>Evaluations:</w:t>
      </w:r>
      <w:bookmarkEnd w:id="0"/>
      <w:r>
        <w:rPr>
          <w:rFonts w:cs="Arial"/>
          <w:b/>
          <w:color w:val="000000"/>
          <w:sz w:val="22"/>
          <w:szCs w:val="22"/>
          <w:u w:val="single"/>
          <w:lang w:eastAsia="zh-CN"/>
        </w:rPr>
        <w:t xml:space="preserve"> </w:t>
      </w:r>
      <w:r>
        <w:rPr>
          <w:rFonts w:cs="Arial"/>
          <w:color w:val="000000"/>
          <w:sz w:val="21"/>
          <w:szCs w:val="23"/>
          <w:lang w:eastAsia="zh-CN"/>
        </w:rPr>
        <w:t>{Evaluations_En}</w:t>
      </w:r>
    </w:p>
    <w:p w14:paraId="04F787A2">
      <w:pPr>
        <w:pStyle w:val="16"/>
        <w:spacing w:line="276" w:lineRule="auto"/>
        <w:rPr>
          <w:rFonts w:ascii="Arial" w:hAnsi="Arial" w:eastAsia="宋体" w:cs="Arial"/>
          <w:color w:val="000000"/>
          <w:sz w:val="22"/>
          <w:szCs w:val="22"/>
        </w:rPr>
      </w:pPr>
      <w:bookmarkStart w:id="1" w:name="_Hlk216078468"/>
      <w:r>
        <w:rPr>
          <w:rFonts w:ascii="Arial" w:hAnsi="Arial" w:eastAsia="宋体" w:cs="Arial"/>
          <w:b/>
          <w:color w:val="000000"/>
          <w:sz w:val="22"/>
          <w:szCs w:val="22"/>
        </w:rPr>
        <w:t>Cage side observation:</w:t>
      </w:r>
      <w:r>
        <w:rPr>
          <w:rFonts w:ascii="Arial" w:hAnsi="Arial" w:eastAsia="宋体" w:cs="Arial"/>
          <w:color w:val="000000"/>
          <w:sz w:val="22"/>
          <w:szCs w:val="22"/>
        </w:rPr>
        <w:t xml:space="preserve"> Each mouse will be observed for changes in general appearance and behavior every day after cell inoculation. Survival (until Day 50) and regular monitoring of signs of clinical distress, ulceration...The abnormal phenomena will be recorded and presented in the study report.</w:t>
      </w:r>
    </w:p>
    <w:p w14:paraId="271B0B06">
      <w:pPr>
        <w:pStyle w:val="16"/>
        <w:spacing w:line="276" w:lineRule="auto"/>
        <w:rPr>
          <w:rFonts w:ascii="Arial" w:hAnsi="Arial" w:eastAsia="宋体" w:cs="Arial"/>
          <w:color w:val="000000"/>
          <w:sz w:val="22"/>
          <w:szCs w:val="22"/>
        </w:rPr>
      </w:pPr>
      <w:bookmarkStart w:id="2" w:name="_Hlk216078611"/>
      <w:r>
        <w:rPr>
          <w:rFonts w:ascii="Arial" w:hAnsi="Arial" w:eastAsia="宋体" w:cs="Arial"/>
          <w:b/>
          <w:color w:val="000000"/>
          <w:sz w:val="22"/>
          <w:szCs w:val="22"/>
        </w:rPr>
        <w:t>Body weight</w:t>
      </w:r>
      <w:bookmarkEnd w:id="2"/>
      <w:r>
        <w:rPr>
          <w:rFonts w:ascii="Arial" w:hAnsi="Arial" w:eastAsia="宋体" w:cs="Arial"/>
          <w:b/>
          <w:color w:val="000000"/>
          <w:sz w:val="22"/>
          <w:szCs w:val="22"/>
        </w:rPr>
        <w:t>:</w:t>
      </w:r>
      <w:r>
        <w:rPr>
          <w:rFonts w:ascii="Arial" w:hAnsi="Arial" w:eastAsia="宋体" w:cs="Arial"/>
          <w:color w:val="000000"/>
          <w:sz w:val="22"/>
          <w:szCs w:val="22"/>
        </w:rPr>
        <w:t xml:space="preserve"> will be measured twice a week after grouping.</w:t>
      </w:r>
    </w:p>
    <w:p w14:paraId="5382AF5C">
      <w:pPr>
        <w:pStyle w:val="16"/>
        <w:spacing w:line="276" w:lineRule="auto"/>
        <w:rPr>
          <w:rFonts w:ascii="Arial" w:hAnsi="Arial" w:eastAsia="宋体" w:cs="Arial"/>
          <w:color w:val="000000"/>
          <w:sz w:val="22"/>
          <w:szCs w:val="22"/>
        </w:rPr>
      </w:pPr>
      <w:r>
        <w:rPr>
          <w:rFonts w:ascii="Arial" w:hAnsi="Arial" w:eastAsia="宋体" w:cs="Arial"/>
          <w:b/>
          <w:color w:val="000000"/>
          <w:sz w:val="22"/>
          <w:szCs w:val="22"/>
        </w:rPr>
        <w:t>Tumor volume:</w:t>
      </w:r>
      <w:r>
        <w:rPr>
          <w:rFonts w:ascii="Arial" w:hAnsi="Arial" w:eastAsia="宋体" w:cs="Arial"/>
          <w:color w:val="000000"/>
          <w:sz w:val="22"/>
          <w:szCs w:val="22"/>
        </w:rPr>
        <w:t xml:space="preserve"> The tumor volume (V) will be calculated as follows: V = (length x width</w:t>
      </w:r>
      <w:r>
        <w:rPr>
          <w:rFonts w:ascii="Arial" w:hAnsi="Arial" w:eastAsia="宋体" w:cs="Arial"/>
          <w:color w:val="000000"/>
          <w:sz w:val="22"/>
          <w:szCs w:val="22"/>
          <w:vertAlign w:val="superscript"/>
        </w:rPr>
        <w:t>2</w:t>
      </w:r>
      <w:r>
        <w:rPr>
          <w:rFonts w:ascii="Arial" w:hAnsi="Arial" w:eastAsia="宋体" w:cs="Arial"/>
          <w:color w:val="000000"/>
          <w:sz w:val="22"/>
          <w:szCs w:val="22"/>
        </w:rPr>
        <w:t xml:space="preserve">) / 2. Tumor volume will be measured twice a week. </w:t>
      </w:r>
    </w:p>
    <w:p w14:paraId="578E2F84">
      <w:pPr>
        <w:pStyle w:val="16"/>
        <w:spacing w:line="276" w:lineRule="auto"/>
        <w:rPr>
          <w:rFonts w:ascii="Arial" w:hAnsi="Arial" w:eastAsia="宋体" w:cs="Arial"/>
          <w:color w:val="000000"/>
          <w:sz w:val="22"/>
          <w:szCs w:val="22"/>
        </w:rPr>
      </w:pPr>
      <w:r>
        <w:rPr>
          <w:rFonts w:ascii="Arial" w:hAnsi="Arial" w:eastAsia="宋体" w:cs="Arial"/>
          <w:b/>
          <w:color w:val="000000"/>
          <w:sz w:val="22"/>
          <w:szCs w:val="22"/>
        </w:rPr>
        <w:t>The individual relative tumor volume (RTV)</w:t>
      </w:r>
      <w:r>
        <w:rPr>
          <w:rFonts w:ascii="Arial" w:hAnsi="Arial" w:eastAsia="宋体" w:cs="Arial"/>
          <w:color w:val="000000"/>
          <w:sz w:val="22"/>
          <w:szCs w:val="22"/>
        </w:rPr>
        <w:t xml:space="preserve"> will be calculated as follows: RTV=V</w:t>
      </w:r>
      <w:r>
        <w:rPr>
          <w:rFonts w:ascii="Arial" w:hAnsi="Arial" w:eastAsia="宋体" w:cs="Arial"/>
          <w:color w:val="000000"/>
          <w:sz w:val="22"/>
          <w:szCs w:val="22"/>
          <w:vertAlign w:val="subscript"/>
        </w:rPr>
        <w:t>t</w:t>
      </w:r>
      <w:r>
        <w:rPr>
          <w:rFonts w:ascii="Arial" w:hAnsi="Arial" w:eastAsia="宋体" w:cs="Arial"/>
          <w:color w:val="000000"/>
          <w:sz w:val="22"/>
          <w:szCs w:val="22"/>
        </w:rPr>
        <w:t>/V</w:t>
      </w:r>
      <w:r>
        <w:rPr>
          <w:rFonts w:ascii="Arial" w:hAnsi="Arial" w:eastAsia="宋体" w:cs="Arial"/>
          <w:color w:val="000000"/>
          <w:sz w:val="22"/>
          <w:szCs w:val="22"/>
          <w:vertAlign w:val="subscript"/>
        </w:rPr>
        <w:t>0</w:t>
      </w:r>
      <w:r>
        <w:rPr>
          <w:rFonts w:ascii="Arial" w:hAnsi="Arial" w:eastAsia="宋体" w:cs="Arial"/>
          <w:color w:val="000000"/>
          <w:sz w:val="22"/>
          <w:szCs w:val="22"/>
        </w:rPr>
        <w:t>, where V</w:t>
      </w:r>
      <w:r>
        <w:rPr>
          <w:rFonts w:ascii="Arial" w:hAnsi="Arial" w:eastAsia="宋体" w:cs="Arial"/>
          <w:color w:val="000000"/>
          <w:sz w:val="22"/>
          <w:szCs w:val="22"/>
          <w:vertAlign w:val="subscript"/>
        </w:rPr>
        <w:t>t</w:t>
      </w:r>
      <w:r>
        <w:rPr>
          <w:rFonts w:ascii="Arial" w:hAnsi="Arial" w:eastAsia="宋体" w:cs="Arial"/>
          <w:color w:val="000000"/>
          <w:sz w:val="22"/>
          <w:szCs w:val="22"/>
        </w:rPr>
        <w:t xml:space="preserve"> is the volume on each day, and V</w:t>
      </w:r>
      <w:r>
        <w:rPr>
          <w:rFonts w:ascii="Arial" w:hAnsi="Arial" w:eastAsia="宋体" w:cs="Arial"/>
          <w:color w:val="000000"/>
          <w:sz w:val="22"/>
          <w:szCs w:val="22"/>
          <w:vertAlign w:val="subscript"/>
        </w:rPr>
        <w:t>0</w:t>
      </w:r>
      <w:r>
        <w:rPr>
          <w:rFonts w:ascii="Arial" w:hAnsi="Arial" w:eastAsia="宋体" w:cs="Arial"/>
          <w:color w:val="000000"/>
          <w:sz w:val="22"/>
          <w:szCs w:val="22"/>
        </w:rPr>
        <w:t xml:space="preserve"> is the volume at the beginning of the treatment.</w:t>
      </w:r>
    </w:p>
    <w:p w14:paraId="04C1C5A8">
      <w:pPr>
        <w:pStyle w:val="16"/>
        <w:spacing w:line="276" w:lineRule="auto"/>
        <w:rPr>
          <w:rFonts w:ascii="Arial" w:hAnsi="Arial" w:eastAsia="宋体" w:cs="Arial"/>
          <w:color w:val="000000"/>
          <w:sz w:val="22"/>
          <w:szCs w:val="22"/>
        </w:rPr>
      </w:pPr>
      <w:r>
        <w:rPr>
          <w:rFonts w:ascii="Arial" w:hAnsi="Arial" w:eastAsia="宋体" w:cs="Arial"/>
          <w:b/>
          <w:color w:val="000000"/>
          <w:sz w:val="22"/>
          <w:szCs w:val="22"/>
        </w:rPr>
        <w:t xml:space="preserve">Tumor growth inhibition (TGI), </w:t>
      </w:r>
      <w:r>
        <w:rPr>
          <w:rFonts w:ascii="Arial" w:hAnsi="Arial" w:eastAsia="宋体" w:cs="Arial"/>
          <w:color w:val="000000"/>
          <w:sz w:val="22"/>
          <w:szCs w:val="22"/>
        </w:rPr>
        <w:t>TGI= (1-</w:t>
      </w:r>
      <w:r>
        <w:rPr>
          <w:rFonts w:hint="eastAsia" w:ascii="Arial" w:hAnsi="Arial" w:eastAsia="宋体" w:cs="Arial"/>
          <w:color w:val="000000"/>
          <w:sz w:val="22"/>
          <w:szCs w:val="22"/>
        </w:rPr>
        <w:t>T/C</w:t>
      </w:r>
      <w:r>
        <w:rPr>
          <w:rFonts w:ascii="Arial" w:hAnsi="Arial" w:eastAsia="宋体" w:cs="Arial"/>
          <w:color w:val="000000"/>
          <w:sz w:val="22"/>
          <w:szCs w:val="22"/>
        </w:rPr>
        <w:t xml:space="preserve">) × 100%; T and C as the mean </w:t>
      </w:r>
      <w:r>
        <w:rPr>
          <w:rFonts w:hint="eastAsia" w:ascii="Arial" w:hAnsi="Arial" w:eastAsia="宋体" w:cs="Arial"/>
          <w:color w:val="000000"/>
          <w:sz w:val="22"/>
          <w:szCs w:val="22"/>
        </w:rPr>
        <w:t>re</w:t>
      </w:r>
      <w:r>
        <w:rPr>
          <w:rFonts w:ascii="Arial" w:hAnsi="Arial" w:eastAsia="宋体" w:cs="Arial"/>
          <w:color w:val="000000"/>
          <w:sz w:val="22"/>
          <w:szCs w:val="22"/>
        </w:rPr>
        <w:t>lati</w:t>
      </w:r>
      <w:r>
        <w:rPr>
          <w:rFonts w:hint="eastAsia" w:ascii="Arial" w:hAnsi="Arial" w:eastAsia="宋体" w:cs="Arial"/>
          <w:color w:val="000000"/>
          <w:sz w:val="22"/>
          <w:szCs w:val="22"/>
        </w:rPr>
        <w:t>ve</w:t>
      </w:r>
      <w:r>
        <w:rPr>
          <w:rFonts w:ascii="Arial" w:hAnsi="Arial" w:eastAsia="宋体" w:cs="Arial"/>
          <w:color w:val="000000"/>
          <w:sz w:val="22"/>
          <w:szCs w:val="22"/>
        </w:rPr>
        <w:t xml:space="preserve"> tumor volumes of the treatment and control groups on the measurement day.</w:t>
      </w:r>
    </w:p>
    <w:p w14:paraId="18C86453">
      <w:pPr>
        <w:pStyle w:val="16"/>
        <w:spacing w:line="276" w:lineRule="auto"/>
        <w:jc w:val="both"/>
        <w:rPr>
          <w:rFonts w:ascii="Arial" w:hAnsi="Arial" w:eastAsia="宋体" w:cs="Arial"/>
          <w:color w:val="000000"/>
          <w:sz w:val="22"/>
          <w:szCs w:val="22"/>
        </w:rPr>
      </w:pPr>
      <w:r>
        <w:rPr>
          <w:rFonts w:ascii="Arial" w:hAnsi="Arial" w:eastAsia="宋体" w:cs="Arial"/>
          <w:b/>
          <w:color w:val="000000"/>
          <w:sz w:val="22"/>
          <w:szCs w:val="22"/>
        </w:rPr>
        <w:t xml:space="preserve">Tumor weight (TW): </w:t>
      </w:r>
      <w:r>
        <w:rPr>
          <w:rFonts w:ascii="Arial" w:hAnsi="Arial" w:eastAsia="宋体" w:cs="Arial"/>
          <w:color w:val="000000"/>
          <w:sz w:val="22"/>
          <w:szCs w:val="22"/>
        </w:rPr>
        <w:t>At the end of the experiment, all animals were euthanized with CO</w:t>
      </w:r>
      <w:r>
        <w:rPr>
          <w:rFonts w:ascii="Arial" w:hAnsi="Arial" w:eastAsia="宋体" w:cs="Arial"/>
          <w:color w:val="000000"/>
          <w:sz w:val="22"/>
          <w:szCs w:val="22"/>
          <w:vertAlign w:val="subscript"/>
        </w:rPr>
        <w:t>2</w:t>
      </w:r>
      <w:r>
        <w:rPr>
          <w:rFonts w:ascii="Arial" w:hAnsi="Arial" w:eastAsia="宋体" w:cs="Arial"/>
          <w:color w:val="000000"/>
          <w:sz w:val="22"/>
          <w:szCs w:val="22"/>
        </w:rPr>
        <w:t xml:space="preserve">, and then all mouse tumor groups were collected. Tumor tissues of all mice were collected, weighed and photographed.  </w:t>
      </w:r>
    </w:p>
    <w:p w14:paraId="5ABD70A9">
      <w:pPr>
        <w:pStyle w:val="16"/>
        <w:spacing w:line="276" w:lineRule="auto"/>
        <w:jc w:val="both"/>
        <w:rPr>
          <w:rFonts w:ascii="Arial" w:hAnsi="Arial" w:eastAsia="宋体" w:cs="Arial"/>
          <w:color w:val="000000"/>
          <w:sz w:val="22"/>
          <w:szCs w:val="22"/>
        </w:rPr>
      </w:pPr>
      <w:r>
        <w:rPr>
          <w:rFonts w:ascii="Arial" w:hAnsi="Arial" w:eastAsia="宋体" w:cs="Arial"/>
          <w:b/>
          <w:color w:val="000000"/>
          <w:sz w:val="22"/>
          <w:szCs w:val="22"/>
        </w:rPr>
        <w:t>Inhibition rate of tumor weight (IRTW%)</w:t>
      </w:r>
      <w:r>
        <w:rPr>
          <w:rFonts w:ascii="Arial" w:hAnsi="Arial" w:eastAsia="宋体" w:cs="Arial"/>
          <w:color w:val="000000"/>
          <w:sz w:val="22"/>
          <w:szCs w:val="22"/>
        </w:rPr>
        <w:t xml:space="preserve"> = (mean tumor weight in negative control group - mean tumor weight in treatment group) / mean tumor weight in negative control group × 100%.</w:t>
      </w:r>
    </w:p>
    <w:bookmarkEnd w:id="1"/>
    <w:p w14:paraId="4C73DF74">
      <w:pPr>
        <w:pStyle w:val="16"/>
        <w:rPr>
          <w:rFonts w:ascii="Arial" w:hAnsi="Arial" w:eastAsia="宋体" w:cs="Arial"/>
          <w:b/>
          <w:color w:val="000000"/>
          <w:sz w:val="22"/>
          <w:szCs w:val="22"/>
        </w:rPr>
      </w:pPr>
    </w:p>
    <w:p w14:paraId="145036E4">
      <w:pPr>
        <w:pStyle w:val="16"/>
        <w:rPr>
          <w:rFonts w:ascii="Arial" w:hAnsi="Arial" w:eastAsia="宋体" w:cs="Arial"/>
          <w:b/>
          <w:color w:val="000000"/>
          <w:sz w:val="22"/>
          <w:szCs w:val="22"/>
        </w:rPr>
      </w:pPr>
    </w:p>
    <w:p w14:paraId="645682D2">
      <w:pPr>
        <w:autoSpaceDE w:val="0"/>
        <w:autoSpaceDN w:val="0"/>
        <w:adjustRightInd w:val="0"/>
        <w:spacing w:after="240" w:afterLines="100"/>
        <w:jc w:val="both"/>
        <w:rPr>
          <w:rFonts w:cs="Arial"/>
          <w:b/>
          <w:color w:val="000000"/>
          <w:sz w:val="22"/>
          <w:szCs w:val="22"/>
          <w:u w:val="single"/>
          <w:lang w:eastAsia="zh-CN"/>
        </w:rPr>
      </w:pPr>
      <w:r>
        <w:rPr>
          <w:rFonts w:cs="Arial"/>
          <w:b/>
          <w:color w:val="000000"/>
          <w:sz w:val="22"/>
          <w:szCs w:val="22"/>
          <w:u w:val="single"/>
          <w:lang w:eastAsia="zh-CN"/>
        </w:rPr>
        <w:t xml:space="preserve">Statistics: </w:t>
      </w:r>
    </w:p>
    <w:p w14:paraId="65E5A2C1">
      <w:pPr>
        <w:widowControl w:val="0"/>
        <w:autoSpaceDE w:val="0"/>
        <w:autoSpaceDN w:val="0"/>
        <w:adjustRightInd w:val="0"/>
        <w:spacing w:after="240" w:afterLines="100"/>
        <w:rPr>
          <w:rFonts w:cs="Arial"/>
          <w:color w:val="000000"/>
          <w:sz w:val="22"/>
          <w:szCs w:val="22"/>
          <w:lang w:eastAsia="zh-CN"/>
        </w:rPr>
      </w:pPr>
      <w:r>
        <w:rPr>
          <w:rFonts w:cs="Arial"/>
          <w:color w:val="000000"/>
          <w:sz w:val="22"/>
          <w:szCs w:val="22"/>
          <w:lang w:eastAsia="zh-CN"/>
        </w:rPr>
        <w:t>Results will be expressed as mean±S.E.M. Comparisons between two groups will be made by Dunnett’s multi-comparison test, p &lt; 0.05 will be considered as significant.</w:t>
      </w:r>
    </w:p>
    <w:p w14:paraId="35A1B89B">
      <w:pPr>
        <w:rPr>
          <w:rFonts w:ascii="Times New Roman" w:hAnsi="Times New Roman"/>
          <w:b/>
          <w:color w:val="000000"/>
          <w:szCs w:val="24"/>
          <w:lang w:eastAsia="zh-CN"/>
        </w:rPr>
      </w:pPr>
    </w:p>
    <w:p w14:paraId="1833DAC4">
      <w:pPr>
        <w:rPr>
          <w:rFonts w:ascii="Times New Roman" w:hAnsi="Times New Roman" w:eastAsia="Times New Roman"/>
          <w:color w:val="000000"/>
          <w:szCs w:val="24"/>
          <w:lang w:eastAsia="zh-CN"/>
        </w:rPr>
      </w:pPr>
      <w:r>
        <w:rPr>
          <w:rFonts w:ascii="Times New Roman" w:hAnsi="Times New Roman"/>
          <w:b/>
          <w:bCs/>
          <w:color w:val="000000"/>
          <w:sz w:val="18"/>
          <w:szCs w:val="18"/>
          <w:lang w:eastAsia="zh-CN"/>
        </w:rPr>
        <w:t>QUALITY ASSURANCE AND REPORTING:</w:t>
      </w:r>
    </w:p>
    <w:p w14:paraId="185C5D7C">
      <w:pPr>
        <w:autoSpaceDE w:val="0"/>
        <w:autoSpaceDN w:val="0"/>
        <w:adjustRightInd w:val="0"/>
        <w:rPr>
          <w:rFonts w:ascii="Times New Roman" w:hAnsi="Times New Roman"/>
          <w:sz w:val="22"/>
          <w:szCs w:val="22"/>
          <w:lang w:eastAsia="zh-CN"/>
        </w:rPr>
      </w:pPr>
      <w:r>
        <w:rPr>
          <w:rFonts w:ascii="Times New Roman" w:hAnsi="Times New Roman"/>
          <w:sz w:val="22"/>
          <w:szCs w:val="22"/>
          <w:lang w:eastAsia="zh-CN"/>
        </w:rPr>
        <w:t>This study is not subject to QA audit, while all procedures will be executed according to relevant SOPs and/or the study protocol. A draft report will be submitted for sponsor’s review before finalizing it.</w:t>
      </w:r>
    </w:p>
    <w:p w14:paraId="2A7B0E14">
      <w:pPr>
        <w:autoSpaceDE w:val="0"/>
        <w:autoSpaceDN w:val="0"/>
        <w:adjustRightInd w:val="0"/>
        <w:rPr>
          <w:rFonts w:ascii="Times New Roman" w:hAnsi="Times New Roman"/>
          <w:sz w:val="22"/>
          <w:szCs w:val="22"/>
          <w:lang w:eastAsia="zh-CN"/>
        </w:rPr>
      </w:pPr>
    </w:p>
    <w:p w14:paraId="4DD7D94D">
      <w:pPr>
        <w:autoSpaceDE w:val="0"/>
        <w:autoSpaceDN w:val="0"/>
        <w:adjustRightInd w:val="0"/>
        <w:spacing w:after="240"/>
        <w:jc w:val="both"/>
        <w:rPr>
          <w:rFonts w:ascii="Times New Roman" w:hAnsi="Times New Roman"/>
          <w:b/>
          <w:bCs/>
          <w:color w:val="000000"/>
          <w:sz w:val="18"/>
          <w:szCs w:val="18"/>
          <w:lang w:eastAsia="zh-CN"/>
        </w:rPr>
      </w:pPr>
      <w:r>
        <w:rPr>
          <w:rFonts w:ascii="Times New Roman" w:hAnsi="Times New Roman"/>
          <w:b/>
          <w:bCs/>
          <w:color w:val="000000"/>
          <w:sz w:val="18"/>
          <w:szCs w:val="18"/>
          <w:lang w:eastAsia="zh-CN"/>
        </w:rPr>
        <w:t>STANDARD INVOICING AND PAYMENT TERMS</w:t>
      </w:r>
    </w:p>
    <w:p w14:paraId="6CB8361D">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Payment schedule:</w:t>
      </w:r>
    </w:p>
    <w:p w14:paraId="7200D9E3">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50% upon the cont</w:t>
      </w:r>
      <w:r>
        <w:rPr>
          <w:rFonts w:hint="eastAsia" w:ascii="Times New Roman" w:hAnsi="Times New Roman"/>
          <w:sz w:val="22"/>
          <w:szCs w:val="22"/>
          <w:lang w:eastAsia="zh-CN"/>
        </w:rPr>
        <w:t>r</w:t>
      </w:r>
      <w:r>
        <w:rPr>
          <w:rFonts w:ascii="Times New Roman" w:hAnsi="Times New Roman"/>
          <w:sz w:val="22"/>
          <w:szCs w:val="22"/>
          <w:lang w:eastAsia="zh-CN"/>
        </w:rPr>
        <w:t>act effective date;</w:t>
      </w:r>
    </w:p>
    <w:p w14:paraId="25B3D446">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40% due upon conclusion of in-life</w:t>
      </w:r>
      <w:r>
        <w:rPr>
          <w:rFonts w:hint="eastAsia" w:ascii="Times New Roman" w:hAnsi="Times New Roman"/>
          <w:sz w:val="22"/>
          <w:szCs w:val="22"/>
          <w:lang w:eastAsia="zh-CN"/>
        </w:rPr>
        <w:t>;</w:t>
      </w:r>
    </w:p>
    <w:p w14:paraId="7EE3502D">
      <w:pPr>
        <w:pStyle w:val="38"/>
        <w:numPr>
          <w:ilvl w:val="0"/>
          <w:numId w:val="3"/>
        </w:numPr>
        <w:autoSpaceDE w:val="0"/>
        <w:autoSpaceDN w:val="0"/>
        <w:adjustRightInd w:val="0"/>
        <w:ind w:hanging="270"/>
        <w:rPr>
          <w:rFonts w:ascii="Times New Roman" w:hAnsi="Times New Roman"/>
          <w:sz w:val="22"/>
          <w:szCs w:val="22"/>
          <w:lang w:eastAsia="zh-CN"/>
        </w:rPr>
      </w:pPr>
      <w:r>
        <w:rPr>
          <w:rFonts w:ascii="Times New Roman" w:hAnsi="Times New Roman"/>
          <w:sz w:val="22"/>
          <w:szCs w:val="22"/>
          <w:lang w:eastAsia="zh-CN"/>
        </w:rPr>
        <w:t>10% upon the submission of draft report.</w:t>
      </w:r>
    </w:p>
    <w:p w14:paraId="7187CAE0">
      <w:pPr>
        <w:pStyle w:val="38"/>
        <w:numPr>
          <w:ilvl w:val="0"/>
          <w:numId w:val="2"/>
        </w:numPr>
        <w:autoSpaceDE w:val="0"/>
        <w:autoSpaceDN w:val="0"/>
        <w:adjustRightInd w:val="0"/>
        <w:ind w:left="426" w:hanging="426"/>
        <w:rPr>
          <w:rFonts w:ascii="Times New Roman" w:hAnsi="Times New Roman"/>
          <w:sz w:val="22"/>
          <w:szCs w:val="22"/>
          <w:lang w:eastAsia="zh-CN"/>
        </w:rPr>
      </w:pPr>
      <w:r>
        <w:rPr>
          <w:rFonts w:ascii="Times New Roman" w:hAnsi="Times New Roman"/>
          <w:sz w:val="22"/>
          <w:szCs w:val="22"/>
          <w:lang w:eastAsia="zh-CN"/>
        </w:rPr>
        <w:t>Payment term: payment</w:t>
      </w:r>
      <w:r>
        <w:rPr>
          <w:rFonts w:hint="eastAsia" w:ascii="Times New Roman" w:hAnsi="Times New Roman"/>
          <w:sz w:val="22"/>
          <w:szCs w:val="22"/>
          <w:lang w:eastAsia="zh-CN"/>
        </w:rPr>
        <w:t>s</w:t>
      </w:r>
      <w:r>
        <w:rPr>
          <w:rFonts w:ascii="Times New Roman" w:hAnsi="Times New Roman"/>
          <w:sz w:val="22"/>
          <w:szCs w:val="22"/>
          <w:lang w:eastAsia="zh-CN"/>
        </w:rPr>
        <w:t xml:space="preserve"> are due within thirty (30) days of receipt of the invoice.</w:t>
      </w:r>
    </w:p>
    <w:p w14:paraId="017EEF63">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50% of the contract value is non-refundable even if the project is canceled.</w:t>
      </w:r>
    </w:p>
    <w:p w14:paraId="7DB24DC0">
      <w:pPr>
        <w:pStyle w:val="38"/>
        <w:numPr>
          <w:ilvl w:val="0"/>
          <w:numId w:val="2"/>
        </w:numPr>
        <w:autoSpaceDE w:val="0"/>
        <w:autoSpaceDN w:val="0"/>
        <w:adjustRightInd w:val="0"/>
        <w:ind w:left="270" w:hanging="270"/>
        <w:rPr>
          <w:rFonts w:ascii="Times New Roman" w:hAnsi="Times New Roman"/>
          <w:sz w:val="22"/>
          <w:szCs w:val="22"/>
          <w:lang w:eastAsia="zh-CN"/>
        </w:rPr>
      </w:pPr>
      <w:r>
        <w:rPr>
          <w:rFonts w:ascii="Times New Roman" w:hAnsi="Times New Roman"/>
          <w:sz w:val="22"/>
          <w:szCs w:val="22"/>
          <w:lang w:eastAsia="zh-CN"/>
        </w:rPr>
        <w:t>The cost of shipping, if applicable, will be paid or reimbursed by Sponsor.</w:t>
      </w:r>
    </w:p>
    <w:p w14:paraId="3C5DC612">
      <w:pPr>
        <w:pStyle w:val="20"/>
        <w:tabs>
          <w:tab w:val="left" w:pos="2160"/>
          <w:tab w:val="left" w:pos="2520"/>
          <w:tab w:val="clear" w:pos="4320"/>
          <w:tab w:val="clear" w:pos="8640"/>
        </w:tabs>
        <w:spacing w:after="60"/>
        <w:jc w:val="center"/>
        <w:rPr>
          <w:rFonts w:ascii="Times New Roman" w:hAnsi="Times New Roman"/>
          <w:b/>
          <w:bCs/>
          <w:i/>
          <w:sz w:val="28"/>
          <w:szCs w:val="28"/>
          <w:lang w:eastAsia="zh-CN"/>
        </w:rPr>
        <w:sectPr>
          <w:headerReference r:id="rId3" w:type="default"/>
          <w:footerReference r:id="rId4" w:type="default"/>
          <w:type w:val="continuous"/>
          <w:pgSz w:w="12240" w:h="15840"/>
          <w:pgMar w:top="1440" w:right="1440" w:bottom="1701" w:left="1440" w:header="720" w:footer="794" w:gutter="0"/>
          <w:cols w:space="720" w:num="1"/>
          <w:docGrid w:linePitch="326" w:charSpace="0"/>
        </w:sectPr>
      </w:pPr>
    </w:p>
    <w:p w14:paraId="74848790">
      <w:pPr>
        <w:rPr>
          <w:rFonts w:ascii="Times New Roman" w:hAnsi="Times New Roman"/>
          <w:b/>
          <w:bCs/>
          <w:sz w:val="28"/>
          <w:szCs w:val="28"/>
          <w:lang w:eastAsia="zh-CN"/>
        </w:rPr>
      </w:pPr>
    </w:p>
    <w:p w14:paraId="1B519627">
      <w:pPr>
        <w:rPr>
          <w:rFonts w:ascii="Times New Roman" w:hAnsi="Times New Roman"/>
          <w:b/>
          <w:bCs/>
          <w:sz w:val="28"/>
          <w:szCs w:val="28"/>
          <w:lang w:eastAsia="zh-CN"/>
        </w:rPr>
      </w:pPr>
      <w:r>
        <w:rPr>
          <w:rFonts w:ascii="Times New Roman" w:hAnsi="Times New Roman"/>
          <w:b/>
          <w:bCs/>
          <w:sz w:val="28"/>
          <w:szCs w:val="28"/>
          <w:lang w:eastAsia="zh-CN"/>
        </w:rPr>
        <w:br w:type="page"/>
      </w:r>
    </w:p>
    <w:p w14:paraId="23FA0CF1">
      <w:pPr>
        <w:pStyle w:val="20"/>
        <w:tabs>
          <w:tab w:val="left" w:pos="2160"/>
          <w:tab w:val="left" w:pos="2520"/>
          <w:tab w:val="clear" w:pos="4320"/>
          <w:tab w:val="clear" w:pos="8640"/>
        </w:tabs>
        <w:spacing w:after="60"/>
        <w:jc w:val="center"/>
        <w:rPr>
          <w:rFonts w:ascii="Times New Roman" w:hAnsi="Times New Roman"/>
          <w:b/>
          <w:bCs/>
          <w:i/>
          <w:sz w:val="22"/>
          <w:szCs w:val="22"/>
          <w:lang w:eastAsia="zh-CN"/>
        </w:rPr>
      </w:pPr>
      <w:r>
        <w:rPr>
          <w:rFonts w:ascii="Times New Roman" w:hAnsi="Times New Roman"/>
          <w:b/>
          <w:bCs/>
          <w:i/>
          <w:sz w:val="22"/>
          <w:szCs w:val="22"/>
          <w:lang w:eastAsia="zh-CN"/>
        </w:rPr>
        <w:t>About PharmaLegacy Laboratories</w:t>
      </w:r>
    </w:p>
    <w:p w14:paraId="4ACF4AEC">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PharmaLegacy Laboratories is a preclinical Contract Research Organization (CRO) providing specialty preclinical research services including drug discovery, early screening, in vitro &amp; in vivo pharmacology, ADME, non-GLP toxicity and medical device evaluation. PharmaLegacy core competency stems from our pioneering work and expertise in developing and running specialized disease models to test drug candidates and medical devices. With more than 1</w:t>
      </w:r>
      <w:r>
        <w:rPr>
          <w:rFonts w:hint="eastAsia" w:ascii="Times New Roman" w:hAnsi="Times New Roman" w:eastAsia="MyriadPro-Regular"/>
          <w:sz w:val="22"/>
          <w:szCs w:val="22"/>
          <w:lang w:eastAsia="zh-CN"/>
        </w:rPr>
        <w:t>,</w:t>
      </w:r>
      <w:r>
        <w:rPr>
          <w:rFonts w:ascii="Times New Roman" w:hAnsi="Times New Roman" w:eastAsia="MyriadPro-Regular"/>
          <w:sz w:val="22"/>
          <w:szCs w:val="22"/>
          <w:lang w:eastAsia="zh-CN"/>
        </w:rPr>
        <w:t xml:space="preserve">500 well-established </w:t>
      </w:r>
      <w:r>
        <w:rPr>
          <w:rFonts w:hint="eastAsia" w:ascii="Times New Roman" w:hAnsi="Times New Roman" w:eastAsia="MyriadPro-Regular"/>
          <w:sz w:val="22"/>
          <w:szCs w:val="22"/>
          <w:lang w:eastAsia="zh-CN"/>
        </w:rPr>
        <w:t>disease</w:t>
      </w:r>
      <w:r>
        <w:rPr>
          <w:rFonts w:ascii="Times New Roman" w:hAnsi="Times New Roman" w:eastAsia="MyriadPro-Regular"/>
          <w:sz w:val="22"/>
          <w:szCs w:val="22"/>
          <w:lang w:eastAsia="zh-CN"/>
        </w:rPr>
        <w:t xml:space="preserve"> models, PharmaLegacy can cover Autoimmune Diseases, Inflammation, Oncology, Immune Oncology, Ophthalmopathy, Hearing loss, Cardiovascular, Coagulation, Tissue Engineering, Bone Metabolism, Central Nerve Diseases, Infectious Disease and many other diseases. We also perform studies in PK/PD, ADME, molecular pharmacology, preliminary toxicology and histopathology. We provide one-stop shopping of preclinical research services.</w:t>
      </w:r>
    </w:p>
    <w:p w14:paraId="0D7A239E">
      <w:pPr>
        <w:autoSpaceDE w:val="0"/>
        <w:autoSpaceDN w:val="0"/>
        <w:adjustRightInd w:val="0"/>
        <w:jc w:val="both"/>
        <w:rPr>
          <w:rFonts w:ascii="Times New Roman" w:hAnsi="Times New Roman" w:eastAsia="MyriadPro-Regular"/>
          <w:sz w:val="22"/>
          <w:szCs w:val="22"/>
          <w:lang w:eastAsia="zh-CN"/>
        </w:rPr>
      </w:pPr>
    </w:p>
    <w:p w14:paraId="21B51CBF">
      <w:pPr>
        <w:widowControl w:val="0"/>
        <w:autoSpaceDE w:val="0"/>
        <w:autoSpaceDN w:val="0"/>
        <w:adjustRightInd w:val="0"/>
        <w:jc w:val="both"/>
        <w:rPr>
          <w:rFonts w:ascii="Times New Roman" w:hAnsi="Times New Roman" w:eastAsia="MyriadPro-Regular"/>
          <w:sz w:val="22"/>
          <w:szCs w:val="22"/>
          <w:lang w:eastAsia="zh-CN"/>
        </w:rPr>
      </w:pPr>
      <w:r>
        <w:rPr>
          <w:rFonts w:ascii="Times New Roman" w:hAnsi="Times New Roman" w:eastAsia="MyriadPro-Regular"/>
          <w:sz w:val="22"/>
          <w:szCs w:val="22"/>
          <w:lang w:eastAsia="zh-CN"/>
        </w:rPr>
        <w:t>Delivering premium quality and securing the highest IP protection are the lifeblood of our services.</w:t>
      </w:r>
    </w:p>
    <w:p w14:paraId="3C1C95A4">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sz w:val="22"/>
          <w:szCs w:val="22"/>
          <w:lang w:eastAsia="zh-CN"/>
        </w:rPr>
        <w:t xml:space="preserve">Our research data management can </w:t>
      </w:r>
      <w:r>
        <w:rPr>
          <w:rFonts w:hint="eastAsia" w:ascii="Times New Roman" w:hAnsi="Times New Roman" w:eastAsia="MyriadPro-Regular"/>
          <w:sz w:val="22"/>
          <w:szCs w:val="22"/>
          <w:lang w:eastAsia="zh-CN"/>
        </w:rPr>
        <w:t>ensure</w:t>
      </w:r>
      <w:r>
        <w:rPr>
          <w:rFonts w:ascii="Times New Roman" w:hAnsi="Times New Roman" w:eastAsia="MyriadPro-Regular"/>
          <w:sz w:val="22"/>
          <w:szCs w:val="22"/>
          <w:lang w:eastAsia="zh-CN"/>
        </w:rPr>
        <w:t>:</w:t>
      </w:r>
    </w:p>
    <w:p w14:paraId="2FA58EA5">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Maximum protection of client’s work and intellectual property</w:t>
      </w:r>
    </w:p>
    <w:p w14:paraId="7D5E1027">
      <w:pPr>
        <w:autoSpaceDE w:val="0"/>
        <w:autoSpaceDN w:val="0"/>
        <w:adjustRightInd w:val="0"/>
        <w:spacing w:before="120" w:beforeLines="50"/>
        <w:ind w:left="993"/>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 Expedited professional reports writing for regulatory filings</w:t>
      </w:r>
    </w:p>
    <w:p w14:paraId="1C9E9B8F">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We have a </w:t>
      </w:r>
      <w:r>
        <w:rPr>
          <w:rStyle w:val="28"/>
          <w:rFonts w:ascii="Times New Roman" w:hAnsi="Times New Roman"/>
          <w:b w:val="0"/>
          <w:bCs w:val="0"/>
          <w:color w:val="000000" w:themeColor="text1"/>
          <w:sz w:val="21"/>
          <w:szCs w:val="21"/>
          <w14:textFill>
            <w14:solidFill>
              <w14:schemeClr w14:val="tx1"/>
            </w14:solidFill>
          </w14:textFill>
        </w:rPr>
        <w:t>34,000㎡</w:t>
      </w:r>
      <w:r>
        <w:rPr>
          <w:rFonts w:ascii="Times New Roman" w:hAnsi="Times New Roman"/>
          <w:color w:val="000000" w:themeColor="text1"/>
          <w:sz w:val="22"/>
          <w:szCs w:val="22"/>
          <w:lang w:eastAsia="zh-CN"/>
          <w14:textFill>
            <w14:solidFill>
              <w14:schemeClr w14:val="tx1"/>
            </w14:solidFill>
          </w14:textFill>
        </w:rPr>
        <w:t xml:space="preserve"> facility with </w:t>
      </w:r>
      <w:r>
        <w:rPr>
          <w:rStyle w:val="28"/>
          <w:rFonts w:ascii="Times New Roman" w:hAnsi="Times New Roman"/>
          <w:b w:val="0"/>
          <w:bCs w:val="0"/>
          <w:color w:val="000000" w:themeColor="text1"/>
          <w:sz w:val="21"/>
          <w:szCs w:val="21"/>
          <w14:textFill>
            <w14:solidFill>
              <w14:schemeClr w14:val="tx1"/>
            </w14:solidFill>
          </w14:textFill>
        </w:rPr>
        <w:t>11,700㎡</w:t>
      </w:r>
      <w:r>
        <w:rPr>
          <w:rStyle w:val="28"/>
          <w:rFonts w:ascii="Times New Roman" w:hAnsi="Times New Roman"/>
          <w:b w:val="0"/>
          <w:bCs w:val="0"/>
          <w:color w:val="000000" w:themeColor="text1"/>
          <w:sz w:val="21"/>
          <w:szCs w:val="21"/>
          <w:lang w:eastAsia="zh-CN"/>
          <w14:textFill>
            <w14:solidFill>
              <w14:schemeClr w14:val="tx1"/>
            </w14:solidFill>
          </w14:textFill>
        </w:rPr>
        <w:t xml:space="preserve"> </w:t>
      </w:r>
      <w:r>
        <w:rPr>
          <w:rFonts w:ascii="Times New Roman" w:hAnsi="Times New Roman"/>
          <w:color w:val="000000" w:themeColor="text1"/>
          <w:sz w:val="22"/>
          <w:szCs w:val="22"/>
          <w:lang w:eastAsia="zh-CN"/>
          <w14:textFill>
            <w14:solidFill>
              <w14:schemeClr w14:val="tx1"/>
            </w14:solidFill>
          </w14:textFill>
        </w:rPr>
        <w:t>of SPF and conventional vivarium to house 30,000 rodents and large animals.</w:t>
      </w:r>
    </w:p>
    <w:p w14:paraId="0BC28C4D">
      <w:pPr>
        <w:numPr>
          <w:ilvl w:val="0"/>
          <w:numId w:val="4"/>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 xml:space="preserve">On site we house up to 400 non-human primates. </w:t>
      </w:r>
    </w:p>
    <w:p w14:paraId="418D2729">
      <w:pPr>
        <w:numPr>
          <w:ilvl w:val="0"/>
          <w:numId w:val="5"/>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are able to run thousands animal studies concurrently following strictly the guidelines of AAALAC.</w:t>
      </w:r>
    </w:p>
    <w:p w14:paraId="5F242AC8">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We partner with  premium non-human primate centers with a fully compliant supply chain.</w:t>
      </w:r>
    </w:p>
    <w:p w14:paraId="098A2129">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US site and local business development personnel for support and shipping logistics.</w:t>
      </w:r>
    </w:p>
    <w:p w14:paraId="1326E7F5">
      <w:pPr>
        <w:numPr>
          <w:ilvl w:val="0"/>
          <w:numId w:val="6"/>
        </w:numPr>
        <w:autoSpaceDE w:val="0"/>
        <w:autoSpaceDN w:val="0"/>
        <w:adjustRightInd w:val="0"/>
        <w:spacing w:before="120" w:beforeLines="50"/>
        <w:jc w:val="both"/>
        <w:rPr>
          <w:rFonts w:ascii="Times New Roman" w:hAnsi="Times New Roman" w:eastAsia="MyriadPro-Regular"/>
          <w:color w:val="000000" w:themeColor="text1"/>
          <w:sz w:val="22"/>
          <w:szCs w:val="22"/>
          <w:lang w:eastAsia="zh-CN"/>
          <w14:textFill>
            <w14:solidFill>
              <w14:schemeClr w14:val="tx1"/>
            </w14:solidFill>
          </w14:textFill>
        </w:rPr>
      </w:pPr>
      <w:r>
        <w:rPr>
          <w:rFonts w:ascii="Times New Roman" w:hAnsi="Times New Roman" w:eastAsia="MyriadPro-Regular"/>
          <w:color w:val="000000" w:themeColor="text1"/>
          <w:sz w:val="22"/>
          <w:szCs w:val="22"/>
          <w:lang w:eastAsia="zh-CN"/>
          <w14:textFill>
            <w14:solidFill>
              <w14:schemeClr w14:val="tx1"/>
            </w14:solidFill>
          </w14:textFill>
        </w:rPr>
        <w:t>24/7 access to PharmaLegacy representatives.</w:t>
      </w:r>
    </w:p>
    <w:p w14:paraId="569D4F1C">
      <w:pPr>
        <w:autoSpaceDE w:val="0"/>
        <w:autoSpaceDN w:val="0"/>
        <w:adjustRightInd w:val="0"/>
        <w:ind w:left="360"/>
        <w:jc w:val="both"/>
        <w:rPr>
          <w:rFonts w:ascii="Times New Roman" w:hAnsi="Times New Roman" w:eastAsia="MyriadPro-Regular"/>
          <w:color w:val="000000" w:themeColor="text1"/>
          <w:sz w:val="22"/>
          <w:szCs w:val="22"/>
          <w:lang w:eastAsia="zh-CN"/>
          <w14:textFill>
            <w14:solidFill>
              <w14:schemeClr w14:val="tx1"/>
            </w14:solidFill>
          </w14:textFill>
        </w:rPr>
      </w:pPr>
    </w:p>
    <w:p w14:paraId="6BF0CC59">
      <w:pPr>
        <w:autoSpaceDE w:val="0"/>
        <w:autoSpaceDN w:val="0"/>
        <w:adjustRightInd w:val="0"/>
        <w:jc w:val="both"/>
        <w:rPr>
          <w:rFonts w:ascii="Times New Roman" w:hAnsi="Times New Roman"/>
          <w:color w:val="000000" w:themeColor="text1"/>
          <w:sz w:val="22"/>
          <w:szCs w:val="22"/>
          <w:lang w:eastAsia="zh-CN"/>
          <w14:textFill>
            <w14:solidFill>
              <w14:schemeClr w14:val="tx1"/>
            </w14:solidFill>
          </w14:textFill>
        </w:rPr>
      </w:pPr>
      <w:r>
        <w:rPr>
          <w:rFonts w:ascii="Times New Roman" w:hAnsi="Times New Roman"/>
          <w:color w:val="000000" w:themeColor="text1"/>
          <w:sz w:val="22"/>
          <w:szCs w:val="22"/>
          <w:lang w:eastAsia="zh-CN"/>
          <w14:textFill>
            <w14:solidFill>
              <w14:schemeClr w14:val="tx1"/>
            </w14:solidFill>
          </w14:textFill>
        </w:rPr>
        <w:t>Aspiring to collaborate with our global clients to accelerate their missions to develop new therapies, PharmaLegacy provides quality services with faster turnaround and higher productivity of R&amp;D to IND/IDE endeavors for pharmaceutical, biotech, and orthopedic device companies around the world.</w:t>
      </w:r>
    </w:p>
    <w:p w14:paraId="0FDC50BF">
      <w:pPr>
        <w:pStyle w:val="20"/>
        <w:tabs>
          <w:tab w:val="left" w:pos="2160"/>
          <w:tab w:val="left" w:pos="2520"/>
        </w:tabs>
        <w:spacing w:after="60"/>
        <w:ind w:left="2552"/>
        <w:jc w:val="both"/>
        <w:rPr>
          <w:rFonts w:ascii="Times New Roman" w:hAnsi="Times New Roman"/>
          <w:bCs/>
          <w:color w:val="000000" w:themeColor="text1"/>
          <w:sz w:val="22"/>
          <w:szCs w:val="22"/>
          <w:lang w:eastAsia="zh-CN"/>
          <w14:textFill>
            <w14:solidFill>
              <w14:schemeClr w14:val="tx1"/>
            </w14:solidFill>
          </w14:textFill>
        </w:rPr>
      </w:pPr>
    </w:p>
    <w:p w14:paraId="12125DC5">
      <w:pPr>
        <w:pStyle w:val="20"/>
        <w:tabs>
          <w:tab w:val="left" w:pos="0"/>
          <w:tab w:val="left" w:pos="2160"/>
        </w:tabs>
        <w:spacing w:after="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Contact info:  </w:t>
      </w:r>
      <w:r>
        <w:rPr>
          <w:rFonts w:ascii="Times New Roman" w:hAnsi="Times New Roman"/>
          <w:bCs/>
          <w:color w:val="000000" w:themeColor="text1"/>
          <w:sz w:val="22"/>
          <w:szCs w:val="22"/>
          <w:lang w:eastAsia="zh-CN"/>
          <w14:textFill>
            <w14:solidFill>
              <w14:schemeClr w14:val="tx1"/>
            </w14:solidFill>
          </w14:textFill>
        </w:rPr>
        <w:tab/>
      </w:r>
      <w:r>
        <w:rPr>
          <w:rFonts w:hint="eastAsia" w:ascii="Times New Roman" w:hAnsi="Times New Roman"/>
          <w:bCs/>
          <w:color w:val="000000" w:themeColor="text1"/>
          <w:sz w:val="22"/>
          <w:szCs w:val="22"/>
          <w:lang w:eastAsia="zh-CN"/>
          <w14:textFill>
            <w14:solidFill>
              <w14:schemeClr w14:val="tx1"/>
            </w14:solidFill>
          </w14:textFill>
        </w:rPr>
        <w:t>Pharma</w:t>
      </w:r>
      <w:r>
        <w:rPr>
          <w:rFonts w:ascii="Times New Roman" w:hAnsi="Times New Roman"/>
          <w:bCs/>
          <w:color w:val="000000" w:themeColor="text1"/>
          <w:sz w:val="22"/>
          <w:szCs w:val="22"/>
          <w:lang w:eastAsia="zh-CN"/>
          <w14:textFill>
            <w14:solidFill>
              <w14:schemeClr w14:val="tx1"/>
            </w14:solidFill>
          </w14:textFill>
        </w:rPr>
        <w:t>Legacy Laboratories (Shanghai) Co., Ltd.</w:t>
      </w:r>
    </w:p>
    <w:p w14:paraId="65A412C0">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hint="eastAsia" w:ascii="Times New Roman" w:hAnsi="Times New Roman"/>
          <w:bCs/>
          <w:color w:val="000000" w:themeColor="text1"/>
          <w:sz w:val="22"/>
          <w:szCs w:val="22"/>
          <w:lang w:eastAsia="zh-CN"/>
          <w14:textFill>
            <w14:solidFill>
              <w14:schemeClr w14:val="tx1"/>
            </w14:solidFill>
          </w14:textFill>
        </w:rPr>
        <w:t>East T3-2, No.121 Longgui Road</w:t>
      </w:r>
    </w:p>
    <w:p w14:paraId="627034D4">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Jinqiao Free Trade Zone, Shanghai, China 201201# </w:t>
      </w:r>
    </w:p>
    <w:p w14:paraId="05A78422">
      <w:pPr>
        <w:pStyle w:val="20"/>
        <w:tabs>
          <w:tab w:val="left" w:pos="2160"/>
          <w:tab w:val="left" w:pos="2520"/>
        </w:tabs>
        <w:spacing w:after="60"/>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Tel: +86</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(21</w:t>
      </w:r>
      <w:r>
        <w:rPr>
          <w:rFonts w:hint="eastAsia" w:ascii="Times New Roman" w:hAnsi="Times New Roman"/>
          <w:bCs/>
          <w:color w:val="000000" w:themeColor="text1"/>
          <w:sz w:val="22"/>
          <w:szCs w:val="22"/>
          <w:lang w:eastAsia="zh-CN"/>
          <w14:textFill>
            <w14:solidFill>
              <w14:schemeClr w14:val="tx1"/>
            </w14:solidFill>
          </w14:textFill>
        </w:rPr>
        <w:t>)</w:t>
      </w:r>
      <w:r>
        <w:rPr>
          <w:rFonts w:ascii="Times New Roman" w:hAnsi="Times New Roman"/>
          <w:bCs/>
          <w:color w:val="000000" w:themeColor="text1"/>
          <w:sz w:val="22"/>
          <w:szCs w:val="22"/>
          <w:lang w:eastAsia="zh-CN"/>
          <w14:textFill>
            <w14:solidFill>
              <w14:schemeClr w14:val="tx1"/>
            </w14:solidFill>
          </w14:textFill>
        </w:rPr>
        <w:t xml:space="preserve"> 6176-5100</w:t>
      </w:r>
      <w:r>
        <w:rPr>
          <w:rFonts w:hint="eastAsia" w:ascii="Times New Roman" w:hAnsi="Times New Roman"/>
          <w:bCs/>
          <w:color w:val="000000" w:themeColor="text1"/>
          <w:sz w:val="22"/>
          <w:szCs w:val="22"/>
          <w:lang w:eastAsia="zh-CN"/>
          <w14:textFill>
            <w14:solidFill>
              <w14:schemeClr w14:val="tx1"/>
            </w14:solidFill>
          </w14:textFill>
        </w:rPr>
        <w:t xml:space="preserve"> </w:t>
      </w:r>
      <w:r>
        <w:rPr>
          <w:rFonts w:ascii="Times New Roman" w:hAnsi="Times New Roman"/>
          <w:bCs/>
          <w:color w:val="000000" w:themeColor="text1"/>
          <w:sz w:val="22"/>
          <w:szCs w:val="22"/>
          <w:lang w:eastAsia="zh-CN"/>
          <w14:textFill>
            <w14:solidFill>
              <w14:schemeClr w14:val="tx1"/>
            </w14:solidFill>
          </w14:textFill>
        </w:rPr>
        <w:t>(China)</w:t>
      </w:r>
    </w:p>
    <w:p w14:paraId="0684BB09">
      <w:pPr>
        <w:pStyle w:val="20"/>
        <w:tabs>
          <w:tab w:val="left" w:pos="2160"/>
          <w:tab w:val="left" w:pos="2520"/>
        </w:tabs>
        <w:ind w:left="2160"/>
        <w:rPr>
          <w:rFonts w:ascii="Times New Roman" w:hAnsi="Times New Roman"/>
          <w:bCs/>
          <w:color w:val="000000" w:themeColor="text1"/>
          <w:sz w:val="22"/>
          <w:szCs w:val="22"/>
          <w:lang w:eastAsia="zh-CN"/>
          <w14:textFill>
            <w14:solidFill>
              <w14:schemeClr w14:val="tx1"/>
            </w14:solidFill>
          </w14:textFill>
        </w:rPr>
      </w:pPr>
      <w:r>
        <w:rPr>
          <w:rFonts w:ascii="Times New Roman" w:hAnsi="Times New Roman"/>
          <w:bCs/>
          <w:color w:val="000000" w:themeColor="text1"/>
          <w:sz w:val="22"/>
          <w:szCs w:val="22"/>
          <w:lang w:eastAsia="zh-CN"/>
          <w14:textFill>
            <w14:solidFill>
              <w14:schemeClr w14:val="tx1"/>
            </w14:solidFill>
          </w14:textFill>
        </w:rPr>
        <w:t xml:space="preserve">Email: </w:t>
      </w:r>
      <w:r>
        <w:fldChar w:fldCharType="begin"/>
      </w:r>
      <w:r>
        <w:instrText xml:space="preserve"> HYPERLINK "mailto:info@pharmalegacy.com" </w:instrText>
      </w:r>
      <w:r>
        <w:fldChar w:fldCharType="separate"/>
      </w:r>
      <w:r>
        <w:rPr>
          <w:rStyle w:val="31"/>
          <w:rFonts w:ascii="Times New Roman" w:hAnsi="Times New Roman"/>
          <w:bCs/>
          <w:color w:val="000000" w:themeColor="text1"/>
          <w:sz w:val="22"/>
          <w:szCs w:val="22"/>
          <w:lang w:eastAsia="zh-CN"/>
          <w14:textFill>
            <w14:solidFill>
              <w14:schemeClr w14:val="tx1"/>
            </w14:solidFill>
          </w14:textFill>
        </w:rPr>
        <w:t>info@pharmalegacy.com</w:t>
      </w:r>
      <w:r>
        <w:rPr>
          <w:rStyle w:val="31"/>
          <w:rFonts w:ascii="Times New Roman" w:hAnsi="Times New Roman"/>
          <w:bCs/>
          <w:color w:val="000000" w:themeColor="text1"/>
          <w:sz w:val="22"/>
          <w:szCs w:val="22"/>
          <w:lang w:eastAsia="zh-CN"/>
          <w14:textFill>
            <w14:solidFill>
              <w14:schemeClr w14:val="tx1"/>
            </w14:solidFill>
          </w14:textFill>
        </w:rPr>
        <w:fldChar w:fldCharType="end"/>
      </w:r>
    </w:p>
    <w:p w14:paraId="2D0801F7">
      <w:pPr>
        <w:pStyle w:val="20"/>
        <w:tabs>
          <w:tab w:val="left" w:pos="2160"/>
          <w:tab w:val="left" w:pos="2520"/>
        </w:tabs>
        <w:spacing w:after="60"/>
        <w:ind w:left="2160"/>
        <w:rPr>
          <w:rFonts w:ascii="Times New Roman" w:hAnsi="Times New Roman"/>
          <w:bCs/>
          <w:color w:val="000000" w:themeColor="text1"/>
          <w:sz w:val="21"/>
          <w:szCs w:val="21"/>
          <w:lang w:eastAsia="zh-CN"/>
          <w14:textFill>
            <w14:solidFill>
              <w14:schemeClr w14:val="tx1"/>
            </w14:solidFill>
          </w14:textFill>
        </w:rPr>
      </w:pPr>
      <w:r>
        <w:rPr>
          <w:rFonts w:ascii="Times New Roman" w:hAnsi="Times New Roman"/>
          <w:bCs/>
          <w:color w:val="000000" w:themeColor="text1"/>
          <w:sz w:val="22"/>
          <w:szCs w:val="22"/>
          <w:lang w:val="sv-SE" w:eastAsia="zh-CN"/>
          <w14:textFill>
            <w14:solidFill>
              <w14:schemeClr w14:val="tx1"/>
            </w14:solidFill>
          </w14:textFill>
        </w:rPr>
        <w:t xml:space="preserve">Website: </w:t>
      </w:r>
      <w:bookmarkStart w:id="3" w:name="OLE_LINK1"/>
      <w:r>
        <w:fldChar w:fldCharType="begin"/>
      </w:r>
      <w:r>
        <w:rPr>
          <w:rFonts w:ascii="Times New Roman" w:hAnsi="Times New Roman"/>
          <w:color w:val="000000" w:themeColor="text1"/>
          <w14:textFill>
            <w14:solidFill>
              <w14:schemeClr w14:val="tx1"/>
            </w14:solidFill>
          </w14:textFill>
        </w:rPr>
        <w:instrText xml:space="preserve"> HYPERLINK "http://www.pharmalegacy.com" </w:instrText>
      </w:r>
      <w:r>
        <w:fldChar w:fldCharType="separate"/>
      </w:r>
      <w:r>
        <w:rPr>
          <w:rStyle w:val="31"/>
          <w:rFonts w:ascii="Times New Roman" w:hAnsi="Times New Roman"/>
          <w:bCs/>
          <w:color w:val="000000" w:themeColor="text1"/>
          <w:sz w:val="22"/>
          <w:szCs w:val="22"/>
          <w:lang w:val="sv-SE" w:eastAsia="zh-CN"/>
          <w14:textFill>
            <w14:solidFill>
              <w14:schemeClr w14:val="tx1"/>
            </w14:solidFill>
          </w14:textFill>
        </w:rPr>
        <w:t>www.pharmalegacy.com</w:t>
      </w:r>
      <w:r>
        <w:rPr>
          <w:rStyle w:val="31"/>
          <w:rFonts w:ascii="Times New Roman" w:hAnsi="Times New Roman"/>
          <w:bCs/>
          <w:color w:val="000000" w:themeColor="text1"/>
          <w:sz w:val="22"/>
          <w:szCs w:val="22"/>
          <w:lang w:val="sv-SE" w:eastAsia="zh-CN"/>
          <w14:textFill>
            <w14:solidFill>
              <w14:schemeClr w14:val="tx1"/>
            </w14:solidFill>
          </w14:textFill>
        </w:rPr>
        <w:fldChar w:fldCharType="end"/>
      </w:r>
      <w:r>
        <w:rPr>
          <w:rStyle w:val="31"/>
          <w:rFonts w:hint="eastAsia" w:ascii="Times New Roman" w:hAnsi="Times New Roman"/>
          <w:bCs/>
          <w:color w:val="000000" w:themeColor="text1"/>
          <w:sz w:val="22"/>
          <w:szCs w:val="22"/>
          <w:lang w:eastAsia="zh-CN"/>
          <w14:textFill>
            <w14:solidFill>
              <w14:schemeClr w14:val="tx1"/>
            </w14:solidFill>
          </w14:textFill>
        </w:rPr>
        <w:t>.cn</w:t>
      </w:r>
      <w:bookmarkEnd w:id="3"/>
    </w:p>
    <w:p w14:paraId="27403554">
      <w:pPr>
        <w:pStyle w:val="39"/>
        <w:rPr>
          <w:rFonts w:ascii="Times New Roman" w:hAnsi="Times New Roman"/>
          <w:bCs/>
          <w:color w:val="000000" w:themeColor="text1"/>
          <w:sz w:val="21"/>
          <w:szCs w:val="21"/>
          <w14:textFill>
            <w14:solidFill>
              <w14:schemeClr w14:val="tx1"/>
            </w14:solidFill>
          </w14:textFill>
        </w:rPr>
      </w:pPr>
    </w:p>
    <w:p w14:paraId="654A8DC3">
      <w:pPr>
        <w:pStyle w:val="20"/>
        <w:tabs>
          <w:tab w:val="left" w:pos="2160"/>
          <w:tab w:val="left" w:pos="2520"/>
        </w:tabs>
        <w:spacing w:after="60"/>
        <w:ind w:left="2160"/>
        <w:rPr>
          <w:rFonts w:cs="Arial"/>
          <w:bCs/>
          <w:sz w:val="21"/>
          <w:szCs w:val="21"/>
          <w:lang w:eastAsia="zh-CN"/>
        </w:rPr>
      </w:pPr>
      <w:r>
        <w:rPr>
          <w:rFonts w:cs="Arial"/>
          <w:bCs/>
          <w:sz w:val="22"/>
          <w:szCs w:val="22"/>
          <w:lang w:val="sv-SE" w:eastAsia="zh-CN"/>
        </w:rPr>
        <w:t xml:space="preserve">site: </w:t>
      </w:r>
      <w:r>
        <w:fldChar w:fldCharType="begin"/>
      </w:r>
      <w:r>
        <w:instrText xml:space="preserve"> HYPERLINK "http://www.pharmalegacy.com" </w:instrText>
      </w:r>
      <w:r>
        <w:fldChar w:fldCharType="separate"/>
      </w:r>
      <w:r>
        <w:rPr>
          <w:rStyle w:val="31"/>
          <w:rFonts w:cs="Arial"/>
          <w:bCs/>
          <w:sz w:val="22"/>
          <w:szCs w:val="22"/>
          <w:lang w:val="sv-SE" w:eastAsia="zh-CN"/>
        </w:rPr>
        <w:t>www.pharmalegacy.com</w:t>
      </w:r>
      <w:r>
        <w:rPr>
          <w:rStyle w:val="31"/>
          <w:rFonts w:cs="Arial"/>
          <w:bCs/>
          <w:sz w:val="22"/>
          <w:szCs w:val="22"/>
          <w:lang w:val="sv-SE" w:eastAsia="zh-CN"/>
        </w:rPr>
        <w:fldChar w:fldCharType="end"/>
      </w:r>
    </w:p>
    <w:sectPr>
      <w:type w:val="continuous"/>
      <w:pgSz w:w="12240" w:h="15840"/>
      <w:pgMar w:top="1440" w:right="1440" w:bottom="1701" w:left="1440" w:header="720" w:footer="57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等线">
    <w:panose1 w:val="02010600030101010101"/>
    <w:charset w:val="86"/>
    <w:family w:val="auto"/>
    <w:pitch w:val="default"/>
    <w:sig w:usb0="A00002BF" w:usb1="38CF7CFA" w:usb2="00000016" w:usb3="00000000" w:csb0="0004000F" w:csb1="00000000"/>
  </w:font>
  <w:font w:name="Comic Sans MS">
    <w:panose1 w:val="030F0702030302020204"/>
    <w:charset w:val="00"/>
    <w:family w:val="script"/>
    <w:pitch w:val="default"/>
    <w:sig w:usb0="00000687" w:usb1="00000013" w:usb2="00000000" w:usb3="00000000" w:csb0="2000009F" w:csb1="00000000"/>
  </w:font>
  <w:font w:name="MyriadPro-Regular">
    <w:altName w:val="宋体"/>
    <w:panose1 w:val="00000000000000000000"/>
    <w:charset w:val="86"/>
    <w:family w:val="swiss"/>
    <w:pitch w:val="default"/>
    <w:sig w:usb0="00000000" w:usb1="00000000" w:usb2="00000010" w:usb3="00000000" w:csb0="00040000" w:csb1="00000000"/>
  </w:font>
  <w:font w:name="Myriad Pro">
    <w:altName w:val="Segoe UI"/>
    <w:panose1 w:val="00000000000000000000"/>
    <w:charset w:val="00"/>
    <w:family w:val="swiss"/>
    <w:pitch w:val="default"/>
    <w:sig w:usb0="00000000"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D57C3">
    <w:pPr>
      <w:tabs>
        <w:tab w:val="center" w:pos="4320"/>
        <w:tab w:val="right" w:pos="8640"/>
      </w:tabs>
      <w:rPr>
        <w:rFonts w:ascii="Times New Roman" w:hAnsi="Times New Roman"/>
      </w:rPr>
    </w:pPr>
    <w:r>
      <w:rPr>
        <w:rFonts w:ascii="Times New Roman" w:hAnsi="Times New Roman"/>
        <w:sz w:val="22"/>
        <w:szCs w:val="22"/>
        <w:lang w:eastAsia="zh-CN"/>
      </w:rPr>
      <w:t xml:space="preserve">Confidential                                                                                                                                    Page </w:t>
    </w:r>
    <w:r>
      <w:rPr>
        <w:rFonts w:ascii="Times New Roman" w:hAnsi="Times New Roman"/>
        <w:b/>
        <w:szCs w:val="24"/>
        <w:lang w:eastAsia="zh-CN"/>
      </w:rPr>
      <w:fldChar w:fldCharType="begin"/>
    </w:r>
    <w:r>
      <w:rPr>
        <w:rFonts w:ascii="Times New Roman" w:hAnsi="Times New Roman"/>
        <w:b/>
        <w:sz w:val="22"/>
        <w:szCs w:val="22"/>
        <w:lang w:eastAsia="zh-CN"/>
      </w:rPr>
      <w:instrText xml:space="preserve"> PAGE </w:instrText>
    </w:r>
    <w:r>
      <w:rPr>
        <w:rFonts w:ascii="Times New Roman" w:hAnsi="Times New Roman"/>
        <w:b/>
        <w:szCs w:val="24"/>
        <w:lang w:eastAsia="zh-CN"/>
      </w:rPr>
      <w:fldChar w:fldCharType="separate"/>
    </w:r>
    <w:r>
      <w:rPr>
        <w:rFonts w:ascii="Times New Roman" w:hAnsi="Times New Roman"/>
        <w:b/>
        <w:sz w:val="22"/>
        <w:szCs w:val="22"/>
        <w:lang w:eastAsia="zh-CN"/>
      </w:rPr>
      <w:t>2</w:t>
    </w:r>
    <w:r>
      <w:rPr>
        <w:rFonts w:ascii="Times New Roman" w:hAnsi="Times New Roman"/>
        <w:b/>
        <w:szCs w:val="24"/>
        <w:lang w:eastAsia="zh-CN"/>
      </w:rPr>
      <w:fldChar w:fldCharType="end"/>
    </w:r>
    <w:r>
      <w:rPr>
        <w:rFonts w:ascii="Times New Roman" w:hAnsi="Times New Roman"/>
        <w:sz w:val="22"/>
        <w:szCs w:val="22"/>
        <w:lang w:eastAsia="zh-CN"/>
      </w:rPr>
      <w:t xml:space="preserve"> of </w:t>
    </w:r>
    <w:r>
      <w:rPr>
        <w:rFonts w:ascii="Times New Roman" w:hAnsi="Times New Roman"/>
        <w:b/>
        <w:szCs w:val="24"/>
        <w:lang w:eastAsia="zh-CN"/>
      </w:rPr>
      <w:fldChar w:fldCharType="begin"/>
    </w:r>
    <w:r>
      <w:rPr>
        <w:rFonts w:ascii="Times New Roman" w:hAnsi="Times New Roman"/>
        <w:b/>
        <w:sz w:val="22"/>
        <w:szCs w:val="22"/>
        <w:lang w:eastAsia="zh-CN"/>
      </w:rPr>
      <w:instrText xml:space="preserve"> NUMPAGES  </w:instrText>
    </w:r>
    <w:r>
      <w:rPr>
        <w:rFonts w:ascii="Times New Roman" w:hAnsi="Times New Roman"/>
        <w:b/>
        <w:szCs w:val="24"/>
        <w:lang w:eastAsia="zh-CN"/>
      </w:rPr>
      <w:fldChar w:fldCharType="separate"/>
    </w:r>
    <w:r>
      <w:rPr>
        <w:rFonts w:ascii="Times New Roman" w:hAnsi="Times New Roman"/>
        <w:b/>
        <w:sz w:val="22"/>
        <w:szCs w:val="22"/>
        <w:lang w:eastAsia="zh-CN"/>
      </w:rPr>
      <w:t>6</w:t>
    </w:r>
    <w:r>
      <w:rPr>
        <w:rFonts w:ascii="Times New Roman" w:hAnsi="Times New Roman"/>
        <w:b/>
        <w:szCs w:val="24"/>
        <w:lang w:eastAsia="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94C4D">
    <w:pPr>
      <w:pStyle w:val="20"/>
      <w:tabs>
        <w:tab w:val="right" w:pos="9360"/>
        <w:tab w:val="clear" w:pos="4320"/>
        <w:tab w:val="clear" w:pos="8640"/>
      </w:tabs>
      <w:rPr>
        <w:rFonts w:ascii="Comic Sans MS" w:hAnsi="Comic Sans MS"/>
        <w:b/>
        <w:i/>
        <w:szCs w:val="24"/>
        <w:lang w:eastAsia="zh-CN"/>
      </w:rPr>
    </w:pPr>
    <w:r>
      <w:rPr>
        <w:rFonts w:ascii="Times New Roman" w:hAnsi="Times New Roman"/>
        <w:b/>
        <w:sz w:val="20"/>
        <w:lang w:eastAsia="zh-CN"/>
      </w:rPr>
      <w:drawing>
        <wp:anchor distT="0" distB="0" distL="114300" distR="114300" simplePos="0" relativeHeight="251659264" behindDoc="0" locked="0" layoutInCell="1" allowOverlap="1">
          <wp:simplePos x="0" y="0"/>
          <wp:positionH relativeFrom="column">
            <wp:posOffset>13335</wp:posOffset>
          </wp:positionH>
          <wp:positionV relativeFrom="paragraph">
            <wp:posOffset>-35560</wp:posOffset>
          </wp:positionV>
          <wp:extent cx="2324100" cy="57467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2324100" cy="574675"/>
                  </a:xfrm>
                  <a:prstGeom prst="rect">
                    <a:avLst/>
                  </a:prstGeom>
                  <a:noFill/>
                  <a:ln w="9525">
                    <a:noFill/>
                    <a:miter lim="800000"/>
                    <a:headEnd/>
                    <a:tailEnd/>
                  </a:ln>
                </pic:spPr>
              </pic:pic>
            </a:graphicData>
          </a:graphic>
        </wp:anchor>
      </w:drawing>
    </w:r>
    <w:r>
      <w:rPr>
        <w:rFonts w:ascii="Times New Roman" w:hAnsi="Times New Roman"/>
        <w:b/>
        <w:sz w:val="20"/>
      </w:rPr>
      <w:tab/>
    </w:r>
  </w:p>
  <w:p w14:paraId="0D6100CA">
    <w:pPr>
      <w:pStyle w:val="20"/>
      <w:tabs>
        <w:tab w:val="right" w:pos="9360"/>
        <w:tab w:val="clear" w:pos="4320"/>
        <w:tab w:val="clear" w:pos="8640"/>
      </w:tabs>
      <w:rPr>
        <w:rFonts w:ascii="Times New Roman" w:hAnsi="Times New Roman"/>
        <w:b/>
        <w:i/>
        <w:sz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5E11"/>
    <w:multiLevelType w:val="multilevel"/>
    <w:tmpl w:val="0A865E1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8A0948"/>
    <w:multiLevelType w:val="multilevel"/>
    <w:tmpl w:val="0D8A09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4C520F"/>
    <w:multiLevelType w:val="multilevel"/>
    <w:tmpl w:val="324C520F"/>
    <w:lvl w:ilvl="0" w:tentative="0">
      <w:start w:val="1"/>
      <w:numFmt w:val="decimal"/>
      <w:pStyle w:val="34"/>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2724D5F"/>
    <w:multiLevelType w:val="multilevel"/>
    <w:tmpl w:val="42724D5F"/>
    <w:lvl w:ilvl="0" w:tentative="0">
      <w:start w:val="1"/>
      <w:numFmt w:val="bullet"/>
      <w:lvlText w:val="•"/>
      <w:lvlJc w:val="left"/>
      <w:pPr>
        <w:tabs>
          <w:tab w:val="left" w:pos="720"/>
        </w:tabs>
        <w:ind w:left="720" w:hanging="360"/>
      </w:pPr>
      <w:rPr>
        <w:rFonts w:hint="default" w:ascii="Myriad Pro" w:hAnsi="Myriad Pro"/>
      </w:rPr>
    </w:lvl>
    <w:lvl w:ilvl="1" w:tentative="0">
      <w:start w:val="17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4">
    <w:nsid w:val="42BE390E"/>
    <w:multiLevelType w:val="multilevel"/>
    <w:tmpl w:val="42BE390E"/>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abstractNum w:abstractNumId="5">
    <w:nsid w:val="46206D9D"/>
    <w:multiLevelType w:val="multilevel"/>
    <w:tmpl w:val="46206D9D"/>
    <w:lvl w:ilvl="0" w:tentative="0">
      <w:start w:val="1"/>
      <w:numFmt w:val="bullet"/>
      <w:lvlText w:val="•"/>
      <w:lvlJc w:val="left"/>
      <w:pPr>
        <w:tabs>
          <w:tab w:val="left" w:pos="720"/>
        </w:tabs>
        <w:ind w:left="720" w:hanging="360"/>
      </w:pPr>
      <w:rPr>
        <w:rFonts w:hint="default" w:ascii="Myriad Pro" w:hAnsi="Myriad Pro"/>
      </w:rPr>
    </w:lvl>
    <w:lvl w:ilvl="1" w:tentative="0">
      <w:start w:val="1"/>
      <w:numFmt w:val="bullet"/>
      <w:lvlText w:val="•"/>
      <w:lvlJc w:val="left"/>
      <w:pPr>
        <w:tabs>
          <w:tab w:val="left" w:pos="1440"/>
        </w:tabs>
        <w:ind w:left="1440" w:hanging="360"/>
      </w:pPr>
      <w:rPr>
        <w:rFonts w:hint="default" w:ascii="Myriad Pro" w:hAnsi="Myriad Pro"/>
      </w:rPr>
    </w:lvl>
    <w:lvl w:ilvl="2" w:tentative="0">
      <w:start w:val="1"/>
      <w:numFmt w:val="bullet"/>
      <w:lvlText w:val="•"/>
      <w:lvlJc w:val="left"/>
      <w:pPr>
        <w:tabs>
          <w:tab w:val="left" w:pos="2160"/>
        </w:tabs>
        <w:ind w:left="2160" w:hanging="360"/>
      </w:pPr>
      <w:rPr>
        <w:rFonts w:hint="default" w:ascii="Myriad Pro" w:hAnsi="Myriad Pro"/>
      </w:rPr>
    </w:lvl>
    <w:lvl w:ilvl="3" w:tentative="0">
      <w:start w:val="1"/>
      <w:numFmt w:val="bullet"/>
      <w:lvlText w:val="•"/>
      <w:lvlJc w:val="left"/>
      <w:pPr>
        <w:tabs>
          <w:tab w:val="left" w:pos="2880"/>
        </w:tabs>
        <w:ind w:left="2880" w:hanging="360"/>
      </w:pPr>
      <w:rPr>
        <w:rFonts w:hint="default" w:ascii="Myriad Pro" w:hAnsi="Myriad Pro"/>
      </w:rPr>
    </w:lvl>
    <w:lvl w:ilvl="4" w:tentative="0">
      <w:start w:val="1"/>
      <w:numFmt w:val="bullet"/>
      <w:lvlText w:val="•"/>
      <w:lvlJc w:val="left"/>
      <w:pPr>
        <w:tabs>
          <w:tab w:val="left" w:pos="3600"/>
        </w:tabs>
        <w:ind w:left="3600" w:hanging="360"/>
      </w:pPr>
      <w:rPr>
        <w:rFonts w:hint="default" w:ascii="Myriad Pro" w:hAnsi="Myriad Pro"/>
      </w:rPr>
    </w:lvl>
    <w:lvl w:ilvl="5" w:tentative="0">
      <w:start w:val="1"/>
      <w:numFmt w:val="bullet"/>
      <w:lvlText w:val="•"/>
      <w:lvlJc w:val="left"/>
      <w:pPr>
        <w:tabs>
          <w:tab w:val="left" w:pos="4320"/>
        </w:tabs>
        <w:ind w:left="4320" w:hanging="360"/>
      </w:pPr>
      <w:rPr>
        <w:rFonts w:hint="default" w:ascii="Myriad Pro" w:hAnsi="Myriad Pro"/>
      </w:rPr>
    </w:lvl>
    <w:lvl w:ilvl="6" w:tentative="0">
      <w:start w:val="1"/>
      <w:numFmt w:val="bullet"/>
      <w:lvlText w:val="•"/>
      <w:lvlJc w:val="left"/>
      <w:pPr>
        <w:tabs>
          <w:tab w:val="left" w:pos="5040"/>
        </w:tabs>
        <w:ind w:left="5040" w:hanging="360"/>
      </w:pPr>
      <w:rPr>
        <w:rFonts w:hint="default" w:ascii="Myriad Pro" w:hAnsi="Myriad Pro"/>
      </w:rPr>
    </w:lvl>
    <w:lvl w:ilvl="7" w:tentative="0">
      <w:start w:val="1"/>
      <w:numFmt w:val="bullet"/>
      <w:lvlText w:val="•"/>
      <w:lvlJc w:val="left"/>
      <w:pPr>
        <w:tabs>
          <w:tab w:val="left" w:pos="5760"/>
        </w:tabs>
        <w:ind w:left="5760" w:hanging="360"/>
      </w:pPr>
      <w:rPr>
        <w:rFonts w:hint="default" w:ascii="Myriad Pro" w:hAnsi="Myriad Pro"/>
      </w:rPr>
    </w:lvl>
    <w:lvl w:ilvl="8" w:tentative="0">
      <w:start w:val="1"/>
      <w:numFmt w:val="bullet"/>
      <w:lvlText w:val="•"/>
      <w:lvlJc w:val="left"/>
      <w:pPr>
        <w:tabs>
          <w:tab w:val="left" w:pos="6480"/>
        </w:tabs>
        <w:ind w:left="6480" w:hanging="360"/>
      </w:pPr>
      <w:rPr>
        <w:rFonts w:hint="default" w:ascii="Myriad Pro" w:hAnsi="Myriad Pro"/>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24"/>
    <w:rsid w:val="000049E8"/>
    <w:rsid w:val="000060B1"/>
    <w:rsid w:val="00011E4E"/>
    <w:rsid w:val="000173EE"/>
    <w:rsid w:val="00021E95"/>
    <w:rsid w:val="0002723C"/>
    <w:rsid w:val="00030920"/>
    <w:rsid w:val="000333F9"/>
    <w:rsid w:val="00034181"/>
    <w:rsid w:val="000342D2"/>
    <w:rsid w:val="00036DF6"/>
    <w:rsid w:val="00037287"/>
    <w:rsid w:val="0004184D"/>
    <w:rsid w:val="000422A1"/>
    <w:rsid w:val="00045A4E"/>
    <w:rsid w:val="0004737B"/>
    <w:rsid w:val="00061EB7"/>
    <w:rsid w:val="00065055"/>
    <w:rsid w:val="00065B02"/>
    <w:rsid w:val="00065D5D"/>
    <w:rsid w:val="00086250"/>
    <w:rsid w:val="00087625"/>
    <w:rsid w:val="0009456A"/>
    <w:rsid w:val="00097641"/>
    <w:rsid w:val="00097FD5"/>
    <w:rsid w:val="000A5272"/>
    <w:rsid w:val="000B00DF"/>
    <w:rsid w:val="000B5EEC"/>
    <w:rsid w:val="000B7B44"/>
    <w:rsid w:val="000C3408"/>
    <w:rsid w:val="000C4A5A"/>
    <w:rsid w:val="000C5605"/>
    <w:rsid w:val="000D6F19"/>
    <w:rsid w:val="000E2581"/>
    <w:rsid w:val="000E3A3B"/>
    <w:rsid w:val="000E4BC2"/>
    <w:rsid w:val="000E5F3B"/>
    <w:rsid w:val="000E775D"/>
    <w:rsid w:val="000F0DCB"/>
    <w:rsid w:val="000F3B92"/>
    <w:rsid w:val="000F5D68"/>
    <w:rsid w:val="000F7C06"/>
    <w:rsid w:val="00111F1A"/>
    <w:rsid w:val="0011234D"/>
    <w:rsid w:val="00113B7E"/>
    <w:rsid w:val="00115487"/>
    <w:rsid w:val="00116047"/>
    <w:rsid w:val="00124BC9"/>
    <w:rsid w:val="00130862"/>
    <w:rsid w:val="001321EF"/>
    <w:rsid w:val="001348A9"/>
    <w:rsid w:val="00134A49"/>
    <w:rsid w:val="00171EF1"/>
    <w:rsid w:val="0018233B"/>
    <w:rsid w:val="00186806"/>
    <w:rsid w:val="001914EE"/>
    <w:rsid w:val="00192AF3"/>
    <w:rsid w:val="001949C7"/>
    <w:rsid w:val="001A003F"/>
    <w:rsid w:val="001B4C39"/>
    <w:rsid w:val="001B5638"/>
    <w:rsid w:val="001C3500"/>
    <w:rsid w:val="001D0082"/>
    <w:rsid w:val="001E6B99"/>
    <w:rsid w:val="001F5502"/>
    <w:rsid w:val="001F5E03"/>
    <w:rsid w:val="0020142B"/>
    <w:rsid w:val="002061FB"/>
    <w:rsid w:val="0020723B"/>
    <w:rsid w:val="00207473"/>
    <w:rsid w:val="002107FE"/>
    <w:rsid w:val="0021263C"/>
    <w:rsid w:val="00213467"/>
    <w:rsid w:val="00215D06"/>
    <w:rsid w:val="00225B9A"/>
    <w:rsid w:val="00242496"/>
    <w:rsid w:val="00251506"/>
    <w:rsid w:val="00255121"/>
    <w:rsid w:val="00261B45"/>
    <w:rsid w:val="002710A0"/>
    <w:rsid w:val="002713EA"/>
    <w:rsid w:val="00271F0A"/>
    <w:rsid w:val="00272ACF"/>
    <w:rsid w:val="00273E8E"/>
    <w:rsid w:val="002745D9"/>
    <w:rsid w:val="00290BE9"/>
    <w:rsid w:val="00291A70"/>
    <w:rsid w:val="00292090"/>
    <w:rsid w:val="002923E2"/>
    <w:rsid w:val="00295B15"/>
    <w:rsid w:val="002A1556"/>
    <w:rsid w:val="002A388E"/>
    <w:rsid w:val="002A597E"/>
    <w:rsid w:val="002A7827"/>
    <w:rsid w:val="002B3429"/>
    <w:rsid w:val="002B6C74"/>
    <w:rsid w:val="002B734B"/>
    <w:rsid w:val="002C22A0"/>
    <w:rsid w:val="002D057C"/>
    <w:rsid w:val="002E479A"/>
    <w:rsid w:val="002E59CD"/>
    <w:rsid w:val="002E7207"/>
    <w:rsid w:val="002F5245"/>
    <w:rsid w:val="002F6F4F"/>
    <w:rsid w:val="002F7BC7"/>
    <w:rsid w:val="003026D4"/>
    <w:rsid w:val="00305704"/>
    <w:rsid w:val="00307383"/>
    <w:rsid w:val="003074F5"/>
    <w:rsid w:val="00314A2C"/>
    <w:rsid w:val="00317F6E"/>
    <w:rsid w:val="00322D14"/>
    <w:rsid w:val="00336D9C"/>
    <w:rsid w:val="00340423"/>
    <w:rsid w:val="0035074F"/>
    <w:rsid w:val="00353080"/>
    <w:rsid w:val="0035492C"/>
    <w:rsid w:val="0035724D"/>
    <w:rsid w:val="003701EB"/>
    <w:rsid w:val="0038002F"/>
    <w:rsid w:val="0038090F"/>
    <w:rsid w:val="0038172B"/>
    <w:rsid w:val="00393B3B"/>
    <w:rsid w:val="0039592B"/>
    <w:rsid w:val="003A1079"/>
    <w:rsid w:val="003A7E2B"/>
    <w:rsid w:val="003B18B7"/>
    <w:rsid w:val="003B65DD"/>
    <w:rsid w:val="003B687E"/>
    <w:rsid w:val="003C0ABF"/>
    <w:rsid w:val="003C579C"/>
    <w:rsid w:val="003E11B4"/>
    <w:rsid w:val="003E6BFF"/>
    <w:rsid w:val="003E7242"/>
    <w:rsid w:val="003F54EC"/>
    <w:rsid w:val="00400F77"/>
    <w:rsid w:val="00405586"/>
    <w:rsid w:val="0041071C"/>
    <w:rsid w:val="00414F07"/>
    <w:rsid w:val="00415AFC"/>
    <w:rsid w:val="0042202F"/>
    <w:rsid w:val="004272E6"/>
    <w:rsid w:val="00427CA5"/>
    <w:rsid w:val="00432604"/>
    <w:rsid w:val="0043385B"/>
    <w:rsid w:val="00435E56"/>
    <w:rsid w:val="00442983"/>
    <w:rsid w:val="00444056"/>
    <w:rsid w:val="0045483F"/>
    <w:rsid w:val="00455B90"/>
    <w:rsid w:val="00460B4A"/>
    <w:rsid w:val="004625B8"/>
    <w:rsid w:val="004648D6"/>
    <w:rsid w:val="004659D7"/>
    <w:rsid w:val="00467CA2"/>
    <w:rsid w:val="0047558B"/>
    <w:rsid w:val="00475E05"/>
    <w:rsid w:val="004836C0"/>
    <w:rsid w:val="00486539"/>
    <w:rsid w:val="00487122"/>
    <w:rsid w:val="00492027"/>
    <w:rsid w:val="004A17D5"/>
    <w:rsid w:val="004B18D0"/>
    <w:rsid w:val="004B5C35"/>
    <w:rsid w:val="004C3B5B"/>
    <w:rsid w:val="004C48AD"/>
    <w:rsid w:val="004D0805"/>
    <w:rsid w:val="004D3999"/>
    <w:rsid w:val="004D39D2"/>
    <w:rsid w:val="004E623F"/>
    <w:rsid w:val="004F0E9B"/>
    <w:rsid w:val="004F5C1D"/>
    <w:rsid w:val="005041D7"/>
    <w:rsid w:val="005042D6"/>
    <w:rsid w:val="00511A65"/>
    <w:rsid w:val="00524E60"/>
    <w:rsid w:val="0052592C"/>
    <w:rsid w:val="005332F4"/>
    <w:rsid w:val="005345D3"/>
    <w:rsid w:val="00541A7B"/>
    <w:rsid w:val="00550846"/>
    <w:rsid w:val="00552E63"/>
    <w:rsid w:val="00554F4D"/>
    <w:rsid w:val="00556F22"/>
    <w:rsid w:val="00557168"/>
    <w:rsid w:val="005603EE"/>
    <w:rsid w:val="005606A6"/>
    <w:rsid w:val="00560AE5"/>
    <w:rsid w:val="005801E6"/>
    <w:rsid w:val="00580607"/>
    <w:rsid w:val="00580762"/>
    <w:rsid w:val="00583106"/>
    <w:rsid w:val="00585166"/>
    <w:rsid w:val="00595735"/>
    <w:rsid w:val="00596A8F"/>
    <w:rsid w:val="005A22CC"/>
    <w:rsid w:val="005A45C5"/>
    <w:rsid w:val="005B0439"/>
    <w:rsid w:val="005C5AB3"/>
    <w:rsid w:val="005D47DF"/>
    <w:rsid w:val="005D5AB1"/>
    <w:rsid w:val="005E7FB7"/>
    <w:rsid w:val="005F775C"/>
    <w:rsid w:val="00604022"/>
    <w:rsid w:val="0060743E"/>
    <w:rsid w:val="00611429"/>
    <w:rsid w:val="006179CC"/>
    <w:rsid w:val="00623132"/>
    <w:rsid w:val="00624B24"/>
    <w:rsid w:val="006310D6"/>
    <w:rsid w:val="0063364B"/>
    <w:rsid w:val="00633FCF"/>
    <w:rsid w:val="00634D37"/>
    <w:rsid w:val="0063550E"/>
    <w:rsid w:val="00636904"/>
    <w:rsid w:val="00637D0B"/>
    <w:rsid w:val="00641776"/>
    <w:rsid w:val="0064787E"/>
    <w:rsid w:val="0064798E"/>
    <w:rsid w:val="006519D7"/>
    <w:rsid w:val="006536FA"/>
    <w:rsid w:val="00657D75"/>
    <w:rsid w:val="0066021E"/>
    <w:rsid w:val="00666007"/>
    <w:rsid w:val="00667C55"/>
    <w:rsid w:val="00672876"/>
    <w:rsid w:val="006771AC"/>
    <w:rsid w:val="00680C83"/>
    <w:rsid w:val="006816A8"/>
    <w:rsid w:val="00684C52"/>
    <w:rsid w:val="0068775B"/>
    <w:rsid w:val="006877A9"/>
    <w:rsid w:val="006909C4"/>
    <w:rsid w:val="006955C7"/>
    <w:rsid w:val="0069658E"/>
    <w:rsid w:val="006A0A1F"/>
    <w:rsid w:val="006A333F"/>
    <w:rsid w:val="006A473B"/>
    <w:rsid w:val="006B053F"/>
    <w:rsid w:val="006B1A30"/>
    <w:rsid w:val="006B2741"/>
    <w:rsid w:val="006B2DDB"/>
    <w:rsid w:val="006B77DD"/>
    <w:rsid w:val="006C2B48"/>
    <w:rsid w:val="006D0402"/>
    <w:rsid w:val="006D0B9B"/>
    <w:rsid w:val="006D295F"/>
    <w:rsid w:val="006F00C6"/>
    <w:rsid w:val="006F1A8E"/>
    <w:rsid w:val="006F2D30"/>
    <w:rsid w:val="006F60FD"/>
    <w:rsid w:val="007011A7"/>
    <w:rsid w:val="00707E27"/>
    <w:rsid w:val="00710313"/>
    <w:rsid w:val="00711C73"/>
    <w:rsid w:val="007123D4"/>
    <w:rsid w:val="00715989"/>
    <w:rsid w:val="00720B8F"/>
    <w:rsid w:val="007214AE"/>
    <w:rsid w:val="00723ACD"/>
    <w:rsid w:val="00724490"/>
    <w:rsid w:val="00730A5E"/>
    <w:rsid w:val="00750347"/>
    <w:rsid w:val="0075315C"/>
    <w:rsid w:val="00755E9C"/>
    <w:rsid w:val="00755ED3"/>
    <w:rsid w:val="00760705"/>
    <w:rsid w:val="0076137D"/>
    <w:rsid w:val="007624FD"/>
    <w:rsid w:val="00762AAE"/>
    <w:rsid w:val="007645FF"/>
    <w:rsid w:val="0077087F"/>
    <w:rsid w:val="00772199"/>
    <w:rsid w:val="00776139"/>
    <w:rsid w:val="00777C8C"/>
    <w:rsid w:val="00782426"/>
    <w:rsid w:val="0078779D"/>
    <w:rsid w:val="00797308"/>
    <w:rsid w:val="007C15BA"/>
    <w:rsid w:val="007C2CE2"/>
    <w:rsid w:val="007D0FF4"/>
    <w:rsid w:val="007D4F5E"/>
    <w:rsid w:val="007D5D9C"/>
    <w:rsid w:val="007E1183"/>
    <w:rsid w:val="007E17BC"/>
    <w:rsid w:val="007E4775"/>
    <w:rsid w:val="007F7A70"/>
    <w:rsid w:val="008003D6"/>
    <w:rsid w:val="00814661"/>
    <w:rsid w:val="00816C4A"/>
    <w:rsid w:val="00822058"/>
    <w:rsid w:val="00823D1B"/>
    <w:rsid w:val="0082581C"/>
    <w:rsid w:val="00831FCB"/>
    <w:rsid w:val="00837206"/>
    <w:rsid w:val="008379CD"/>
    <w:rsid w:val="00843FE0"/>
    <w:rsid w:val="00852F10"/>
    <w:rsid w:val="00853135"/>
    <w:rsid w:val="00856945"/>
    <w:rsid w:val="00864D5C"/>
    <w:rsid w:val="00872E9A"/>
    <w:rsid w:val="00883BB8"/>
    <w:rsid w:val="00895555"/>
    <w:rsid w:val="00895BF9"/>
    <w:rsid w:val="008A14D1"/>
    <w:rsid w:val="008A2648"/>
    <w:rsid w:val="008A2CA2"/>
    <w:rsid w:val="008A40E4"/>
    <w:rsid w:val="008B0181"/>
    <w:rsid w:val="008B5031"/>
    <w:rsid w:val="008B5329"/>
    <w:rsid w:val="008B75EB"/>
    <w:rsid w:val="008C0420"/>
    <w:rsid w:val="008C171B"/>
    <w:rsid w:val="008C234E"/>
    <w:rsid w:val="008C7F87"/>
    <w:rsid w:val="008D7703"/>
    <w:rsid w:val="008E23C8"/>
    <w:rsid w:val="008E683F"/>
    <w:rsid w:val="008E68CF"/>
    <w:rsid w:val="008E7AE2"/>
    <w:rsid w:val="008F36DD"/>
    <w:rsid w:val="008F37DF"/>
    <w:rsid w:val="008F5996"/>
    <w:rsid w:val="008F6803"/>
    <w:rsid w:val="008F79AB"/>
    <w:rsid w:val="0090029B"/>
    <w:rsid w:val="009036A8"/>
    <w:rsid w:val="009036DE"/>
    <w:rsid w:val="00903C87"/>
    <w:rsid w:val="00903F35"/>
    <w:rsid w:val="0092128E"/>
    <w:rsid w:val="009332CA"/>
    <w:rsid w:val="0093411F"/>
    <w:rsid w:val="0093700E"/>
    <w:rsid w:val="009400BF"/>
    <w:rsid w:val="0095399C"/>
    <w:rsid w:val="00961510"/>
    <w:rsid w:val="00963932"/>
    <w:rsid w:val="00965F9B"/>
    <w:rsid w:val="00965FBE"/>
    <w:rsid w:val="0097139F"/>
    <w:rsid w:val="00971CE8"/>
    <w:rsid w:val="00973E8B"/>
    <w:rsid w:val="009761F7"/>
    <w:rsid w:val="00977E82"/>
    <w:rsid w:val="009936F0"/>
    <w:rsid w:val="00993D52"/>
    <w:rsid w:val="00997DD3"/>
    <w:rsid w:val="009A19F4"/>
    <w:rsid w:val="009A2F6D"/>
    <w:rsid w:val="009B0583"/>
    <w:rsid w:val="009B0B59"/>
    <w:rsid w:val="009B198A"/>
    <w:rsid w:val="009B491E"/>
    <w:rsid w:val="009B5FA7"/>
    <w:rsid w:val="009C0F53"/>
    <w:rsid w:val="009C137A"/>
    <w:rsid w:val="009C24EC"/>
    <w:rsid w:val="009C67B5"/>
    <w:rsid w:val="009D0640"/>
    <w:rsid w:val="009D5122"/>
    <w:rsid w:val="009D6FE2"/>
    <w:rsid w:val="009D7BC4"/>
    <w:rsid w:val="009E02F6"/>
    <w:rsid w:val="009E1A53"/>
    <w:rsid w:val="009E24B3"/>
    <w:rsid w:val="009E65FA"/>
    <w:rsid w:val="00A022D1"/>
    <w:rsid w:val="00A07CC5"/>
    <w:rsid w:val="00A14CDF"/>
    <w:rsid w:val="00A17F5B"/>
    <w:rsid w:val="00A216AC"/>
    <w:rsid w:val="00A24C04"/>
    <w:rsid w:val="00A26D89"/>
    <w:rsid w:val="00A31D5D"/>
    <w:rsid w:val="00A4368F"/>
    <w:rsid w:val="00A45AD5"/>
    <w:rsid w:val="00A5138D"/>
    <w:rsid w:val="00A53867"/>
    <w:rsid w:val="00A53B58"/>
    <w:rsid w:val="00A60387"/>
    <w:rsid w:val="00A64EAA"/>
    <w:rsid w:val="00A70275"/>
    <w:rsid w:val="00A704AE"/>
    <w:rsid w:val="00A736CB"/>
    <w:rsid w:val="00A75E67"/>
    <w:rsid w:val="00A77DC9"/>
    <w:rsid w:val="00A83214"/>
    <w:rsid w:val="00A8460B"/>
    <w:rsid w:val="00A879DE"/>
    <w:rsid w:val="00A90007"/>
    <w:rsid w:val="00A90F0C"/>
    <w:rsid w:val="00A93AE0"/>
    <w:rsid w:val="00A93D48"/>
    <w:rsid w:val="00AA1BAD"/>
    <w:rsid w:val="00AA2AE3"/>
    <w:rsid w:val="00AB2A2A"/>
    <w:rsid w:val="00AB2F39"/>
    <w:rsid w:val="00AB4A9E"/>
    <w:rsid w:val="00AC0E17"/>
    <w:rsid w:val="00AC1500"/>
    <w:rsid w:val="00AC29AE"/>
    <w:rsid w:val="00AC3CE9"/>
    <w:rsid w:val="00AC4559"/>
    <w:rsid w:val="00AC527E"/>
    <w:rsid w:val="00AC66F0"/>
    <w:rsid w:val="00AC7AE9"/>
    <w:rsid w:val="00AD03CA"/>
    <w:rsid w:val="00AD08D1"/>
    <w:rsid w:val="00AE2221"/>
    <w:rsid w:val="00AF118C"/>
    <w:rsid w:val="00AF5082"/>
    <w:rsid w:val="00B020C4"/>
    <w:rsid w:val="00B03A6E"/>
    <w:rsid w:val="00B0728D"/>
    <w:rsid w:val="00B075E9"/>
    <w:rsid w:val="00B17482"/>
    <w:rsid w:val="00B271EF"/>
    <w:rsid w:val="00B316E5"/>
    <w:rsid w:val="00B32DC3"/>
    <w:rsid w:val="00B421A9"/>
    <w:rsid w:val="00B4277F"/>
    <w:rsid w:val="00B4285E"/>
    <w:rsid w:val="00B431E8"/>
    <w:rsid w:val="00B4342D"/>
    <w:rsid w:val="00B47E77"/>
    <w:rsid w:val="00B5351A"/>
    <w:rsid w:val="00B70BBC"/>
    <w:rsid w:val="00B86FE8"/>
    <w:rsid w:val="00B921B7"/>
    <w:rsid w:val="00BA23CD"/>
    <w:rsid w:val="00BA534D"/>
    <w:rsid w:val="00BB3FE3"/>
    <w:rsid w:val="00BB4B05"/>
    <w:rsid w:val="00BB5EC0"/>
    <w:rsid w:val="00BC1F7A"/>
    <w:rsid w:val="00BC5053"/>
    <w:rsid w:val="00BC5655"/>
    <w:rsid w:val="00BC5C87"/>
    <w:rsid w:val="00BC71C1"/>
    <w:rsid w:val="00BC751E"/>
    <w:rsid w:val="00BD12BD"/>
    <w:rsid w:val="00BD156A"/>
    <w:rsid w:val="00BD1B9F"/>
    <w:rsid w:val="00BD3C73"/>
    <w:rsid w:val="00BE4BB5"/>
    <w:rsid w:val="00BE6625"/>
    <w:rsid w:val="00BE6C93"/>
    <w:rsid w:val="00BE724F"/>
    <w:rsid w:val="00BF0F7A"/>
    <w:rsid w:val="00BF1B5E"/>
    <w:rsid w:val="00BF1D36"/>
    <w:rsid w:val="00BF1DB6"/>
    <w:rsid w:val="00C00D81"/>
    <w:rsid w:val="00C07A07"/>
    <w:rsid w:val="00C13472"/>
    <w:rsid w:val="00C20781"/>
    <w:rsid w:val="00C305F1"/>
    <w:rsid w:val="00C308C0"/>
    <w:rsid w:val="00C32969"/>
    <w:rsid w:val="00C32A24"/>
    <w:rsid w:val="00C3609C"/>
    <w:rsid w:val="00C37C4F"/>
    <w:rsid w:val="00C460AA"/>
    <w:rsid w:val="00C551F9"/>
    <w:rsid w:val="00C73993"/>
    <w:rsid w:val="00C740FB"/>
    <w:rsid w:val="00C754BB"/>
    <w:rsid w:val="00C81AF1"/>
    <w:rsid w:val="00C81D68"/>
    <w:rsid w:val="00C82442"/>
    <w:rsid w:val="00C84430"/>
    <w:rsid w:val="00C86C32"/>
    <w:rsid w:val="00C87D72"/>
    <w:rsid w:val="00C97C5D"/>
    <w:rsid w:val="00CA680D"/>
    <w:rsid w:val="00CB4E18"/>
    <w:rsid w:val="00CB68E2"/>
    <w:rsid w:val="00CB7BD8"/>
    <w:rsid w:val="00CB7DD5"/>
    <w:rsid w:val="00CD0138"/>
    <w:rsid w:val="00CD0A6C"/>
    <w:rsid w:val="00CE135D"/>
    <w:rsid w:val="00CE4898"/>
    <w:rsid w:val="00CE4F9A"/>
    <w:rsid w:val="00CE583A"/>
    <w:rsid w:val="00CE7D6F"/>
    <w:rsid w:val="00CF0AE6"/>
    <w:rsid w:val="00CF36E4"/>
    <w:rsid w:val="00CF47B6"/>
    <w:rsid w:val="00CF6911"/>
    <w:rsid w:val="00D04713"/>
    <w:rsid w:val="00D078F1"/>
    <w:rsid w:val="00D143FB"/>
    <w:rsid w:val="00D20D7C"/>
    <w:rsid w:val="00D22AC3"/>
    <w:rsid w:val="00D23595"/>
    <w:rsid w:val="00D24452"/>
    <w:rsid w:val="00D273BF"/>
    <w:rsid w:val="00D27F39"/>
    <w:rsid w:val="00D33034"/>
    <w:rsid w:val="00D44400"/>
    <w:rsid w:val="00D448AD"/>
    <w:rsid w:val="00D46B7A"/>
    <w:rsid w:val="00D5022D"/>
    <w:rsid w:val="00D57F97"/>
    <w:rsid w:val="00D64044"/>
    <w:rsid w:val="00D72462"/>
    <w:rsid w:val="00D770B1"/>
    <w:rsid w:val="00D837D1"/>
    <w:rsid w:val="00D83A72"/>
    <w:rsid w:val="00D871C5"/>
    <w:rsid w:val="00D92FE8"/>
    <w:rsid w:val="00D96F45"/>
    <w:rsid w:val="00D970C7"/>
    <w:rsid w:val="00DA3755"/>
    <w:rsid w:val="00DA607D"/>
    <w:rsid w:val="00DA6F10"/>
    <w:rsid w:val="00DB0D23"/>
    <w:rsid w:val="00DB1814"/>
    <w:rsid w:val="00DC1EA9"/>
    <w:rsid w:val="00DC26E0"/>
    <w:rsid w:val="00DC5CA6"/>
    <w:rsid w:val="00DC7C30"/>
    <w:rsid w:val="00DC7E86"/>
    <w:rsid w:val="00DD4134"/>
    <w:rsid w:val="00DE18BE"/>
    <w:rsid w:val="00DE4B3D"/>
    <w:rsid w:val="00DE6B8F"/>
    <w:rsid w:val="00DF5CA8"/>
    <w:rsid w:val="00E0099F"/>
    <w:rsid w:val="00E06F7D"/>
    <w:rsid w:val="00E07030"/>
    <w:rsid w:val="00E07C61"/>
    <w:rsid w:val="00E10A87"/>
    <w:rsid w:val="00E118AA"/>
    <w:rsid w:val="00E17ABF"/>
    <w:rsid w:val="00E2144F"/>
    <w:rsid w:val="00E226E1"/>
    <w:rsid w:val="00E22984"/>
    <w:rsid w:val="00E22B21"/>
    <w:rsid w:val="00E23B6D"/>
    <w:rsid w:val="00E367E7"/>
    <w:rsid w:val="00E403C2"/>
    <w:rsid w:val="00E424C4"/>
    <w:rsid w:val="00E42EEC"/>
    <w:rsid w:val="00E535ED"/>
    <w:rsid w:val="00E55EFC"/>
    <w:rsid w:val="00E61F3A"/>
    <w:rsid w:val="00E62D67"/>
    <w:rsid w:val="00E639BF"/>
    <w:rsid w:val="00E64464"/>
    <w:rsid w:val="00E67CC5"/>
    <w:rsid w:val="00E825C9"/>
    <w:rsid w:val="00E82CA0"/>
    <w:rsid w:val="00EA074F"/>
    <w:rsid w:val="00EA260F"/>
    <w:rsid w:val="00EA39D5"/>
    <w:rsid w:val="00EB0741"/>
    <w:rsid w:val="00EB773F"/>
    <w:rsid w:val="00EC0CFC"/>
    <w:rsid w:val="00EC126D"/>
    <w:rsid w:val="00EC2E31"/>
    <w:rsid w:val="00EC4C00"/>
    <w:rsid w:val="00EC63FD"/>
    <w:rsid w:val="00EC7DCA"/>
    <w:rsid w:val="00EE2726"/>
    <w:rsid w:val="00EF03FA"/>
    <w:rsid w:val="00EF08B3"/>
    <w:rsid w:val="00F062E6"/>
    <w:rsid w:val="00F226A1"/>
    <w:rsid w:val="00F22D08"/>
    <w:rsid w:val="00F27FAB"/>
    <w:rsid w:val="00F30322"/>
    <w:rsid w:val="00F322B5"/>
    <w:rsid w:val="00F504BE"/>
    <w:rsid w:val="00F571CB"/>
    <w:rsid w:val="00F57E7D"/>
    <w:rsid w:val="00F63D4F"/>
    <w:rsid w:val="00F65DB4"/>
    <w:rsid w:val="00F66B14"/>
    <w:rsid w:val="00F67E8C"/>
    <w:rsid w:val="00F74EF1"/>
    <w:rsid w:val="00F7758D"/>
    <w:rsid w:val="00F84CCD"/>
    <w:rsid w:val="00F87FBA"/>
    <w:rsid w:val="00F92643"/>
    <w:rsid w:val="00F9678E"/>
    <w:rsid w:val="00FA14C6"/>
    <w:rsid w:val="00FA575D"/>
    <w:rsid w:val="00FA79F3"/>
    <w:rsid w:val="00FA7FB6"/>
    <w:rsid w:val="00FB45DB"/>
    <w:rsid w:val="00FB6258"/>
    <w:rsid w:val="00FC2574"/>
    <w:rsid w:val="00FC49EC"/>
    <w:rsid w:val="00FC5C0F"/>
    <w:rsid w:val="00FD1B0C"/>
    <w:rsid w:val="00FD1DAE"/>
    <w:rsid w:val="00FD2F17"/>
    <w:rsid w:val="00FD417C"/>
    <w:rsid w:val="00FD4483"/>
    <w:rsid w:val="00FD64A3"/>
    <w:rsid w:val="00FE117B"/>
    <w:rsid w:val="00FE65F8"/>
    <w:rsid w:val="00FE79B9"/>
    <w:rsid w:val="00FF6B81"/>
    <w:rsid w:val="13C6A6ED"/>
    <w:rsid w:val="15E258FF"/>
    <w:rsid w:val="165C7B5F"/>
    <w:rsid w:val="2F46288B"/>
    <w:rsid w:val="3AFF99D7"/>
    <w:rsid w:val="470941AD"/>
    <w:rsid w:val="4FE03852"/>
    <w:rsid w:val="56CF2A56"/>
    <w:rsid w:val="5FBE9910"/>
    <w:rsid w:val="71E839F0"/>
    <w:rsid w:val="73FC306D"/>
    <w:rsid w:val="DFF728CD"/>
    <w:rsid w:val="FFAF6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4"/>
      <w:lang w:val="en-US" w:eastAsia="en-US" w:bidi="ar-SA"/>
    </w:rPr>
  </w:style>
  <w:style w:type="paragraph" w:styleId="2">
    <w:name w:val="heading 1"/>
    <w:basedOn w:val="1"/>
    <w:next w:val="1"/>
    <w:qFormat/>
    <w:uiPriority w:val="0"/>
    <w:pPr>
      <w:keepNext/>
      <w:jc w:val="center"/>
      <w:outlineLvl w:val="0"/>
    </w:pPr>
    <w:rPr>
      <w:b/>
      <w:sz w:val="28"/>
    </w:rPr>
  </w:style>
  <w:style w:type="paragraph" w:styleId="3">
    <w:name w:val="heading 2"/>
    <w:basedOn w:val="1"/>
    <w:next w:val="1"/>
    <w:qFormat/>
    <w:uiPriority w:val="1"/>
    <w:pPr>
      <w:keepNext/>
      <w:ind w:left="1440" w:hanging="1440"/>
      <w:outlineLvl w:val="1"/>
    </w:pPr>
    <w:rPr>
      <w:b/>
    </w:rPr>
  </w:style>
  <w:style w:type="paragraph" w:styleId="4">
    <w:name w:val="heading 3"/>
    <w:basedOn w:val="1"/>
    <w:next w:val="1"/>
    <w:qFormat/>
    <w:uiPriority w:val="0"/>
    <w:pPr>
      <w:keepNext/>
      <w:ind w:left="1440" w:hanging="1440"/>
      <w:outlineLvl w:val="2"/>
    </w:pPr>
    <w:rPr>
      <w:b/>
    </w:rPr>
  </w:style>
  <w:style w:type="paragraph" w:styleId="5">
    <w:name w:val="heading 4"/>
    <w:basedOn w:val="1"/>
    <w:next w:val="1"/>
    <w:qFormat/>
    <w:uiPriority w:val="0"/>
    <w:pPr>
      <w:keepNext/>
      <w:ind w:left="2880" w:hanging="2880"/>
      <w:outlineLvl w:val="3"/>
    </w:pPr>
    <w:rPr>
      <w:b/>
    </w:rPr>
  </w:style>
  <w:style w:type="paragraph" w:styleId="6">
    <w:name w:val="heading 5"/>
    <w:basedOn w:val="1"/>
    <w:next w:val="1"/>
    <w:qFormat/>
    <w:uiPriority w:val="0"/>
    <w:pPr>
      <w:keepNext/>
      <w:outlineLvl w:val="4"/>
    </w:pPr>
    <w:rPr>
      <w:b/>
    </w:rPr>
  </w:style>
  <w:style w:type="paragraph" w:styleId="7">
    <w:name w:val="heading 6"/>
    <w:basedOn w:val="1"/>
    <w:next w:val="1"/>
    <w:qFormat/>
    <w:uiPriority w:val="0"/>
    <w:pPr>
      <w:keepNext/>
      <w:outlineLvl w:val="5"/>
    </w:pPr>
    <w:rPr>
      <w:b/>
      <w:sz w:val="22"/>
    </w:rPr>
  </w:style>
  <w:style w:type="paragraph" w:styleId="8">
    <w:name w:val="heading 7"/>
    <w:basedOn w:val="1"/>
    <w:next w:val="1"/>
    <w:qFormat/>
    <w:uiPriority w:val="0"/>
    <w:pPr>
      <w:keepNext/>
      <w:ind w:left="-180"/>
      <w:jc w:val="center"/>
      <w:outlineLvl w:val="6"/>
    </w:pPr>
    <w:rPr>
      <w:b/>
      <w:sz w:val="22"/>
    </w:rPr>
  </w:style>
  <w:style w:type="paragraph" w:styleId="9">
    <w:name w:val="heading 8"/>
    <w:basedOn w:val="1"/>
    <w:next w:val="1"/>
    <w:qFormat/>
    <w:uiPriority w:val="0"/>
    <w:pPr>
      <w:keepNext/>
      <w:jc w:val="center"/>
      <w:outlineLvl w:val="7"/>
    </w:pPr>
    <w:rPr>
      <w:b/>
    </w:rPr>
  </w:style>
  <w:style w:type="paragraph" w:styleId="10">
    <w:name w:val="heading 9"/>
    <w:basedOn w:val="1"/>
    <w:next w:val="1"/>
    <w:qFormat/>
    <w:uiPriority w:val="0"/>
    <w:pPr>
      <w:keepNext/>
      <w:tabs>
        <w:tab w:val="left" w:pos="360"/>
        <w:tab w:val="left" w:pos="2520"/>
        <w:tab w:val="left" w:pos="6840"/>
      </w:tabs>
      <w:spacing w:line="280" w:lineRule="atLeast"/>
      <w:ind w:right="460"/>
      <w:jc w:val="right"/>
      <w:outlineLvl w:val="8"/>
    </w:pPr>
    <w:rPr>
      <w:b/>
      <w:sz w:val="2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left" w:pos="3168"/>
        <w:tab w:val="left" w:pos="9468"/>
      </w:tabs>
      <w:spacing w:before="240"/>
      <w:jc w:val="center"/>
    </w:pPr>
    <w:rPr>
      <w:b/>
      <w:bCs/>
      <w:smallCaps/>
      <w:color w:val="000000"/>
      <w:sz w:val="20"/>
    </w:rPr>
  </w:style>
  <w:style w:type="paragraph" w:styleId="12">
    <w:name w:val="annotation text"/>
    <w:basedOn w:val="1"/>
    <w:link w:val="42"/>
    <w:qFormat/>
    <w:uiPriority w:val="99"/>
    <w:rPr>
      <w:sz w:val="20"/>
    </w:rPr>
  </w:style>
  <w:style w:type="paragraph" w:styleId="13">
    <w:name w:val="Body Text 3"/>
    <w:basedOn w:val="1"/>
    <w:qFormat/>
    <w:uiPriority w:val="0"/>
    <w:pPr>
      <w:autoSpaceDE w:val="0"/>
      <w:autoSpaceDN w:val="0"/>
      <w:adjustRightInd w:val="0"/>
      <w:jc w:val="center"/>
    </w:pPr>
    <w:rPr>
      <w:rFonts w:ascii="Times New Roman" w:hAnsi="Times New Roman"/>
      <w:sz w:val="22"/>
    </w:rPr>
  </w:style>
  <w:style w:type="paragraph" w:styleId="14">
    <w:name w:val="Body Text"/>
    <w:basedOn w:val="1"/>
    <w:qFormat/>
    <w:uiPriority w:val="1"/>
    <w:pPr>
      <w:spacing w:after="120"/>
    </w:pPr>
    <w:rPr>
      <w:rFonts w:ascii="New York" w:hAnsi="New York"/>
    </w:rPr>
  </w:style>
  <w:style w:type="paragraph" w:styleId="15">
    <w:name w:val="Body Text Indent"/>
    <w:basedOn w:val="1"/>
    <w:qFormat/>
    <w:uiPriority w:val="0"/>
    <w:pPr>
      <w:tabs>
        <w:tab w:val="left" w:pos="3060"/>
      </w:tabs>
      <w:spacing w:before="240"/>
      <w:ind w:left="3060" w:hanging="3060"/>
    </w:pPr>
  </w:style>
  <w:style w:type="paragraph" w:styleId="16">
    <w:name w:val="Plain Text"/>
    <w:basedOn w:val="1"/>
    <w:link w:val="40"/>
    <w:unhideWhenUsed/>
    <w:qFormat/>
    <w:uiPriority w:val="99"/>
    <w:rPr>
      <w:rFonts w:ascii="Calibri" w:hAnsi="Calibri" w:eastAsiaTheme="minorEastAsia" w:cstheme="minorBidi"/>
      <w:color w:val="10253F" w:themeColor="text2" w:themeShade="80"/>
      <w:sz w:val="21"/>
      <w:szCs w:val="21"/>
      <w:lang w:eastAsia="zh-CN"/>
    </w:rPr>
  </w:style>
  <w:style w:type="paragraph" w:styleId="17">
    <w:name w:val="Body Text Indent 2"/>
    <w:basedOn w:val="1"/>
    <w:qFormat/>
    <w:uiPriority w:val="0"/>
    <w:pPr>
      <w:ind w:left="3600"/>
    </w:pPr>
  </w:style>
  <w:style w:type="paragraph" w:styleId="18">
    <w:name w:val="Balloon Text"/>
    <w:basedOn w:val="1"/>
    <w:link w:val="41"/>
    <w:semiHidden/>
    <w:unhideWhenUsed/>
    <w:qFormat/>
    <w:uiPriority w:val="0"/>
    <w:rPr>
      <w:sz w:val="18"/>
      <w:szCs w:val="18"/>
    </w:rPr>
  </w:style>
  <w:style w:type="paragraph" w:styleId="19">
    <w:name w:val="footer"/>
    <w:basedOn w:val="1"/>
    <w:qFormat/>
    <w:uiPriority w:val="0"/>
    <w:pPr>
      <w:tabs>
        <w:tab w:val="center" w:pos="4320"/>
        <w:tab w:val="right" w:pos="8640"/>
      </w:tabs>
    </w:pPr>
  </w:style>
  <w:style w:type="paragraph" w:styleId="20">
    <w:name w:val="header"/>
    <w:basedOn w:val="1"/>
    <w:link w:val="44"/>
    <w:qFormat/>
    <w:uiPriority w:val="0"/>
    <w:pPr>
      <w:tabs>
        <w:tab w:val="center" w:pos="4320"/>
        <w:tab w:val="right" w:pos="8640"/>
      </w:tabs>
    </w:pPr>
  </w:style>
  <w:style w:type="paragraph" w:styleId="21">
    <w:name w:val="Body Text Indent 3"/>
    <w:basedOn w:val="1"/>
    <w:qFormat/>
    <w:uiPriority w:val="0"/>
    <w:pPr>
      <w:spacing w:before="120"/>
      <w:ind w:left="3060" w:hanging="2880"/>
    </w:pPr>
    <w:rPr>
      <w:b/>
    </w:rPr>
  </w:style>
  <w:style w:type="paragraph" w:styleId="22">
    <w:name w:val="Body Text 2"/>
    <w:basedOn w:val="1"/>
    <w:qFormat/>
    <w:uiPriority w:val="0"/>
    <w:pPr>
      <w:autoSpaceDE w:val="0"/>
      <w:autoSpaceDN w:val="0"/>
      <w:adjustRightInd w:val="0"/>
      <w:spacing w:before="120"/>
      <w:jc w:val="center"/>
    </w:pPr>
    <w:rPr>
      <w:sz w:val="18"/>
    </w:rPr>
  </w:style>
  <w:style w:type="paragraph" w:styleId="23">
    <w:name w:val="HTML Preformatted"/>
    <w:basedOn w:val="1"/>
    <w:link w:val="45"/>
    <w:semiHidden/>
    <w:unhideWhenUsed/>
    <w:qFormat/>
    <w:uiPriority w:val="0"/>
    <w:rPr>
      <w:rFonts w:ascii="Courier New" w:hAnsi="Courier New" w:cs="Courier New"/>
      <w:sz w:val="20"/>
    </w:rPr>
  </w:style>
  <w:style w:type="paragraph" w:styleId="24">
    <w:name w:val="annotation subject"/>
    <w:basedOn w:val="12"/>
    <w:next w:val="12"/>
    <w:link w:val="43"/>
    <w:semiHidden/>
    <w:unhideWhenUsed/>
    <w:qFormat/>
    <w:uiPriority w:val="0"/>
    <w:rPr>
      <w:b/>
      <w:bCs/>
      <w:sz w:val="24"/>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page number"/>
    <w:basedOn w:val="27"/>
    <w:qFormat/>
    <w:uiPriority w:val="0"/>
  </w:style>
  <w:style w:type="character" w:styleId="30">
    <w:name w:val="FollowedHyperlink"/>
    <w:basedOn w:val="27"/>
    <w:qFormat/>
    <w:uiPriority w:val="0"/>
    <w:rPr>
      <w:color w:val="800080"/>
      <w:u w:val="single"/>
    </w:rPr>
  </w:style>
  <w:style w:type="character" w:styleId="31">
    <w:name w:val="Hyperlink"/>
    <w:basedOn w:val="27"/>
    <w:qFormat/>
    <w:uiPriority w:val="0"/>
    <w:rPr>
      <w:color w:val="0000FF"/>
      <w:u w:val="single"/>
    </w:rPr>
  </w:style>
  <w:style w:type="character" w:styleId="32">
    <w:name w:val="annotation reference"/>
    <w:basedOn w:val="27"/>
    <w:qFormat/>
    <w:uiPriority w:val="99"/>
    <w:rPr>
      <w:sz w:val="16"/>
    </w:rPr>
  </w:style>
  <w:style w:type="character" w:customStyle="1" w:styleId="33">
    <w:name w:val="EmailStyle27"/>
    <w:basedOn w:val="27"/>
    <w:qFormat/>
    <w:uiPriority w:val="0"/>
    <w:rPr>
      <w:rFonts w:ascii="Arial" w:hAnsi="Arial" w:cs="Arial"/>
      <w:color w:val="000000"/>
      <w:sz w:val="20"/>
      <w:szCs w:val="20"/>
    </w:rPr>
  </w:style>
  <w:style w:type="paragraph" w:customStyle="1" w:styleId="34">
    <w:name w:val="Normal + Times New Roman"/>
    <w:basedOn w:val="1"/>
    <w:qFormat/>
    <w:uiPriority w:val="0"/>
    <w:pPr>
      <w:widowControl w:val="0"/>
      <w:numPr>
        <w:ilvl w:val="0"/>
        <w:numId w:val="1"/>
      </w:numPr>
      <w:jc w:val="both"/>
    </w:pPr>
    <w:rPr>
      <w:rFonts w:ascii="Times New Roman" w:hAnsi="Times New Roman"/>
      <w:lang w:val="sv-SE"/>
    </w:rPr>
  </w:style>
  <w:style w:type="character" w:customStyle="1" w:styleId="35">
    <w:name w:val="volume"/>
    <w:basedOn w:val="27"/>
    <w:qFormat/>
    <w:uiPriority w:val="0"/>
  </w:style>
  <w:style w:type="character" w:customStyle="1" w:styleId="36">
    <w:name w:val="issue"/>
    <w:basedOn w:val="27"/>
    <w:qFormat/>
    <w:uiPriority w:val="0"/>
  </w:style>
  <w:style w:type="character" w:customStyle="1" w:styleId="37">
    <w:name w:val="pages"/>
    <w:basedOn w:val="27"/>
    <w:qFormat/>
    <w:uiPriority w:val="0"/>
  </w:style>
  <w:style w:type="paragraph" w:styleId="38">
    <w:name w:val="List Paragraph"/>
    <w:basedOn w:val="1"/>
    <w:qFormat/>
    <w:uiPriority w:val="34"/>
    <w:pPr>
      <w:ind w:left="720"/>
      <w:contextualSpacing/>
    </w:pPr>
  </w:style>
  <w:style w:type="paragraph" w:customStyle="1" w:styleId="39">
    <w:name w:val="Default"/>
    <w:qFormat/>
    <w:uiPriority w:val="0"/>
    <w:pPr>
      <w:autoSpaceDE w:val="0"/>
      <w:autoSpaceDN w:val="0"/>
      <w:adjustRightInd w:val="0"/>
    </w:pPr>
    <w:rPr>
      <w:rFonts w:ascii="Arial" w:hAnsi="Arial" w:eastAsia="宋体" w:cs="Arial"/>
      <w:color w:val="000000"/>
      <w:sz w:val="24"/>
      <w:szCs w:val="24"/>
      <w:lang w:val="en-US" w:eastAsia="zh-CN" w:bidi="ar-SA"/>
    </w:rPr>
  </w:style>
  <w:style w:type="character" w:customStyle="1" w:styleId="40">
    <w:name w:val="纯文本 字符"/>
    <w:basedOn w:val="27"/>
    <w:link w:val="16"/>
    <w:qFormat/>
    <w:uiPriority w:val="99"/>
    <w:rPr>
      <w:rFonts w:ascii="Calibri" w:hAnsi="Calibri" w:eastAsiaTheme="minorEastAsia" w:cstheme="minorBidi"/>
      <w:color w:val="10253F" w:themeColor="text2" w:themeShade="80"/>
      <w:sz w:val="21"/>
      <w:szCs w:val="21"/>
    </w:rPr>
  </w:style>
  <w:style w:type="character" w:customStyle="1" w:styleId="41">
    <w:name w:val="批注框文本 字符"/>
    <w:basedOn w:val="27"/>
    <w:link w:val="18"/>
    <w:semiHidden/>
    <w:qFormat/>
    <w:uiPriority w:val="0"/>
    <w:rPr>
      <w:rFonts w:ascii="Arial" w:hAnsi="Arial"/>
      <w:sz w:val="18"/>
      <w:szCs w:val="18"/>
      <w:lang w:eastAsia="en-US"/>
    </w:rPr>
  </w:style>
  <w:style w:type="character" w:customStyle="1" w:styleId="42">
    <w:name w:val="批注文字 字符"/>
    <w:link w:val="12"/>
    <w:qFormat/>
    <w:uiPriority w:val="99"/>
    <w:rPr>
      <w:rFonts w:ascii="Arial" w:hAnsi="Arial"/>
      <w:lang w:eastAsia="en-US"/>
    </w:rPr>
  </w:style>
  <w:style w:type="character" w:customStyle="1" w:styleId="43">
    <w:name w:val="批注主题 字符"/>
    <w:basedOn w:val="42"/>
    <w:link w:val="24"/>
    <w:semiHidden/>
    <w:qFormat/>
    <w:uiPriority w:val="0"/>
    <w:rPr>
      <w:rFonts w:ascii="Arial" w:hAnsi="Arial"/>
      <w:b/>
      <w:bCs/>
      <w:sz w:val="24"/>
      <w:lang w:eastAsia="en-US"/>
    </w:rPr>
  </w:style>
  <w:style w:type="character" w:customStyle="1" w:styleId="44">
    <w:name w:val="页眉 字符"/>
    <w:basedOn w:val="27"/>
    <w:link w:val="20"/>
    <w:qFormat/>
    <w:uiPriority w:val="0"/>
    <w:rPr>
      <w:rFonts w:ascii="Arial" w:hAnsi="Arial"/>
      <w:sz w:val="24"/>
      <w:lang w:eastAsia="en-US"/>
    </w:rPr>
  </w:style>
  <w:style w:type="character" w:customStyle="1" w:styleId="45">
    <w:name w:val="HTML 预设格式 字符"/>
    <w:basedOn w:val="27"/>
    <w:link w:val="23"/>
    <w:semiHidden/>
    <w:qFormat/>
    <w:uiPriority w:val="0"/>
    <w:rPr>
      <w:rFonts w:ascii="Courier New" w:hAnsi="Courier New" w:cs="Courier New"/>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A929146C-5B4C-46BC-88B0-688B454CC50F}">
  <ds:schemaRefs/>
</ds:datastoreItem>
</file>

<file path=docProps/app.xml><?xml version="1.0" encoding="utf-8"?>
<Properties xmlns="http://schemas.openxmlformats.org/officeDocument/2006/extended-properties" xmlns:vt="http://schemas.openxmlformats.org/officeDocument/2006/docPropsVTypes">
  <Template>Normal.dotm</Template>
  <Company>PharmaLegacy Laboratories</Company>
  <Pages>5</Pages>
  <Words>883</Words>
  <Characters>5164</Characters>
  <Lines>44</Lines>
  <Paragraphs>12</Paragraphs>
  <TotalTime>0</TotalTime>
  <ScaleCrop>false</ScaleCrop>
  <LinksUpToDate>false</LinksUpToDate>
  <CharactersWithSpaces>5969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2025-12-29T08:45:00Z</dcterms:created>
  <dc:creator>Jia.Ni</dc:creator>
  <cp:lastModifiedBy>Li</cp:lastModifiedBy>
  <cp:lastPrinted>2009-10-09T10:34:00Z</cp:lastPrinted>
  <dcterms:modified xsi:type="dcterms:W3CDTF">2026-03-26T05:49:34Z</dcterms:modified>
  <dc:title>Outline Protocol</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E390C898F3B18BC3E78C366989B1EEC8_42</vt:lpwstr>
  </property>
  <property fmtid="{D5CDD505-2E9C-101B-9397-08002B2CF9AE}" pid="4" name="KSOTemplateDocerSaveRecord">
    <vt:lpwstr>eyJoZGlkIjoiMDg4YmI5ZGQ2NGZiOThkMDZjNDU0YmMyYzc5ODE2MTUiLCJ1c2VySWQiOiIxMTI5Mzc0NTU2In0=</vt:lpwstr>
  </property>
</Properties>
</file>