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6A95F8" w14:paraId="2C078E63" wp14:textId="690EB2B3">
      <w:pPr>
        <w:jc w:val="center"/>
        <w:rPr>
          <w:rFonts w:ascii="Palatino Linotype" w:hAnsi="Palatino Linotype" w:eastAsia="Palatino Linotype" w:cs="Palatino Linotype"/>
          <w:b w:val="1"/>
          <w:bCs w:val="1"/>
          <w:sz w:val="32"/>
          <w:szCs w:val="32"/>
        </w:rPr>
      </w:pPr>
      <w:bookmarkStart w:name="_GoBack" w:id="0"/>
      <w:bookmarkEnd w:id="0"/>
      <w:r w:rsidRPr="786A95F8" w:rsidR="525A539E">
        <w:rPr>
          <w:rFonts w:ascii="Palatino Linotype" w:hAnsi="Palatino Linotype" w:eastAsia="Palatino Linotype" w:cs="Palatino Linotype"/>
          <w:b w:val="1"/>
          <w:bCs w:val="1"/>
          <w:sz w:val="32"/>
          <w:szCs w:val="32"/>
        </w:rPr>
        <w:t>Instructions for using the Sound Localization System:</w:t>
      </w:r>
    </w:p>
    <w:p w:rsidR="0D96A071" w:rsidP="786A95F8" w:rsidRDefault="0D96A071" w14:paraId="0E86F99B" w14:textId="552F7F41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</w:pPr>
      <w:r w:rsidRPr="786A95F8" w:rsidR="0D96A071"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  <w:t xml:space="preserve">Step 1: </w:t>
      </w:r>
      <w:r w:rsidRPr="786A95F8" w:rsidR="10829FD6"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  <w:t>Hydrophone Mounting &amp; Locations</w:t>
      </w:r>
    </w:p>
    <w:p w:rsidR="0D96A071" w:rsidP="786A95F8" w:rsidRDefault="0D96A071" w14:paraId="4A8D357C" w14:textId="7F8C848E">
      <w:pPr>
        <w:pStyle w:val="Normal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0D96A0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Mount hydrophones to test frame or </w:t>
      </w:r>
      <w:r w:rsidRPr="786A95F8" w:rsidR="0D96A0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RoboSub</w:t>
      </w:r>
      <w:r w:rsidRPr="786A95F8" w:rsidR="0D96A0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, and make note of locations</w:t>
      </w:r>
      <w:r w:rsidRPr="786A95F8" w:rsidR="4EE38225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in </w:t>
      </w:r>
      <w:r w:rsidRPr="786A95F8" w:rsidR="6193132F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(</w:t>
      </w:r>
      <w:r w:rsidRPr="786A95F8" w:rsidR="4EE38225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x,y,z</w:t>
      </w:r>
      <w:r w:rsidRPr="786A95F8" w:rsidR="7ADAE285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)</w:t>
      </w:r>
      <w:r w:rsidRPr="786A95F8" w:rsidR="4EE38225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coordinate format</w:t>
      </w:r>
      <w:r w:rsidRPr="786A95F8" w:rsidR="0D96A0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. Hyd</w:t>
      </w:r>
      <w:r w:rsidRPr="786A95F8" w:rsidR="16A53358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rophone </w:t>
      </w:r>
      <w:r w:rsidRPr="786A95F8" w:rsidR="020EAA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A</w:t>
      </w:r>
      <w:r w:rsidRPr="786A95F8" w:rsidR="16A53358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must</w:t>
      </w:r>
      <w:r w:rsidRPr="786A95F8" w:rsidR="7A496DD2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be at the origin of the coordinate system</w:t>
      </w:r>
      <w:r w:rsidRPr="786A95F8" w:rsidR="422D6E8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(0,0,0). The system performs at its best when hydrophones </w:t>
      </w:r>
      <w:r w:rsidRPr="786A95F8" w:rsidR="705587A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B</w:t>
      </w:r>
      <w:r w:rsidRPr="786A95F8" w:rsidR="422D6E8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, </w:t>
      </w:r>
      <w:r w:rsidRPr="786A95F8" w:rsidR="4983AC7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C</w:t>
      </w:r>
      <w:r w:rsidRPr="786A95F8" w:rsidR="422D6E8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, &amp; </w:t>
      </w:r>
      <w:r w:rsidRPr="786A95F8" w:rsidR="2A4CEBC3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D</w:t>
      </w:r>
      <w:r w:rsidRPr="786A95F8" w:rsidR="422D6E81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, are the greatest possible distance from hydrophone 1, because this 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provides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the largest time difference of arrival values</w:t>
      </w:r>
      <w:r w:rsidRPr="786A95F8" w:rsidR="150BBD7E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(TDOA)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to be use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d in 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multilater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ation</w:t>
      </w:r>
      <w:r w:rsidRPr="786A95F8" w:rsidR="0D88675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The coordinates of each hydrophone must be entered </w:t>
      </w:r>
      <w:r w:rsidRPr="786A95F8" w:rsidR="0BD365A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at their respective lines in</w:t>
      </w:r>
      <w:r w:rsidRPr="786A95F8" w:rsidR="0BD365A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the </w:t>
      </w:r>
      <w:r w:rsidRPr="786A95F8" w:rsidR="0BD365A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multilater</w:t>
      </w:r>
      <w:r w:rsidRPr="786A95F8" w:rsidR="0BD365A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ation</w:t>
      </w:r>
      <w:r w:rsidRPr="786A95F8" w:rsidR="0BD365A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code block (final block in system code).</w:t>
      </w:r>
      <w:r w:rsidRPr="786A95F8" w:rsidR="7C1E0D1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See figure 1, below.</w:t>
      </w:r>
    </w:p>
    <w:p w:rsidR="51D564CE" w:rsidP="786A95F8" w:rsidRDefault="51D564CE" w14:paraId="41CA468B" w14:textId="19489F68">
      <w:pPr>
        <w:pStyle w:val="Normal"/>
        <w:ind w:firstLine="0"/>
        <w:jc w:val="center"/>
      </w:pPr>
      <w:r w:rsidR="51D564CE">
        <w:drawing>
          <wp:inline wp14:editId="116BF8EC" wp14:anchorId="03B61E94">
            <wp:extent cx="2914650" cy="2390775"/>
            <wp:effectExtent l="0" t="0" r="0" b="0"/>
            <wp:docPr id="100121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08a4618c8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41BBB" w:rsidP="786A95F8" w:rsidRDefault="34B41BBB" w14:paraId="7B899C90" w14:textId="39F57811">
      <w:pPr>
        <w:pStyle w:val="Normal"/>
        <w:ind w:firstLine="0"/>
        <w:jc w:val="center"/>
      </w:pPr>
      <w:r w:rsidRPr="786A95F8" w:rsidR="34B41BBB">
        <w:rPr>
          <w:rFonts w:ascii="Palatino Linotype" w:hAnsi="Palatino Linotype" w:eastAsia="Palatino Linotype" w:cs="Palatino Linotype"/>
          <w:sz w:val="20"/>
          <w:szCs w:val="20"/>
        </w:rPr>
        <w:t>Figure 1: Coding hydrophone locations</w:t>
      </w:r>
    </w:p>
    <w:p w:rsidR="786A95F8" w:rsidP="786A95F8" w:rsidRDefault="786A95F8" w14:paraId="77DD6886" w14:textId="2771823A">
      <w:pPr>
        <w:pStyle w:val="Normal"/>
        <w:ind w:firstLine="0"/>
        <w:jc w:val="center"/>
        <w:rPr>
          <w:rFonts w:ascii="Palatino Linotype" w:hAnsi="Palatino Linotype" w:eastAsia="Palatino Linotype" w:cs="Palatino Linotype"/>
          <w:sz w:val="20"/>
          <w:szCs w:val="20"/>
        </w:rPr>
      </w:pPr>
    </w:p>
    <w:p w:rsidR="1338D573" w:rsidP="786A95F8" w:rsidRDefault="1338D573" w14:paraId="250C19DE" w14:textId="1A4D93A8">
      <w:pPr>
        <w:pStyle w:val="Normal"/>
        <w:ind w:firstLine="0"/>
        <w:jc w:val="both"/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</w:pPr>
      <w:r w:rsidRPr="786A95F8" w:rsidR="1338D573"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  <w:t>Step 2:</w:t>
      </w:r>
      <w:r w:rsidRPr="786A95F8" w:rsidR="6BF1F46D"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  <w:t xml:space="preserve"> Hardware Connections</w:t>
      </w:r>
    </w:p>
    <w:p w:rsidR="1338D573" w:rsidP="786A95F8" w:rsidRDefault="1338D573" w14:paraId="1E2A15B5" w14:textId="4459BA4F">
      <w:pPr>
        <w:pStyle w:val="Normal"/>
        <w:ind w:firstLine="0"/>
        <w:jc w:val="both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1338D573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Connect hardware as detailed in figure 2 below. The ¼" hydrophone terminations are connected to the inputs of the Aquarian Audio </w:t>
      </w:r>
      <w:r w:rsidRPr="786A95F8" w:rsidR="78F1DE6F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PA1 </w:t>
      </w:r>
      <w:r w:rsidRPr="786A95F8" w:rsidR="1338D573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Buffer/Amplifiers</w:t>
      </w:r>
      <w:r w:rsidRPr="786A95F8" w:rsidR="4F652E8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. The XLR outputs of the buffer/amplifiers are connected to the XLR inputs of the Behringer UMC404HD USB audio interface.</w:t>
      </w:r>
      <w:r w:rsidRPr="786A95F8" w:rsidR="0284A37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r w:rsidRPr="786A95F8" w:rsidR="6DDFE177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Attach hydrophone A to Channel 1 (furthest left on the front facing panel of the UMC404HD), hydrophone B to channel 2, and so on. </w:t>
      </w:r>
      <w:r w:rsidRPr="786A95F8" w:rsidR="0284A37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Connect one end of the power cable to the rear of the USB audio interface, and the other end to a wall outlet or portable power bank. Connect the USB cable to the rear en</w:t>
      </w:r>
      <w:r w:rsidRPr="786A95F8" w:rsidR="4D728350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d of the USB audio interface, and the other end to your PC’s USB port.</w:t>
      </w:r>
      <w:r w:rsidRPr="786A95F8" w:rsidR="3D6AE90E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</w:p>
    <w:p w:rsidR="786A95F8" w:rsidP="786A95F8" w:rsidRDefault="786A95F8" w14:paraId="3612FA9F" w14:textId="24BE7283">
      <w:pPr>
        <w:pStyle w:val="Normal"/>
        <w:ind w:firstLine="0"/>
        <w:jc w:val="left"/>
      </w:pPr>
    </w:p>
    <w:p w:rsidR="0D96A071" w:rsidP="786A95F8" w:rsidRDefault="0D96A071" w14:paraId="6ADA52F6" w14:textId="2F9C7A82">
      <w:pPr>
        <w:pStyle w:val="Normal"/>
        <w:jc w:val="center"/>
      </w:pPr>
      <w:r w:rsidR="0D96A071">
        <w:drawing>
          <wp:inline wp14:editId="0137B850" wp14:anchorId="6ECA3F80">
            <wp:extent cx="4572000" cy="3495675"/>
            <wp:effectExtent l="0" t="0" r="0" b="0"/>
            <wp:docPr id="1366441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f3bb28247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26A88" w:rsidP="786A95F8" w:rsidRDefault="6CF26A88" w14:paraId="0A950B3D" w14:textId="09B04F38">
      <w:pPr>
        <w:pStyle w:val="Normal"/>
        <w:jc w:val="center"/>
      </w:pPr>
      <w:r w:rsidRPr="786A95F8" w:rsidR="6CF26A88">
        <w:rPr>
          <w:rFonts w:ascii="Palatino Linotype" w:hAnsi="Palatino Linotype" w:eastAsia="Palatino Linotype" w:cs="Palatino Linotype"/>
          <w:sz w:val="20"/>
          <w:szCs w:val="20"/>
        </w:rPr>
        <w:t>Figure 2: Hardware connections</w:t>
      </w:r>
    </w:p>
    <w:p w:rsidR="786A95F8" w:rsidP="786A95F8" w:rsidRDefault="786A95F8" w14:paraId="42D26E34" w14:textId="5C318474">
      <w:pPr>
        <w:pStyle w:val="Normal"/>
        <w:jc w:val="center"/>
        <w:rPr>
          <w:rFonts w:ascii="Palatino Linotype" w:hAnsi="Palatino Linotype" w:eastAsia="Palatino Linotype" w:cs="Palatino Linotype"/>
          <w:sz w:val="20"/>
          <w:szCs w:val="20"/>
        </w:rPr>
      </w:pPr>
    </w:p>
    <w:p w:rsidR="43D1852D" w:rsidP="786A95F8" w:rsidRDefault="43D1852D" w14:paraId="7411B611" w14:textId="0119AE4D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86A95F8" w:rsidR="43D1852D"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Step 3: Configuring the Behringer UMC404HD USB Audio Interface</w:t>
      </w:r>
    </w:p>
    <w:p w:rsidR="4455B74F" w:rsidP="786A95F8" w:rsidRDefault="4455B74F" w14:paraId="49EE7953" w14:textId="66190920">
      <w:pPr>
        <w:pStyle w:val="Normal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4455B74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use of the Aquarian Audio PA1 Buffer/Amplifiers requires the use of phantom power. Ensure that phantom power is turned on by looking for the </w:t>
      </w:r>
      <w:r w:rsidRPr="786A95F8" w:rsidR="4455B74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+48 volt</w:t>
      </w:r>
      <w:r w:rsidRPr="786A95F8" w:rsidR="4455B74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switch on the rear of the UMC404HD </w:t>
      </w:r>
      <w:r w:rsidRPr="786A95F8" w:rsidR="23A829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ensuring it is set to “on”. The PA1 Buffer/Ampli</w:t>
      </w:r>
      <w:r w:rsidRPr="786A95F8" w:rsidR="624D0F1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fie</w:t>
      </w:r>
      <w:r w:rsidRPr="786A95F8" w:rsidR="23A829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rs</w:t>
      </w:r>
      <w:r w:rsidRPr="786A95F8" w:rsidR="23A829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bring the</w:t>
      </w:r>
      <w:r w:rsidRPr="786A95F8" w:rsidR="3039ED8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hydrophone signals up to “line level.” Ensure that the switches for line &amp; instrument level sign</w:t>
      </w:r>
      <w:r w:rsidRPr="786A95F8" w:rsidR="1A8B5DE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als for each channel on the front of the UMC404HD are set to “line level”. Additionally, ensure that the “pad” switch is enabled.</w:t>
      </w:r>
      <w:r w:rsidRPr="786A95F8" w:rsidR="666801E5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Adjust the gain knobs as needed 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to compensate for variations in hydrophone sensitivity.</w:t>
      </w:r>
      <w:r w:rsidRPr="786A95F8" w:rsidR="25B4EB7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</w:p>
    <w:p w:rsidR="25B4EB78" w:rsidP="786A95F8" w:rsidRDefault="25B4EB78" w14:paraId="56DE6BA3" w14:textId="1DE3CB60">
      <w:pPr>
        <w:pStyle w:val="Normal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25B4EB7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driver </w:t>
      </w:r>
      <w:r w:rsidRPr="786A95F8" w:rsidR="25B4EB7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required</w:t>
      </w:r>
      <w:r w:rsidRPr="786A95F8" w:rsidR="25B4EB7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configure the sampling rate</w:t>
      </w:r>
      <w:r w:rsidRPr="786A95F8" w:rsidR="0FF0DBBD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192 kHz</w:t>
      </w:r>
      <w:r w:rsidRPr="786A95F8" w:rsidR="25B4EB7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for the Behringer UMC404HD can be found on Behringer’s website at the following link:</w:t>
      </w:r>
    </w:p>
    <w:p w:rsidR="6A3C34EB" w:rsidP="786A95F8" w:rsidRDefault="6A3C34EB" w14:paraId="4724A05C" w14:textId="273D1061">
      <w:pPr>
        <w:pStyle w:val="Normal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hyperlink r:id="R837d0a6f88374baa">
        <w:r w:rsidRPr="786A95F8" w:rsidR="6A3C34EB">
          <w:rPr>
            <w:rStyle w:val="Hyperlink"/>
            <w:rFonts w:ascii="Palatino Linotype" w:hAnsi="Palatino Linotype" w:eastAsia="Palatino Linotype" w:cs="Palatino Linotype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https://www.behringer.com/product.html?modelCode=P0BK1</w:t>
        </w:r>
      </w:hyperlink>
    </w:p>
    <w:p w:rsidR="6A3C34EB" w:rsidP="786A95F8" w:rsidRDefault="6A3C34EB" w14:paraId="57FFB79C" w14:textId="255251F9">
      <w:pPr>
        <w:pStyle w:val="Normal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6A3C34E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Look for the “software” drop down menu on the right side of the product page</w:t>
      </w:r>
      <w:r w:rsidRPr="786A95F8" w:rsidR="2A39384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786A95F8" w:rsidP="786A95F8" w:rsidRDefault="786A95F8" w14:paraId="472FA01E" w14:textId="60E2C92C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786A95F8" w:rsidP="786A95F8" w:rsidRDefault="786A95F8" w14:paraId="5F6BBB38" w14:textId="2C741248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</w:p>
    <w:p w:rsidR="786A95F8" w:rsidP="786A95F8" w:rsidRDefault="786A95F8" w14:paraId="2B89C9D7" w14:textId="5BAA8AB2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</w:p>
    <w:p w:rsidR="0570A2DE" w:rsidP="786A95F8" w:rsidRDefault="0570A2DE" w14:paraId="37F2A508" w14:textId="0EA2FD18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86A95F8" w:rsidR="0570A2DE"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Step 4: </w:t>
      </w:r>
      <w:r w:rsidRPr="786A95F8" w:rsidR="60441E12"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Configuring the System for your PC</w:t>
      </w:r>
    </w:p>
    <w:p w:rsidR="0570A2DE" w:rsidP="786A95F8" w:rsidRDefault="0570A2DE" w14:paraId="2A7B7060" w14:textId="679FC494">
      <w:pPr>
        <w:pStyle w:val="Normal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system requires the following </w:t>
      </w: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MatLab p</w:t>
      </w: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</w:t>
      </w: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ckages:</w:t>
      </w:r>
    </w:p>
    <w:p w:rsidR="646740B1" w:rsidP="786A95F8" w:rsidRDefault="646740B1" w14:paraId="181D03E7" w14:textId="230482C8">
      <w:pPr>
        <w:pStyle w:val="Normal"/>
        <w:spacing w:line="270" w:lineRule="exact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DSP System Toolbox</w:t>
      </w:r>
    </w:p>
    <w:p w:rsidR="646740B1" w:rsidP="786A95F8" w:rsidRDefault="646740B1" w14:paraId="5B996F2A" w14:textId="0C5951D7">
      <w:pPr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Signal Processing Toolbox</w:t>
      </w:r>
    </w:p>
    <w:p w:rsidR="646740B1" w:rsidP="786A95F8" w:rsidRDefault="646740B1" w14:paraId="17EB98C9" w14:textId="584A2A30">
      <w:pPr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646740B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Audio Toolbox</w:t>
      </w:r>
    </w:p>
    <w:p w:rsidR="0570A2DE" w:rsidP="786A95F8" w:rsidRDefault="0570A2DE" w14:paraId="700178AA" w14:textId="0C5DD08E">
      <w:pPr>
        <w:pStyle w:val="Normal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Run the system, either using the python wrapper or the Matlab live script. For testing purposes, it advise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 that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MatLab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live script which includes pl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ots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is used</w:t>
      </w:r>
      <w:r w:rsidRPr="786A95F8" w:rsidR="0570A2D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. 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Frequency selection can be made in the live script by cha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ngin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g the “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freq</w:t>
      </w:r>
      <w:r w:rsidRPr="786A95F8" w:rsidR="2E795754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” variable in the first</w:t>
      </w:r>
      <w:r w:rsidRPr="786A95F8" w:rsidR="52AB7385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line of code. 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following 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line, the “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sensorArray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” variable </w:t>
      </w:r>
      <w:r w:rsidRPr="786A95F8" w:rsidR="15D4A58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will </w:t>
      </w:r>
      <w:r w:rsidRPr="786A95F8" w:rsidR="15D4A58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likely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need</w:t>
      </w:r>
      <w:r w:rsidRPr="786A95F8" w:rsidR="2F47B08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be adjusted for your PC. 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Learn the name your PC has assigned to the UMC404HD by using the following commands in the 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MatLab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command window:</w:t>
      </w:r>
    </w:p>
    <w:p w:rsidR="4D1E9400" w:rsidP="786A95F8" w:rsidRDefault="4D1E9400" w14:paraId="3C1104AF" w14:textId="7DD11E62">
      <w:pPr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deviceReader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=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audioDeviceReader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;</w:t>
      </w:r>
    </w:p>
    <w:p w:rsidR="4D1E9400" w:rsidP="786A95F8" w:rsidRDefault="4D1E9400" w14:paraId="4C0D22DA" w14:textId="6096226D">
      <w:pPr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devices=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getAudioDevices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(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deviceReader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)</w:t>
      </w:r>
    </w:p>
    <w:p w:rsidR="4D1E9400" w:rsidP="786A95F8" w:rsidRDefault="4D1E9400" w14:paraId="10BD957D" w14:textId="082A0638">
      <w:pPr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devices</w:t>
      </w:r>
    </w:p>
    <w:p w:rsidR="4D1E9400" w:rsidP="786A95F8" w:rsidRDefault="4D1E9400" w14:paraId="6381D13A" w14:textId="198A0CB3">
      <w:pPr>
        <w:spacing w:line="270" w:lineRule="exact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 name assigned to the UMC404HD must be used as the 2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vertAlign w:val="superscript"/>
          <w:lang w:val="en-US"/>
        </w:rPr>
        <w:t>nd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argument to the 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audioDeviceReader</w:t>
      </w:r>
      <w:r w:rsidRPr="786A95F8" w:rsidR="4D1E940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command, as </w:t>
      </w:r>
      <w:r w:rsidRPr="786A95F8" w:rsidR="78C0DBD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in figure 3 below:</w:t>
      </w:r>
    </w:p>
    <w:p w:rsidR="78C0DBD2" w:rsidP="786A95F8" w:rsidRDefault="78C0DBD2" w14:paraId="289B2E34" w14:textId="5124A8F5">
      <w:pPr>
        <w:pStyle w:val="Normal"/>
        <w:spacing w:line="270" w:lineRule="exact"/>
        <w:jc w:val="center"/>
      </w:pPr>
      <w:r w:rsidR="78C0DBD2">
        <w:drawing>
          <wp:inline wp14:editId="7E349957" wp14:anchorId="1C8C7D84">
            <wp:extent cx="4572000" cy="552450"/>
            <wp:effectExtent l="0" t="0" r="0" b="0"/>
            <wp:docPr id="40763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97022284a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0DBD2" w:rsidP="786A95F8" w:rsidRDefault="78C0DBD2" w14:paraId="2F842EAD" w14:textId="0E682799">
      <w:pPr>
        <w:pStyle w:val="Normal"/>
        <w:spacing w:line="270" w:lineRule="exact"/>
        <w:jc w:val="center"/>
        <w:rPr>
          <w:rFonts w:ascii="Palatino Linotype" w:hAnsi="Palatino Linotype" w:eastAsia="Palatino Linotype" w:cs="Palatino Linotype"/>
          <w:sz w:val="20"/>
          <w:szCs w:val="20"/>
        </w:rPr>
      </w:pPr>
      <w:r w:rsidRPr="786A95F8" w:rsidR="78C0DBD2">
        <w:rPr>
          <w:rFonts w:ascii="Palatino Linotype" w:hAnsi="Palatino Linotype" w:eastAsia="Palatino Linotype" w:cs="Palatino Linotype"/>
          <w:sz w:val="20"/>
          <w:szCs w:val="20"/>
        </w:rPr>
        <w:t xml:space="preserve">Figure 3: configuring </w:t>
      </w:r>
      <w:r w:rsidRPr="786A95F8" w:rsidR="78C0DBD2">
        <w:rPr>
          <w:rFonts w:ascii="Palatino Linotype" w:hAnsi="Palatino Linotype" w:eastAsia="Palatino Linotype" w:cs="Palatino Linotype"/>
          <w:sz w:val="20"/>
          <w:szCs w:val="20"/>
        </w:rPr>
        <w:t>audioDeviceReader</w:t>
      </w:r>
    </w:p>
    <w:p w:rsidR="786A95F8" w:rsidP="786A95F8" w:rsidRDefault="786A95F8" w14:paraId="7F80C10E" w14:textId="304DD166">
      <w:pPr>
        <w:pStyle w:val="Normal"/>
        <w:spacing w:line="270" w:lineRule="exact"/>
        <w:jc w:val="center"/>
        <w:rPr>
          <w:rFonts w:ascii="Palatino Linotype" w:hAnsi="Palatino Linotype" w:eastAsia="Palatino Linotype" w:cs="Palatino Linotype"/>
          <w:sz w:val="20"/>
          <w:szCs w:val="20"/>
        </w:rPr>
      </w:pPr>
    </w:p>
    <w:p w:rsidR="0C39723A" w:rsidP="786A95F8" w:rsidRDefault="0C39723A" w14:paraId="29C696E0" w14:textId="60C84F3D">
      <w:pPr>
        <w:pStyle w:val="Normal"/>
        <w:spacing w:line="270" w:lineRule="exact"/>
        <w:jc w:val="left"/>
        <w:rPr>
          <w:rFonts w:ascii="Palatino Linotype" w:hAnsi="Palatino Linotype" w:eastAsia="Palatino Linotype" w:cs="Palatino Linotype"/>
          <w:sz w:val="20"/>
          <w:szCs w:val="20"/>
        </w:rPr>
      </w:pPr>
      <w:r w:rsidRPr="786A95F8" w:rsidR="0C39723A"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  <w:t>Step 5: Running the System</w:t>
      </w:r>
    </w:p>
    <w:p w:rsidR="0C39723A" w:rsidP="786A95F8" w:rsidRDefault="0C39723A" w14:paraId="134898B7" w14:textId="0B4D72C2">
      <w:pPr>
        <w:pStyle w:val="Normal"/>
        <w:spacing w:line="270" w:lineRule="exact"/>
        <w:jc w:val="left"/>
        <w:rPr>
          <w:rFonts w:ascii="Palatino Linotype" w:hAnsi="Palatino Linotype" w:eastAsia="Palatino Linotype" w:cs="Palatino Linotype"/>
          <w:b w:val="1"/>
          <w:bCs w:val="1"/>
          <w:sz w:val="28"/>
          <w:szCs w:val="28"/>
        </w:rPr>
      </w:pPr>
      <w:r w:rsidRPr="786A95F8" w:rsidR="0C39723A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When the system is run, it will carry out the following functions:</w:t>
      </w:r>
    </w:p>
    <w:p w:rsidR="0C39723A" w:rsidP="786A95F8" w:rsidRDefault="0C39723A" w14:paraId="0AF1D804" w14:textId="2D5CEAE4">
      <w:pPr>
        <w:pStyle w:val="Normal"/>
        <w:spacing w:line="270" w:lineRule="exact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0C39723A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1. Instantiate the recording device (Behringer UMC404HD)</w:t>
      </w:r>
    </w:p>
    <w:p w:rsidR="0C39723A" w:rsidP="786A95F8" w:rsidRDefault="0C39723A" w14:paraId="5F5DB613" w14:textId="1C9E6154">
      <w:pPr>
        <w:pStyle w:val="Normal"/>
        <w:spacing w:line="270" w:lineRule="exact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0C39723A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2. Record 2.5 seconds of raw audio from the hydrophone a</w:t>
      </w:r>
      <w:r w:rsidRPr="786A95F8" w:rsidR="7859119A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rray</w:t>
      </w:r>
      <w:r w:rsidRPr="786A95F8" w:rsidR="4A1DDDA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and read </w:t>
      </w:r>
      <w:r>
        <w:tab/>
      </w:r>
      <w:r>
        <w:tab/>
      </w:r>
      <w:r w:rsidRPr="786A95F8" w:rsidR="4A1DDDA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the audio into </w:t>
      </w:r>
      <w:r w:rsidRPr="786A95F8" w:rsidR="4A1DDDA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MatLab</w:t>
      </w:r>
      <w:r w:rsidRPr="786A95F8" w:rsidR="4A1DDDA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as a numeric array</w:t>
      </w:r>
    </w:p>
    <w:p w:rsidR="7859119A" w:rsidP="786A95F8" w:rsidRDefault="7859119A" w14:paraId="245A0438" w14:textId="6D4BA2BC">
      <w:pPr>
        <w:pStyle w:val="Normal"/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7859119A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3. </w:t>
      </w:r>
      <w:r w:rsidRPr="786A95F8" w:rsidR="5A8A283E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Filter the numeric array for the specified frequency.</w:t>
      </w:r>
    </w:p>
    <w:p w:rsidR="5A8A283E" w:rsidP="786A95F8" w:rsidRDefault="5A8A283E" w14:paraId="47166969" w14:textId="05907146">
      <w:pPr>
        <w:pStyle w:val="Normal"/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5A8A283E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4. TDOA algorithm makes a best guess at </w:t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TDOA values for hydrophone </w:t>
      </w:r>
      <w:r>
        <w:tab/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pairs AB, AC, &amp; AD.</w:t>
      </w:r>
    </w:p>
    <w:p w:rsidR="352581E4" w:rsidP="786A95F8" w:rsidRDefault="352581E4" w14:paraId="08F2B666" w14:textId="5A43EBB2">
      <w:pPr>
        <w:pStyle w:val="Normal"/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5. Cross correlation function attempts to “fine-tune” the guess made by </w:t>
      </w:r>
      <w:r>
        <w:tab/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the TDOA algorithm.</w:t>
      </w:r>
    </w:p>
    <w:p w:rsidR="352581E4" w:rsidP="786A95F8" w:rsidRDefault="352581E4" w14:paraId="44875DA7" w14:textId="31FD5D98">
      <w:pPr>
        <w:pStyle w:val="Normal"/>
        <w:spacing w:line="270" w:lineRule="exact"/>
        <w:ind w:left="720"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6. </w:t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Mulltilateration</w:t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function attempts at to solve the sound source </w:t>
      </w:r>
      <w:r>
        <w:tab/>
      </w:r>
      <w:r>
        <w:tab/>
      </w:r>
      <w:r w:rsidRPr="786A95F8" w:rsidR="352581E4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location</w:t>
      </w:r>
      <w:r w:rsidRPr="786A95F8" w:rsidR="7FA5F6D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One attempt is made using the “fine-tuned” TDOA values </w:t>
      </w:r>
      <w:r>
        <w:tab/>
      </w:r>
      <w:r>
        <w:tab/>
      </w:r>
      <w:r w:rsidRPr="786A95F8" w:rsidR="7FA5F6D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(solutions1), and another attempt is made using the “best guess” made by </w:t>
      </w:r>
      <w:r>
        <w:tab/>
      </w:r>
      <w:r w:rsidRPr="786A95F8" w:rsidR="7FA5F6D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the TDOA algorithm (solutions2).</w:t>
      </w:r>
    </w:p>
    <w:p w:rsidR="0F7C9559" w:rsidP="786A95F8" w:rsidRDefault="0F7C9559" w14:paraId="41341946" w14:textId="4A569A5C">
      <w:pPr>
        <w:pStyle w:val="Normal"/>
        <w:spacing w:line="270" w:lineRule="exact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The use of the live script with plots included is 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advised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for troubleshooting the system. The 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most likely culprit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for the multilateration function 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providing</w:t>
      </w:r>
      <w:r w:rsidRPr="786A95F8" w:rsidR="0F7C9559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inaccurate solutions, or no solutions, is inaccurate TDOA</w:t>
      </w:r>
      <w:r w:rsidRPr="786A95F8" w:rsidR="5C4233D2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values. </w:t>
      </w:r>
    </w:p>
    <w:p w:rsidR="5C4233D2" w:rsidP="786A95F8" w:rsidRDefault="5C4233D2" w14:paraId="45CC7DCE" w14:textId="423519BD">
      <w:pPr>
        <w:pStyle w:val="Normal"/>
        <w:spacing w:line="270" w:lineRule="exact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86A95F8" w:rsidR="5C4233D2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The amplitude thresholds which the TDOA algorithm triggers on can be adjusted for better results.</w:t>
      </w:r>
    </w:p>
    <w:p w:rsidR="786A95F8" w:rsidP="786A95F8" w:rsidRDefault="786A95F8" w14:paraId="60039144" w14:textId="38E17F29">
      <w:pPr>
        <w:pStyle w:val="Normal"/>
        <w:ind w:firstLine="72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786A95F8" w:rsidP="786A95F8" w:rsidRDefault="786A95F8" w14:paraId="28424C7D" w14:textId="2FF1ECBA">
      <w:pPr>
        <w:pStyle w:val="Normal"/>
        <w:jc w:val="left"/>
        <w:rPr>
          <w:rFonts w:ascii="Palatino Linotype" w:hAnsi="Palatino Linotype" w:eastAsia="Palatino Linotype" w:cs="Palatino Linotype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786A95F8" w:rsidP="786A95F8" w:rsidRDefault="786A95F8" w14:paraId="2BE6B164" w14:textId="629144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35C5E"/>
    <w:rsid w:val="0047D82D"/>
    <w:rsid w:val="020A5F9A"/>
    <w:rsid w:val="020EAA71"/>
    <w:rsid w:val="0284A379"/>
    <w:rsid w:val="02CF4C25"/>
    <w:rsid w:val="02D2257C"/>
    <w:rsid w:val="0570A2DE"/>
    <w:rsid w:val="06B719B1"/>
    <w:rsid w:val="0852EA12"/>
    <w:rsid w:val="0BD365A0"/>
    <w:rsid w:val="0C39723A"/>
    <w:rsid w:val="0D1A8519"/>
    <w:rsid w:val="0D886757"/>
    <w:rsid w:val="0D96A071"/>
    <w:rsid w:val="0ECF7DD7"/>
    <w:rsid w:val="0F720637"/>
    <w:rsid w:val="0F7C9559"/>
    <w:rsid w:val="0FF0DBBD"/>
    <w:rsid w:val="10829FD6"/>
    <w:rsid w:val="12A9A6F9"/>
    <w:rsid w:val="12CB0F05"/>
    <w:rsid w:val="1338D573"/>
    <w:rsid w:val="1347CF9E"/>
    <w:rsid w:val="1389C69D"/>
    <w:rsid w:val="13D932E2"/>
    <w:rsid w:val="144D64E0"/>
    <w:rsid w:val="1466DF66"/>
    <w:rsid w:val="150BBD7E"/>
    <w:rsid w:val="15D4A583"/>
    <w:rsid w:val="15E93541"/>
    <w:rsid w:val="1624FE37"/>
    <w:rsid w:val="16A53358"/>
    <w:rsid w:val="16C1675F"/>
    <w:rsid w:val="179E8028"/>
    <w:rsid w:val="1870FB62"/>
    <w:rsid w:val="195C9EF9"/>
    <w:rsid w:val="196441DA"/>
    <w:rsid w:val="19B71122"/>
    <w:rsid w:val="19F3A366"/>
    <w:rsid w:val="1A8B5DE7"/>
    <w:rsid w:val="1ABCA664"/>
    <w:rsid w:val="1CEEB1E4"/>
    <w:rsid w:val="209E8D8D"/>
    <w:rsid w:val="223A5DEE"/>
    <w:rsid w:val="23A829E8"/>
    <w:rsid w:val="249F8376"/>
    <w:rsid w:val="25B4EB78"/>
    <w:rsid w:val="267C6BCD"/>
    <w:rsid w:val="28E11A1D"/>
    <w:rsid w:val="294DF620"/>
    <w:rsid w:val="2A393844"/>
    <w:rsid w:val="2A4CEBC3"/>
    <w:rsid w:val="2CB282E1"/>
    <w:rsid w:val="2E795754"/>
    <w:rsid w:val="2EFE800C"/>
    <w:rsid w:val="2F47B081"/>
    <w:rsid w:val="3039ED86"/>
    <w:rsid w:val="3258A114"/>
    <w:rsid w:val="34B41BBB"/>
    <w:rsid w:val="352581E4"/>
    <w:rsid w:val="3554470A"/>
    <w:rsid w:val="3B13ADED"/>
    <w:rsid w:val="3BFF835A"/>
    <w:rsid w:val="3C11A82F"/>
    <w:rsid w:val="3CA3A832"/>
    <w:rsid w:val="3CAF7E4E"/>
    <w:rsid w:val="3D6AE90E"/>
    <w:rsid w:val="3E4B4EAF"/>
    <w:rsid w:val="3F2B4E00"/>
    <w:rsid w:val="3FDB48F4"/>
    <w:rsid w:val="3FE71F10"/>
    <w:rsid w:val="422D6E81"/>
    <w:rsid w:val="4312E9B6"/>
    <w:rsid w:val="43D1852D"/>
    <w:rsid w:val="4455B74F"/>
    <w:rsid w:val="4983AC71"/>
    <w:rsid w:val="4A1DDDA6"/>
    <w:rsid w:val="4B1DFB9B"/>
    <w:rsid w:val="4CB46741"/>
    <w:rsid w:val="4D1E9400"/>
    <w:rsid w:val="4D728350"/>
    <w:rsid w:val="4DFA7D01"/>
    <w:rsid w:val="4EE38225"/>
    <w:rsid w:val="4EF1BB3F"/>
    <w:rsid w:val="4F652E89"/>
    <w:rsid w:val="51321DC3"/>
    <w:rsid w:val="5187B811"/>
    <w:rsid w:val="5190ADE6"/>
    <w:rsid w:val="51D564CE"/>
    <w:rsid w:val="525A539E"/>
    <w:rsid w:val="52AB7385"/>
    <w:rsid w:val="53238872"/>
    <w:rsid w:val="5591F460"/>
    <w:rsid w:val="5A8A283E"/>
    <w:rsid w:val="5BED1E1D"/>
    <w:rsid w:val="5C4233D2"/>
    <w:rsid w:val="60441E12"/>
    <w:rsid w:val="6193132F"/>
    <w:rsid w:val="624D0F19"/>
    <w:rsid w:val="627DFB7F"/>
    <w:rsid w:val="6341EBEB"/>
    <w:rsid w:val="63735C5E"/>
    <w:rsid w:val="63BEAC84"/>
    <w:rsid w:val="641446D2"/>
    <w:rsid w:val="646740B1"/>
    <w:rsid w:val="666801E5"/>
    <w:rsid w:val="669BDB1D"/>
    <w:rsid w:val="6772BEF3"/>
    <w:rsid w:val="68921DA7"/>
    <w:rsid w:val="68E7B7F5"/>
    <w:rsid w:val="6997B2E9"/>
    <w:rsid w:val="69B0DB46"/>
    <w:rsid w:val="6A3C34EB"/>
    <w:rsid w:val="6BF1F46D"/>
    <w:rsid w:val="6C1F790A"/>
    <w:rsid w:val="6CA3D742"/>
    <w:rsid w:val="6CE87C08"/>
    <w:rsid w:val="6CF1F444"/>
    <w:rsid w:val="6CF26A88"/>
    <w:rsid w:val="6DDFE177"/>
    <w:rsid w:val="6F704229"/>
    <w:rsid w:val="705587A1"/>
    <w:rsid w:val="709D2F8C"/>
    <w:rsid w:val="7344CFA7"/>
    <w:rsid w:val="776A1937"/>
    <w:rsid w:val="7859119A"/>
    <w:rsid w:val="786A95F8"/>
    <w:rsid w:val="78C0DBD2"/>
    <w:rsid w:val="78F1DE6F"/>
    <w:rsid w:val="7A496DD2"/>
    <w:rsid w:val="7ADAE285"/>
    <w:rsid w:val="7C1E0D14"/>
    <w:rsid w:val="7D10376A"/>
    <w:rsid w:val="7DD95ABB"/>
    <w:rsid w:val="7DFBDB01"/>
    <w:rsid w:val="7FA5F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5C5E"/>
  <w15:chartTrackingRefBased/>
  <w15:docId w15:val="{E6E32966-3936-4EE5-9ED0-79BB203E3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808a4618c8439f" /><Relationship Type="http://schemas.openxmlformats.org/officeDocument/2006/relationships/image" Target="/media/image.jpg" Id="R063f3bb28247432d" /><Relationship Type="http://schemas.openxmlformats.org/officeDocument/2006/relationships/hyperlink" Target="https://www.behringer.com/product.html?modelCode=P0BK1" TargetMode="External" Id="R837d0a6f88374baa" /><Relationship Type="http://schemas.openxmlformats.org/officeDocument/2006/relationships/image" Target="/media/image2.png" Id="Rec697022284a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2023-05-10T00:43:11.2002266Z</dcterms:created>
  <dcterms:modified xsi:type="dcterms:W3CDTF">2023-05-10T01:47:22.2063234Z</dcterms:modified>
  <dc:creator>Pickens, Jarred</dc:creator>
  <lastModifiedBy>Pickens, Jarred</lastModifiedBy>
</coreProperties>
</file>