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Revised May 8, 2026 – Final LRBAA Submission Version</w:t>
      </w:r>
    </w:p>
    <w:bookmarkStart w:id="18" w:name="ancile-aeris-v2.1-quad-chart"/>
    <w:p>
      <w:pPr>
        <w:pStyle w:val="Heading1"/>
      </w:pPr>
      <w:r>
        <w:t xml:space="preserve">Ancile Aeris v2.1 Quad Chart</w:t>
      </w:r>
    </w:p>
    <w:p>
      <w:pPr>
        <w:pStyle w:val="FirstParagraph"/>
      </w:pPr>
      <w:r>
        <w:rPr>
          <w:b/>
          <w:bCs/>
        </w:rPr>
        <w:t xml:space="preserve">Solicitation:</w:t>
      </w:r>
      <w:r>
        <w:t xml:space="preserve"> </w:t>
      </w:r>
      <w:r>
        <w:t xml:space="preserve">DHS S&amp;T LRBAA</w:t>
      </w:r>
      <w:r>
        <w:t xml:space="preserve"> </w:t>
      </w:r>
      <w:r>
        <w:rPr>
          <w:b/>
          <w:bCs/>
        </w:rPr>
        <w:t xml:space="preserve">24-01</w:t>
      </w:r>
      <w:r>
        <w:t xml:space="preserve"> </w:t>
      </w:r>
      <w:r>
        <w:t xml:space="preserve">(</w:t>
      </w:r>
      <w:r>
        <w:rPr>
          <w:b/>
          <w:bCs/>
        </w:rPr>
        <w:t xml:space="preserve">DHS_ST_LRBAA_24-01</w:t>
      </w:r>
      <w:r>
        <w:t xml:space="preserve"> </w:t>
      </w:r>
      <w:r>
        <w:t xml:space="preserve">·</w:t>
      </w:r>
      <w:r>
        <w:t xml:space="preserve"> </w:t>
      </w:r>
      <w:hyperlink r:id="rId9">
        <w:r>
          <w:rPr>
            <w:rStyle w:val="Hyperlink"/>
          </w:rPr>
          <w:t xml:space="preserve">SAM.gov</w:t>
        </w:r>
      </w:hyperlink>
      <w:r>
        <w:t xml:space="preserve">) ·</w:t>
      </w:r>
      <w:r>
        <w:t xml:space="preserve"> </w:t>
      </w:r>
      <w:r>
        <w:rPr>
          <w:b/>
          <w:bCs/>
        </w:rPr>
        <w:t xml:space="preserve">BORAP 04 — Countering UAS · Type II / III</w:t>
      </w:r>
      <w:r>
        <w:br/>
      </w:r>
      <w:r>
        <w:rPr>
          <w:b/>
          <w:bCs/>
        </w:rPr>
        <w:t xml:space="preserve">LRBAA Counter-UAS / Anti-Terror Defensive System</w:t>
      </w:r>
      <w:r>
        <w:br/>
      </w:r>
      <w:r>
        <w:rPr>
          <w:b/>
          <w:bCs/>
        </w:rPr>
        <w:t xml:space="preserve">Property of Fratres X AI</w:t>
      </w:r>
      <w:r>
        <w:br/>
      </w:r>
      <w:r>
        <w:rPr>
          <w:b/>
          <w:bCs/>
        </w:rPr>
        <w:t xml:space="preserve">GitHub:</w:t>
      </w:r>
      <w:r>
        <w:t xml:space="preserve"> </w:t>
      </w:r>
      <w:r>
        <w:t xml:space="preserve">https://github.com/FratresMedAI/Ancile-Aeris</w:t>
      </w:r>
    </w:p>
    <w:p>
      <w:pPr>
        <w:pStyle w:val="Body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Simulation-only C-UAS defensive demonstration. No autonomous weapon release. Government and industry references are alignment examples only and do not imply endorsement.</w:t>
      </w:r>
    </w:p>
    <w:bookmarkStart w:id="10" w:name="quad-chart-layout"/>
    <w:p>
      <w:pPr>
        <w:pStyle w:val="Heading2"/>
      </w:pPr>
      <w:r>
        <w:t xml:space="preserve">Quad Chart Layout</w:t>
      </w:r>
    </w:p>
    <w:p>
      <w:pPr>
        <w:pStyle w:val="FirstParagraph"/>
      </w:pPr>
      <w:r>
        <w:t xml:space="preserve">Use a four-quadrant PDF layout: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6"/>
        <w:gridCol w:w="71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 box</w:t>
            </w:r>
          </w:p>
        </w:tc>
        <w:tc>
          <w:tcPr/>
          <w:p>
            <w:pPr>
              <w:pStyle w:val="Compact"/>
            </w:pPr>
            <w:r>
              <w:t xml:space="preserve">LRBAA 24-01 (Notice DHS_ST_LRBAA_24-01) • BORAP 04 Countering UAS • Type II/III • detect/track/identify/mitigate • urban • mass gatherings • critical infrastructure • borders/perimeters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Approach</w:t>
            </w:r>
            <w:r>
              <w:t xml:space="preserve"> </w:t>
            </w:r>
            <w:r>
              <w:rPr>
                <w:i/>
                <w:iCs/>
              </w:rPr>
              <w:t xml:space="preserve">(Q1)</w:t>
            </w:r>
          </w:p>
        </w:tc>
        <w:tc>
          <w:tcPr/>
          <w:p>
            <w:pPr>
              <w:pStyle w:val="Compact"/>
            </w:pPr>
            <w:r>
              <w:t xml:space="preserve">Innovation</w:t>
            </w:r>
            <w:r>
              <w:t xml:space="preserve"> </w:t>
            </w:r>
            <w:r>
              <w:rPr>
                <w:i/>
                <w:iCs/>
              </w:rPr>
              <w:t xml:space="preserve">(Q2)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(Q3)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(Q4)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Technical Approach</w:t>
            </w:r>
          </w:p>
        </w:tc>
        <w:tc>
          <w:tcPr/>
          <w:p>
            <w:pPr>
              <w:pStyle w:val="Compact"/>
            </w:pPr>
            <w:r>
              <w:t xml:space="preserve">Innovation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 2 stack: fused tracks, PID ≥ 0.999 gates,</w:t>
            </w:r>
            <w:r>
              <w:t xml:space="preserve"> </w:t>
            </w:r>
            <w:r>
              <w:rPr>
                <w:b/>
                <w:bCs/>
              </w:rPr>
              <w:t xml:space="preserve">2–4 mothership FOB swarm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/mesh/fob_status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/payload/micro_deployment</w:t>
            </w:r>
            <w:r>
              <w:t xml:space="preserve">), modular micro-payload simulation, DARKSPACE, cognitive EW →</w:t>
            </w:r>
            <w:r>
              <w:t xml:space="preserve"> </w:t>
            </w:r>
            <w:r>
              <w:rPr>
                <w:b/>
                <w:bCs/>
              </w:rPr>
              <w:t xml:space="preserve">non-kinetic-first</w:t>
            </w:r>
            <w:r>
              <w:t xml:space="preserve"> </w:t>
            </w:r>
            <w:r>
              <w:rPr>
                <w:rStyle w:val="VerbatimChar"/>
              </w:rPr>
              <w:t xml:space="preserve">ancile_aeris_effectors</w:t>
            </w:r>
            <w:r>
              <w:t xml:space="preserve"> </w:t>
            </w:r>
            <w:r>
              <w:t xml:space="preserve">(optional</w:t>
            </w:r>
            <w:r>
              <w:t xml:space="preserve"> </w:t>
            </w:r>
            <w:r>
              <w:rPr>
                <w:rStyle w:val="VerbatimChar"/>
              </w:rPr>
              <w:t xml:space="preserve">kamikaze_ram</w:t>
            </w:r>
            <w:r>
              <w:t xml:space="preserve"> </w:t>
            </w:r>
            <w:r>
              <w:t xml:space="preserve">kinetic sim</w:t>
            </w:r>
            <w:r>
              <w:t xml:space="preserve"> </w:t>
            </w:r>
            <w:r>
              <w:rPr>
                <w:b/>
                <w:bCs/>
              </w:rPr>
              <w:t xml:space="preserve">last resort</w:t>
            </w:r>
            <w:r>
              <w:t xml:space="preserve">, off by default). Current</w:t>
            </w:r>
            <w:r>
              <w:t xml:space="preserve"> </w:t>
            </w:r>
            <w:r>
              <w:rPr>
                <w:b/>
                <w:bCs/>
              </w:rPr>
              <w:t xml:space="preserve">TRL 3–4</w:t>
            </w:r>
            <w:r>
              <w:t xml:space="preserve"> </w:t>
            </w:r>
            <w:r>
              <w:t xml:space="preserve">sim prototype →</w:t>
            </w:r>
            <w:r>
              <w:t xml:space="preserve"> </w:t>
            </w:r>
            <w:r>
              <w:rPr>
                <w:b/>
                <w:bCs/>
              </w:rPr>
              <w:t xml:space="preserve">Phase I target TRL 5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Layered non-kinetic defeat capability with</w:t>
            </w:r>
            <w:r>
              <w:t xml:space="preserve"> </w:t>
            </w:r>
            <w:r>
              <w:rPr>
                <w:b/>
                <w:bCs/>
              </w:rPr>
              <w:t xml:space="preserve">advanced layered response modeling</w:t>
            </w:r>
            <w:r>
              <w:t xml:space="preserve"> </w:t>
            </w:r>
            <w:r>
              <w:t xml:space="preserve">(XAI, monitor-only posture until authorized);</w:t>
            </w:r>
            <w:r>
              <w:t xml:space="preserve"> </w:t>
            </w:r>
            <w:r>
              <w:rPr>
                <w:b/>
                <w:bCs/>
              </w:rPr>
              <w:t xml:space="preserve">representative synthetic evaluation:</w:t>
            </w:r>
            <w:r>
              <w:t xml:space="preserve"> </w:t>
            </w:r>
            <w:r>
              <w:t xml:space="preserve">~94% fused-track correlation and effector-selection confidence greater than</w:t>
            </w:r>
            <w:r>
              <w:t xml:space="preserve"> </w:t>
            </w:r>
            <w:r>
              <w:rPr>
                <w:b/>
                <w:bCs/>
              </w:rPr>
              <w:t xml:space="preserve">0.88</w:t>
            </w:r>
            <w:r>
              <w:t xml:space="preserve"> </w:t>
            </w:r>
            <w:r>
              <w:t xml:space="preserve">across</w:t>
            </w:r>
            <w:r>
              <w:t xml:space="preserve"> </w:t>
            </w:r>
            <w:r>
              <w:rPr>
                <w:b/>
                <w:bCs/>
              </w:rPr>
              <w:t xml:space="preserve">N=500</w:t>
            </w:r>
            <w:r>
              <w:t xml:space="preserve"> </w:t>
            </w:r>
            <w:r>
              <w:t xml:space="preserve">swarm-style scenarios (</w:t>
            </w:r>
            <w:r>
              <w:rPr>
                <w:b/>
                <w:bCs/>
              </w:rPr>
              <w:t xml:space="preserve">not operational T&amp;E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Fratres X AI is</w:t>
            </w:r>
            <w:r>
              <w:t xml:space="preserve"> </w:t>
            </w:r>
            <w:r>
              <w:rPr>
                <w:b/>
                <w:bCs/>
              </w:rPr>
              <w:t xml:space="preserve">a specialized software-defined defense team with deep ROS 2 and cognitive systems expertise, delivering modular, auditable prototypes for federal acquisition pathways.</w:t>
            </w:r>
            <w:r>
              <w:t xml:space="preserve"> </w:t>
            </w:r>
            <w:r>
              <w:t xml:space="preserve">Verified GitHub/colcon demos. Optional legacy</w:t>
            </w:r>
            <w:r>
              <w:t xml:space="preserve"> </w:t>
            </w:r>
            <w:r>
              <w:rPr>
                <w:rStyle w:val="VerbatimChar"/>
              </w:rPr>
              <w:t xml:space="preserve">baby_interceptor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simulation-only, not in default demo.</w:t>
            </w:r>
          </w:p>
        </w:tc>
        <w:tc>
          <w:tcPr/>
          <w:p>
            <w:pPr>
              <w:pStyle w:val="Compact"/>
            </w:pPr>
            <w:r>
              <w:t xml:space="preserve">BORAP 04 pillars anchored in software; humane oversight; ROS 2 open interfaces and</w:t>
            </w:r>
            <w:r>
              <w:t xml:space="preserve"> </w:t>
            </w:r>
            <w:r>
              <w:rPr>
                <w:b/>
                <w:bCs/>
              </w:rPr>
              <w:t xml:space="preserve">JIATF-401 Marketplace</w:t>
            </w:r>
            <w:r>
              <w:t xml:space="preserve"> </w:t>
            </w:r>
            <w:r>
              <w:t xml:space="preserve">transition path;</w:t>
            </w:r>
            <w:r>
              <w:t xml:space="preserve"> </w:t>
            </w:r>
            <w:r>
              <w:rPr>
                <w:b/>
                <w:bCs/>
              </w:rPr>
              <w:t xml:space="preserve">~18‑month</w:t>
            </w:r>
            <w:r>
              <w:t xml:space="preserve"> </w:t>
            </w:r>
            <w:r>
              <w:t xml:space="preserve">SDR lab path toward</w:t>
            </w:r>
            <w:r>
              <w:t xml:space="preserve"> </w:t>
            </w:r>
            <w:r>
              <w:rPr>
                <w:b/>
                <w:bCs/>
              </w:rPr>
              <w:t xml:space="preserve">TRL 6</w:t>
            </w:r>
            <w:r>
              <w:t xml:space="preserve"> </w:t>
            </w:r>
            <w:r>
              <w:t xml:space="preserve">RF bench integration—not fielded kinetic release.</w:t>
            </w:r>
          </w:p>
        </w:tc>
      </w:tr>
    </w:tbl>
    <w:bookmarkEnd w:id="10"/>
    <w:bookmarkStart w:id="12" w:name="quadrant-1---technical-approach"/>
    <w:p>
      <w:pPr>
        <w:pStyle w:val="Heading2"/>
      </w:pPr>
      <w:r>
        <w:t xml:space="preserve">Quadrant 1 - Technical Approach</w:t>
      </w:r>
    </w:p>
    <w:p>
      <w:pPr>
        <w:pStyle w:val="FirstParagraph"/>
      </w:pPr>
      <w:r>
        <w:t xml:space="preserve">Ancile Aeris v2.1 shows end-to-end C-UAS</w:t>
      </w:r>
      <w:r>
        <w:t xml:space="preserve"> </w:t>
      </w:r>
      <w:r>
        <w:rPr>
          <w:i/>
          <w:iCs/>
        </w:rPr>
        <w:t xml:space="preserve">software integration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Detect / track via multi-modal inputs →</w:t>
      </w:r>
      <w:r>
        <w:t xml:space="preserve"> </w:t>
      </w:r>
      <w:r>
        <w:rPr>
          <w:rStyle w:val="VerbatimChar"/>
          <w:b/>
          <w:bCs/>
        </w:rPr>
        <w:t xml:space="preserve">/fused_tracks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Identify / enrich fused records for operator adjudication workflows.</w:t>
      </w:r>
    </w:p>
    <w:p>
      <w:pPr>
        <w:pStyle w:val="Compact"/>
        <w:numPr>
          <w:ilvl w:val="0"/>
          <w:numId w:val="1001"/>
        </w:numPr>
      </w:pPr>
      <w:r>
        <w:t xml:space="preserve">Mitigate conceptually via</w:t>
      </w:r>
      <w:r>
        <w:t xml:space="preserve"> </w:t>
      </w:r>
      <w:r>
        <w:rPr>
          <w:b/>
          <w:bCs/>
        </w:rPr>
        <w:t xml:space="preserve">non-kinetic-first</w:t>
      </w:r>
      <w:r>
        <w:t xml:space="preserve"> </w:t>
      </w:r>
      <w:r>
        <w:t xml:space="preserve">policy + cognitive chain (simulation stubs only);</w:t>
      </w:r>
      <w:r>
        <w:t xml:space="preserve"> </w:t>
      </w:r>
      <w:r>
        <w:rPr>
          <w:rStyle w:val="VerbatimChar"/>
          <w:b/>
          <w:bCs/>
        </w:rPr>
        <w:t xml:space="preserve">kamikaze_ram</w:t>
      </w:r>
      <w:r>
        <w:t xml:space="preserve"> </w:t>
      </w:r>
      <w:r>
        <w:t xml:space="preserve">kinetic sim exists only as explicit-policy last resort.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FOB swarm:</w:t>
      </w:r>
      <w:r>
        <w:t xml:space="preserve"> </w:t>
      </w:r>
      <w:r>
        <w:rPr>
          <w:rStyle w:val="VerbatimChar"/>
          <w:b/>
          <w:bCs/>
        </w:rPr>
        <w:t xml:space="preserve">/mesh/fob_status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/payload/micro_deployment</w:t>
      </w:r>
      <w:r>
        <w:t xml:space="preserve"> </w:t>
      </w:r>
      <w:r>
        <w:t xml:space="preserve">(advisory, simulation).</w:t>
      </w:r>
    </w:p>
    <w:p>
      <w:pPr>
        <w:pStyle w:val="Compact"/>
        <w:numPr>
          <w:ilvl w:val="0"/>
          <w:numId w:val="1001"/>
        </w:numPr>
      </w:pPr>
      <w:r>
        <w:t xml:space="preserve">Mesh ISR:</w:t>
      </w:r>
      <w:r>
        <w:t xml:space="preserve"> </w:t>
      </w:r>
      <w:r>
        <w:rPr>
          <w:rStyle w:val="VerbatimChar"/>
          <w:b/>
          <w:bCs/>
        </w:rPr>
        <w:t xml:space="preserve">/scout_eyes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/mesh/mothership_swarm_status</w:t>
      </w:r>
      <w:r>
        <w:t xml:space="preserve">, heartbeats.</w:t>
      </w:r>
    </w:p>
    <w:p>
      <w:pPr>
        <w:pStyle w:val="Compact"/>
        <w:numPr>
          <w:ilvl w:val="0"/>
          <w:numId w:val="1001"/>
        </w:numPr>
      </w:pPr>
      <w:r>
        <w:t xml:space="preserve">Audit:</w:t>
      </w:r>
      <w:r>
        <w:t xml:space="preserve"> </w:t>
      </w:r>
      <w:r>
        <w:rPr>
          <w:rStyle w:val="VerbatimChar"/>
          <w:b/>
          <w:bCs/>
        </w:rPr>
        <w:t xml:space="preserve">/audit/events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/darkspace/status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integrity_ok: true</w:t>
      </w:r>
      <w:r>
        <w:t xml:space="preserve">;</w:t>
      </w:r>
      <w:r>
        <w:t xml:space="preserve"> </w:t>
      </w:r>
      <w:r>
        <w:rPr>
          <w:rStyle w:val="VerbatimChar"/>
        </w:rPr>
        <w:t xml:space="preserve">chain_gap_count: 0</w:t>
      </w:r>
      <w:r>
        <w:t xml:space="preserve"> </w:t>
      </w:r>
      <w:r>
        <w:t xml:space="preserve">verified demo).</w:t>
      </w:r>
    </w:p>
    <w:p>
      <w:pPr>
        <w:pStyle w:val="Compact"/>
        <w:numPr>
          <w:ilvl w:val="0"/>
          <w:numId w:val="1001"/>
        </w:numPr>
      </w:pPr>
      <w:r>
        <w:t xml:space="preserve">Human-on-the-loop: monitor-only absent authorization.</w:t>
      </w:r>
    </w:p>
    <w:bookmarkStart w:id="11" w:name="trl-cost-snapshot-phase-i-sizing"/>
    <w:p>
      <w:pPr>
        <w:pStyle w:val="Heading3"/>
      </w:pPr>
      <w:r>
        <w:t xml:space="preserve">TRL / cost snapshot (Phase I sizing)</w:t>
      </w:r>
    </w:p>
    <w:p>
      <w:pPr>
        <w:pStyle w:val="FirstParagraph"/>
      </w:pPr>
      <w:r>
        <w:rPr>
          <w:b/>
          <w:bCs/>
        </w:rPr>
        <w:t xml:space="preserve">Current TRL 3–4</w:t>
      </w:r>
      <w:r>
        <w:t xml:space="preserve"> </w:t>
      </w:r>
      <w:r>
        <w:t xml:space="preserve">· Target</w:t>
      </w:r>
      <w:r>
        <w:t xml:space="preserve"> </w:t>
      </w:r>
      <w:r>
        <w:rPr>
          <w:b/>
          <w:bCs/>
        </w:rPr>
        <w:t xml:space="preserve">TRL 5</w:t>
      </w:r>
      <w:r>
        <w:t xml:space="preserve"> </w:t>
      </w:r>
      <w:r>
        <w:t xml:space="preserve">post–Phase I ·</w:t>
      </w:r>
      <w:r>
        <w:t xml:space="preserve"> </w:t>
      </w:r>
      <w:r>
        <w:rPr>
          <w:b/>
          <w:bCs/>
        </w:rPr>
        <w:t xml:space="preserve">Phase I $250k–$350k</w:t>
      </w:r>
      <w:r>
        <w:t xml:space="preserve"> </w:t>
      </w:r>
      <w:r>
        <w:t xml:space="preserve">(indicative range) ·</w:t>
      </w:r>
      <w:r>
        <w:t xml:space="preserve"> </w:t>
      </w:r>
      <w:r>
        <w:rPr>
          <w:b/>
          <w:bCs/>
        </w:rPr>
        <w:t xml:space="preserve">18-month</w:t>
      </w:r>
      <w:r>
        <w:t xml:space="preserve"> </w:t>
      </w:r>
      <w:r>
        <w:t xml:space="preserve">plan toward</w:t>
      </w:r>
      <w:r>
        <w:t xml:space="preserve"> </w:t>
      </w:r>
      <w:r>
        <w:rPr>
          <w:b/>
          <w:bCs/>
        </w:rPr>
        <w:t xml:space="preserve">TRL 6</w:t>
      </w:r>
      <w:r>
        <w:t xml:space="preserve"> </w:t>
      </w:r>
      <w:r>
        <w:t xml:space="preserve">SDR lab integration.</w:t>
      </w:r>
    </w:p>
    <w:p>
      <w:pPr>
        <w:pStyle w:val="BodyText"/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Sensors → Fusion → PID Gate → FOB Swarm / Mesh ISR → Non-Kinetic Effectors → (optional gated kinetic sim) → Cognitive EW → DARKSPACE/XAI</w:t>
      </w:r>
    </w:p>
    <w:bookmarkEnd w:id="11"/>
    <w:bookmarkEnd w:id="12"/>
    <w:bookmarkStart w:id="13" w:name="quadrant-2---innovation"/>
    <w:p>
      <w:pPr>
        <w:pStyle w:val="Heading2"/>
      </w:pPr>
      <w:r>
        <w:t xml:space="preserve">Quadrant 2 - Innovation</w:t>
      </w:r>
    </w:p>
    <w:p>
      <w:pPr>
        <w:pStyle w:val="FirstParagraph"/>
      </w:pPr>
      <w:r>
        <w:t xml:space="preserve">Layered catalog:</w:t>
      </w:r>
      <w:r>
        <w:t xml:space="preserve"> </w:t>
      </w:r>
      <w:r>
        <w:rPr>
          <w:rStyle w:val="VerbatimChar"/>
          <w:b/>
          <w:bCs/>
        </w:rPr>
        <w:t xml:space="preserve">non-kinetic-first</w:t>
      </w:r>
      <w:r>
        <w:t xml:space="preserve"> </w:t>
      </w:r>
      <w:r>
        <w:t xml:space="preserve">in default configuration—</w:t>
      </w:r>
      <w:r>
        <w:rPr>
          <w:rStyle w:val="VerbatimChar"/>
        </w:rPr>
        <w:t xml:space="preserve">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multi_sensor_deception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cognitive_jamming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gnss_link_spoofing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hpm_denial_stub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control_link_takeover</w:t>
      </w:r>
      <w:r>
        <w:t xml:space="preserve"> </w:t>
      </w:r>
      <w:r>
        <w:t xml:space="preserve">(dual-auth); optional</w:t>
      </w:r>
      <w:r>
        <w:t xml:space="preserve"> </w:t>
      </w:r>
      <w:r>
        <w:rPr>
          <w:rStyle w:val="VerbatimChar"/>
          <w:b/>
          <w:bCs/>
        </w:rPr>
        <w:t xml:space="preserve">kamikaze_ram</w:t>
      </w:r>
      <w:r>
        <w:t xml:space="preserve"> </w:t>
      </w:r>
      <w:r>
        <w:t xml:space="preserve">kinetic-energy simulation</w:t>
      </w:r>
      <w:r>
        <w:t xml:space="preserve"> </w:t>
      </w:r>
      <w:r>
        <w:rPr>
          <w:b/>
          <w:bCs/>
        </w:rPr>
        <w:t xml:space="preserve">last resort</w:t>
      </w:r>
      <w:r>
        <w:t xml:space="preserve"> </w:t>
      </w:r>
      <w:r>
        <w:t xml:space="preserve">when kinetic family is enabled in policy (not default).</w:t>
      </w:r>
    </w:p>
    <w:p>
      <w:pPr>
        <w:pStyle w:val="BodyText"/>
      </w:pPr>
      <w:r>
        <w:t xml:space="preserve">Selection path:</w:t>
      </w:r>
      <w:r>
        <w:t xml:space="preserve"> </w:t>
      </w:r>
      <w:r>
        <w:rPr>
          <w:rStyle w:val="VerbatimChar"/>
        </w:rPr>
        <w:t xml:space="preserve">agent_orchestrator → digital_twin → cognitive_ew</w:t>
      </w:r>
      <w:r>
        <w:t xml:space="preserve"> </w:t>
      </w:r>
      <w:r>
        <w:t xml:space="preserve">with published rationale on</w:t>
      </w:r>
      <w:r>
        <w:t xml:space="preserve"> </w:t>
      </w:r>
      <w:r>
        <w:rPr>
          <w:rStyle w:val="VerbatimChar"/>
        </w:rPr>
        <w:t xml:space="preserve">/effector/selected_plan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/cognitive_ew_commands</w:t>
      </w:r>
      <w:r>
        <w:t xml:space="preserve">. This delivers</w:t>
      </w:r>
      <w:r>
        <w:t xml:space="preserve"> </w:t>
      </w:r>
      <w:r>
        <w:rPr>
          <w:b/>
          <w:bCs/>
        </w:rPr>
        <w:t xml:space="preserve">layered non-kinetic defeat capability</w:t>
      </w:r>
      <w:r>
        <w:t xml:space="preserve"> </w:t>
      </w:r>
      <w:r>
        <w:t xml:space="preserve">with measured, auditable operator visibility—</w:t>
      </w:r>
      <w:r>
        <w:rPr>
          <w:b/>
          <w:bCs/>
        </w:rPr>
        <w:t xml:space="preserve">not</w:t>
      </w:r>
      <w:r>
        <w:t xml:space="preserve"> </w:t>
      </w:r>
      <w:r>
        <w:t xml:space="preserve">autonomous engagement.</w:t>
      </w:r>
    </w:p>
    <w:p>
      <w:pPr>
        <w:pStyle w:val="BodyText"/>
      </w:pPr>
      <w:r>
        <w:rPr>
          <w:b/>
          <w:bCs/>
        </w:rPr>
        <w:t xml:space="preserve">Visual:</w:t>
      </w:r>
      <w:r>
        <w:t xml:space="preserve"> </w:t>
      </w:r>
      <w:r>
        <w:t xml:space="preserve">effector wheel + DARKSPACE/XAI assurance ring.</w:t>
      </w:r>
    </w:p>
    <w:bookmarkEnd w:id="13"/>
    <w:bookmarkStart w:id="14" w:name="quadrant-3---team"/>
    <w:p>
      <w:pPr>
        <w:pStyle w:val="Heading2"/>
      </w:pPr>
      <w:r>
        <w:t xml:space="preserve">Quadrant 3 - Team</w:t>
      </w:r>
    </w:p>
    <w:p>
      <w:pPr>
        <w:pStyle w:val="Compact"/>
        <w:numPr>
          <w:ilvl w:val="0"/>
          <w:numId w:val="1002"/>
        </w:numPr>
      </w:pPr>
      <w:r>
        <w:t xml:space="preserve">https://github.com/FratresMedAI/Ancile-Aeris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colcon build --symlink-install --packages-up-to ancile_aeris_bringup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ros2 launch ancile_aeris_bringup ancile_aeris_basic_demo.launch.py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Clean DARKSPACE verification run captured in submission materials.</w:t>
      </w:r>
    </w:p>
    <w:bookmarkEnd w:id="14"/>
    <w:bookmarkStart w:id="15" w:name="quadrant-4---impact"/>
    <w:p>
      <w:pPr>
        <w:pStyle w:val="Heading2"/>
      </w:pPr>
      <w:r>
        <w:t xml:space="preserve">Quadrant 4 -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BORAP mapping</w:t>
            </w:r>
          </w:p>
        </w:tc>
        <w:tc>
          <w:tcPr/>
          <w:p>
            <w:pPr>
              <w:pStyle w:val="Compact"/>
            </w:pPr>
            <w:r>
              <w:t xml:space="preserve">Software-first</w:t>
            </w:r>
            <w:r>
              <w:t xml:space="preserve"> </w:t>
            </w:r>
            <w:r>
              <w:rPr>
                <w:b/>
                <w:bCs/>
              </w:rPr>
              <w:t xml:space="preserve">detect / track / ID / mitigate</w:t>
            </w:r>
            <w:r>
              <w:t xml:space="preserve"> </w:t>
            </w:r>
            <w:r>
              <w:t xml:space="preserve">across challenging environments.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Non-kinetic</w:t>
            </w:r>
          </w:p>
        </w:tc>
        <w:tc>
          <w:tcPr/>
          <w:p>
            <w:pPr>
              <w:pStyle w:val="Compact"/>
            </w:pPr>
            <w:r>
              <w:t xml:space="preserve">Primary narrative: HPM</w:t>
            </w:r>
            <w:r>
              <w:t xml:space="preserve"> </w:t>
            </w:r>
            <w:r>
              <w:rPr>
                <w:i/>
                <w:iCs/>
              </w:rPr>
              <w:t xml:space="preserve">stub</w:t>
            </w:r>
            <w:r>
              <w:t xml:space="preserve">, jamming / spoof / deception</w:t>
            </w:r>
            <w:r>
              <w:t xml:space="preserve"> </w:t>
            </w:r>
            <w:r>
              <w:rPr>
                <w:i/>
                <w:iCs/>
              </w:rPr>
              <w:t xml:space="preserve">models</w:t>
            </w:r>
            <w:r>
              <w:t xml:space="preserve">, authorized takeover</w:t>
            </w:r>
            <w:r>
              <w:t xml:space="preserve"> </w:t>
            </w:r>
            <w:r>
              <w:rPr>
                <w:i/>
                <w:iCs/>
              </w:rPr>
              <w:t xml:space="preserve">concept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Oversight</w:t>
            </w:r>
          </w:p>
        </w:tc>
        <w:tc>
          <w:tcPr/>
          <w:p>
            <w:pPr>
              <w:pStyle w:val="Compact"/>
            </w:pPr>
            <w:r>
              <w:t xml:space="preserve">Hash-chained audit + XAI text for analytics / forensics-style 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Open ROS 2 topics;</w:t>
            </w:r>
            <w:r>
              <w:t xml:space="preserve"> </w:t>
            </w:r>
            <w:r>
              <w:rPr>
                <w:b/>
                <w:bCs/>
              </w:rPr>
              <w:t xml:space="preserve">SDR follow-on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JIATF-401</w:t>
            </w:r>
            <w:r>
              <w:t xml:space="preserve"> </w:t>
            </w:r>
            <w:r>
              <w:t xml:space="preserve">listing vision.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Lattice-style mesh analog; Fortem DroneHunter wording</w:t>
            </w:r>
            <w:r>
              <w:t xml:space="preserve"> </w:t>
            </w:r>
            <w:r>
              <w:rPr>
                <w:b/>
                <w:bCs/>
              </w:rPr>
              <w:t xml:space="preserve">reference-only, not integrated</w:t>
            </w:r>
            <w:r>
              <w:t xml:space="preserve">; Leonidas phrasing limited to HPM</w:t>
            </w:r>
            <w:r>
              <w:t xml:space="preserve"> </w:t>
            </w:r>
            <w:r>
              <w:rPr>
                <w:b/>
                <w:bCs/>
              </w:rPr>
              <w:t xml:space="preserve">stub</w:t>
            </w:r>
            <w:r>
              <w:t xml:space="preserve"> </w:t>
            </w:r>
            <w:r>
              <w:t xml:space="preserve">only.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Verified-demo callouts:</w:t>
      </w:r>
      <w:r>
        <w:t xml:space="preserve"> </w:t>
      </w:r>
      <w:r>
        <w:rPr>
          <w:rStyle w:val="VerbatimChar"/>
        </w:rPr>
        <w:t xml:space="preserve">/darkspace/status</w:t>
      </w:r>
      <w:r>
        <w:t xml:space="preserve"> </w:t>
      </w:r>
      <w:r>
        <w:t xml:space="preserve">clean •</w:t>
      </w:r>
      <w:r>
        <w:t xml:space="preserve"> </w:t>
      </w:r>
      <w:r>
        <w:rPr>
          <w:rStyle w:val="VerbatimChar"/>
        </w:rPr>
        <w:t xml:space="preserve">/effector/selected_plan</w:t>
      </w:r>
      <w:r>
        <w:t xml:space="preserve"> </w:t>
      </w:r>
      <w:r>
        <w:t xml:space="preserve">+ XAI •</w:t>
      </w:r>
      <w:r>
        <w:t xml:space="preserve"> </w:t>
      </w:r>
      <w:r>
        <w:rPr>
          <w:rStyle w:val="VerbatimChar"/>
        </w:rPr>
        <w:t xml:space="preserve">/cognitive_ew_commands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/mesh/fob_status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/payload/micro_deployment</w:t>
      </w:r>
      <w:r>
        <w:t xml:space="preserve"> </w:t>
      </w:r>
      <w:r>
        <w:t xml:space="preserve">(simulation).</w:t>
      </w:r>
    </w:p>
    <w:bookmarkEnd w:id="15"/>
    <w:bookmarkStart w:id="16" w:name="alignment-non-endorsement"/>
    <w:p>
      <w:pPr>
        <w:pStyle w:val="Heading2"/>
      </w:pPr>
      <w:r>
        <w:t xml:space="preserve">Alignment (non-endorsement)</w:t>
      </w:r>
    </w:p>
    <w:p>
      <w:pPr>
        <w:pStyle w:val="FirstParagraph"/>
      </w:pPr>
      <w:r>
        <w:t xml:space="preserve">Lattice-style mesh ISR analogs, JIATF-401 marketplace packaging, Replicator-fielding idioms, DHS PEO UAS threads—context only under disclaimer.</w:t>
      </w:r>
    </w:p>
    <w:bookmarkEnd w:id="16"/>
    <w:bookmarkStart w:id="17" w:name="production-notes"/>
    <w:p>
      <w:pPr>
        <w:pStyle w:val="Heading2"/>
      </w:pPr>
      <w:r>
        <w:t xml:space="preserve">Production Notes</w:t>
      </w:r>
    </w:p>
    <w:p>
      <w:pPr>
        <w:pStyle w:val="Compact"/>
        <w:numPr>
          <w:ilvl w:val="0"/>
          <w:numId w:val="1003"/>
        </w:numPr>
      </w:pPr>
      <w:r>
        <w:t xml:space="preserve">One page, four quadrants balanced; navy / steel accent; QR to GitHub.</w:t>
      </w:r>
    </w:p>
    <w:p>
      <w:pPr>
        <w:pStyle w:val="FirstParagraph"/>
      </w:pPr>
      <w:r>
        <w:rPr>
          <w:b/>
          <w:bCs/>
        </w:rPr>
        <w:t xml:space="preserve">Disclaimer:</w:t>
      </w:r>
      <w:r>
        <w:t xml:space="preserve"> </w:t>
      </w:r>
      <w:r>
        <w:t xml:space="preserve">Simulation-only C-UAS defensive demonstration. No autonomous weapon release. Government and industry references are alignment examples only and do not imply endorsement.</w:t>
      </w:r>
    </w:p>
    <w:p>
      <w:pPr>
        <w:pStyle w:val="BodyText"/>
      </w:pPr>
      <w:r>
        <w:rPr>
          <w:b/>
          <w:bCs/>
        </w:rPr>
        <w:t xml:space="preserve">Ancile Aeris v2.1 - Property of Fratres X AI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am.gov/opp/a0969993ee8542988595334947e39a7d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am.gov/opp/a0969993ee8542988595334947e39a7d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2026-05-08T14:56:15Z</dcterms:created>
  <dcterms:modified xsi:type="dcterms:W3CDTF">2026-05-08T14:56:15Z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